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E8C7D" w14:textId="77777777" w:rsidR="00D03010" w:rsidRPr="00A6523C" w:rsidRDefault="00D03010" w:rsidP="00D03010">
      <w:pPr>
        <w:jc w:val="center"/>
        <w:rPr>
          <w:rFonts w:ascii="Times New Roman" w:hAnsi="Times New Roman" w:cs="Times New Roman"/>
          <w:sz w:val="24"/>
          <w:szCs w:val="24"/>
        </w:rPr>
      </w:pPr>
    </w:p>
    <w:p w14:paraId="78008A46" w14:textId="77777777" w:rsidR="00D03010" w:rsidRPr="00A6523C" w:rsidRDefault="00D03010" w:rsidP="00D03010">
      <w:pPr>
        <w:jc w:val="center"/>
        <w:rPr>
          <w:rFonts w:ascii="Times New Roman" w:hAnsi="Times New Roman" w:cs="Times New Roman"/>
          <w:sz w:val="24"/>
          <w:szCs w:val="24"/>
        </w:rPr>
      </w:pPr>
    </w:p>
    <w:p w14:paraId="47C58ABA" w14:textId="4BC6DC5F"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UNIVERSITY OF OKLAHOMA</w:t>
      </w:r>
    </w:p>
    <w:p w14:paraId="0067DF9C"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GRADUATE COLLEGE</w:t>
      </w:r>
    </w:p>
    <w:p w14:paraId="2BFA1593" w14:textId="77777777" w:rsidR="00D03010" w:rsidRPr="0032506F" w:rsidRDefault="00D03010" w:rsidP="00D03010">
      <w:pPr>
        <w:jc w:val="center"/>
        <w:rPr>
          <w:rFonts w:ascii="Times New Roman" w:hAnsi="Times New Roman" w:cs="Times New Roman"/>
          <w:sz w:val="24"/>
          <w:szCs w:val="24"/>
        </w:rPr>
      </w:pPr>
    </w:p>
    <w:p w14:paraId="341A8132" w14:textId="77777777" w:rsidR="00D03010" w:rsidRPr="0032506F" w:rsidRDefault="00D03010" w:rsidP="00D03010">
      <w:pPr>
        <w:jc w:val="center"/>
        <w:rPr>
          <w:rFonts w:ascii="Times New Roman" w:hAnsi="Times New Roman" w:cs="Times New Roman"/>
          <w:sz w:val="24"/>
          <w:szCs w:val="24"/>
        </w:rPr>
      </w:pPr>
    </w:p>
    <w:p w14:paraId="77DB2664" w14:textId="77777777" w:rsidR="00D03010" w:rsidRPr="0032506F" w:rsidRDefault="00D03010" w:rsidP="00D03010">
      <w:pPr>
        <w:jc w:val="center"/>
        <w:rPr>
          <w:rFonts w:ascii="Times New Roman" w:hAnsi="Times New Roman" w:cs="Times New Roman"/>
          <w:sz w:val="24"/>
          <w:szCs w:val="24"/>
        </w:rPr>
      </w:pPr>
    </w:p>
    <w:p w14:paraId="2D5CB241" w14:textId="77777777" w:rsidR="00D03010" w:rsidRPr="0032506F" w:rsidRDefault="00D03010" w:rsidP="00D03010">
      <w:pPr>
        <w:jc w:val="center"/>
        <w:rPr>
          <w:rFonts w:ascii="Times New Roman" w:hAnsi="Times New Roman" w:cs="Times New Roman"/>
          <w:sz w:val="24"/>
          <w:szCs w:val="24"/>
        </w:rPr>
      </w:pPr>
    </w:p>
    <w:p w14:paraId="582F3F0E" w14:textId="77777777" w:rsidR="00D03010" w:rsidRPr="0032506F" w:rsidRDefault="00D03010" w:rsidP="00D03010">
      <w:pPr>
        <w:spacing w:after="200" w:line="480" w:lineRule="auto"/>
        <w:jc w:val="center"/>
        <w:rPr>
          <w:rFonts w:ascii="Times New Roman" w:eastAsia="Calibri" w:hAnsi="Times New Roman" w:cs="Times New Roman"/>
          <w:color w:val="000000"/>
          <w:sz w:val="24"/>
          <w:szCs w:val="24"/>
        </w:rPr>
      </w:pPr>
      <w:bookmarkStart w:id="0" w:name="_Hlk79570827"/>
      <w:bookmarkStart w:id="1" w:name="_Hlk98528275"/>
      <w:r w:rsidRPr="0032506F">
        <w:rPr>
          <w:rFonts w:ascii="Times New Roman" w:eastAsia="Calibri" w:hAnsi="Times New Roman" w:cs="Times New Roman"/>
          <w:color w:val="000000"/>
          <w:sz w:val="24"/>
          <w:szCs w:val="24"/>
        </w:rPr>
        <w:t xml:space="preserve">MEASURING ONLINE STUDENT ENGAGEMENT IN HIGHER EDUCATION: SCALE DEVELOPMENT, VALIDATION, AND PSYCHOMETRIC PROPERTIES </w:t>
      </w:r>
      <w:bookmarkEnd w:id="0"/>
    </w:p>
    <w:bookmarkEnd w:id="1"/>
    <w:p w14:paraId="2792D4F4" w14:textId="77777777" w:rsidR="00D03010" w:rsidRPr="0032506F" w:rsidRDefault="00D03010" w:rsidP="00D03010">
      <w:pPr>
        <w:spacing w:after="200" w:line="480" w:lineRule="auto"/>
        <w:jc w:val="center"/>
        <w:rPr>
          <w:rFonts w:ascii="Times New Roman" w:hAnsi="Times New Roman" w:cs="Times New Roman"/>
          <w:sz w:val="24"/>
          <w:szCs w:val="24"/>
        </w:rPr>
      </w:pPr>
    </w:p>
    <w:p w14:paraId="47005873" w14:textId="77777777" w:rsidR="00D03010" w:rsidRPr="0032506F" w:rsidRDefault="00D03010" w:rsidP="00D03010">
      <w:pPr>
        <w:jc w:val="center"/>
        <w:rPr>
          <w:rFonts w:ascii="Times New Roman" w:hAnsi="Times New Roman" w:cs="Times New Roman"/>
          <w:sz w:val="24"/>
          <w:szCs w:val="24"/>
        </w:rPr>
      </w:pPr>
    </w:p>
    <w:p w14:paraId="734E1C60" w14:textId="77777777" w:rsidR="00D03010" w:rsidRPr="0032506F" w:rsidRDefault="00D03010" w:rsidP="00D03010">
      <w:pPr>
        <w:jc w:val="center"/>
        <w:rPr>
          <w:rFonts w:ascii="Times New Roman" w:hAnsi="Times New Roman" w:cs="Times New Roman"/>
          <w:sz w:val="24"/>
          <w:szCs w:val="24"/>
        </w:rPr>
      </w:pPr>
    </w:p>
    <w:p w14:paraId="16A37E99" w14:textId="77777777" w:rsidR="00D03010" w:rsidRPr="0032506F" w:rsidRDefault="00D03010" w:rsidP="00D03010">
      <w:pPr>
        <w:jc w:val="center"/>
        <w:rPr>
          <w:rFonts w:ascii="Times New Roman" w:hAnsi="Times New Roman" w:cs="Times New Roman"/>
          <w:sz w:val="24"/>
          <w:szCs w:val="24"/>
        </w:rPr>
      </w:pPr>
    </w:p>
    <w:p w14:paraId="193C6077"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 xml:space="preserve"> A DISSERTATION </w:t>
      </w:r>
    </w:p>
    <w:p w14:paraId="7A1F76A1"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 xml:space="preserve">SUBMITTED TO THE GRADUATE FACULTY </w:t>
      </w:r>
    </w:p>
    <w:p w14:paraId="05542447" w14:textId="24170702"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 xml:space="preserve">in partial fulfillment of the requirements for the </w:t>
      </w:r>
    </w:p>
    <w:p w14:paraId="0800650E"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 xml:space="preserve">Degree of </w:t>
      </w:r>
    </w:p>
    <w:p w14:paraId="1231727A" w14:textId="16443AEA" w:rsidR="00D03010" w:rsidRPr="0032506F" w:rsidRDefault="00333350" w:rsidP="00D03010">
      <w:pPr>
        <w:jc w:val="center"/>
        <w:rPr>
          <w:rFonts w:ascii="Times New Roman" w:hAnsi="Times New Roman" w:cs="Times New Roman"/>
          <w:sz w:val="24"/>
          <w:szCs w:val="24"/>
        </w:rPr>
      </w:pPr>
      <w:r w:rsidRPr="0032506F">
        <w:rPr>
          <w:rFonts w:ascii="Times New Roman" w:hAnsi="Times New Roman" w:cs="Times New Roman"/>
          <w:sz w:val="24"/>
          <w:szCs w:val="24"/>
        </w:rPr>
        <w:t>DOCTOR OF PHILOSOPHY</w:t>
      </w:r>
    </w:p>
    <w:p w14:paraId="0E016221" w14:textId="77777777" w:rsidR="00D03010" w:rsidRPr="0032506F" w:rsidRDefault="00D03010" w:rsidP="00D03010">
      <w:pPr>
        <w:jc w:val="center"/>
        <w:rPr>
          <w:rFonts w:ascii="Times New Roman" w:hAnsi="Times New Roman" w:cs="Times New Roman"/>
          <w:sz w:val="24"/>
          <w:szCs w:val="24"/>
        </w:rPr>
      </w:pPr>
    </w:p>
    <w:p w14:paraId="661E3B1E" w14:textId="77777777" w:rsidR="00D03010" w:rsidRPr="0032506F" w:rsidRDefault="00D03010" w:rsidP="00D03010">
      <w:pPr>
        <w:jc w:val="center"/>
        <w:rPr>
          <w:rFonts w:ascii="Times New Roman" w:hAnsi="Times New Roman" w:cs="Times New Roman"/>
          <w:sz w:val="24"/>
          <w:szCs w:val="24"/>
        </w:rPr>
      </w:pPr>
    </w:p>
    <w:p w14:paraId="30CED168" w14:textId="77777777" w:rsidR="00D03010" w:rsidRPr="0032506F" w:rsidRDefault="00D03010" w:rsidP="00D03010">
      <w:pPr>
        <w:jc w:val="center"/>
        <w:rPr>
          <w:rFonts w:ascii="Times New Roman" w:hAnsi="Times New Roman" w:cs="Times New Roman"/>
          <w:sz w:val="24"/>
          <w:szCs w:val="24"/>
        </w:rPr>
      </w:pPr>
    </w:p>
    <w:p w14:paraId="09443EA7"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 xml:space="preserve"> By </w:t>
      </w:r>
    </w:p>
    <w:p w14:paraId="1A24452B" w14:textId="3F0ABCAA" w:rsidR="00D03010" w:rsidRPr="0032506F" w:rsidRDefault="00D03010" w:rsidP="001E5A5D">
      <w:pPr>
        <w:spacing w:after="0" w:line="240" w:lineRule="auto"/>
        <w:jc w:val="center"/>
        <w:rPr>
          <w:rFonts w:ascii="Times New Roman" w:hAnsi="Times New Roman" w:cs="Times New Roman"/>
          <w:sz w:val="24"/>
          <w:szCs w:val="24"/>
        </w:rPr>
      </w:pPr>
      <w:r w:rsidRPr="0032506F">
        <w:rPr>
          <w:rFonts w:ascii="Times New Roman" w:hAnsi="Times New Roman" w:cs="Times New Roman"/>
          <w:sz w:val="24"/>
          <w:szCs w:val="24"/>
        </w:rPr>
        <w:t>MURAT TURK</w:t>
      </w:r>
    </w:p>
    <w:p w14:paraId="7C7E3472" w14:textId="77777777" w:rsidR="00D03010" w:rsidRPr="0032506F" w:rsidRDefault="00D03010" w:rsidP="001E5A5D">
      <w:pPr>
        <w:spacing w:after="0" w:line="240" w:lineRule="auto"/>
        <w:jc w:val="center"/>
        <w:rPr>
          <w:rFonts w:ascii="Times New Roman" w:hAnsi="Times New Roman" w:cs="Times New Roman"/>
          <w:sz w:val="24"/>
          <w:szCs w:val="24"/>
        </w:rPr>
      </w:pPr>
      <w:r w:rsidRPr="0032506F">
        <w:rPr>
          <w:rFonts w:ascii="Times New Roman" w:hAnsi="Times New Roman" w:cs="Times New Roman"/>
          <w:sz w:val="24"/>
          <w:szCs w:val="24"/>
        </w:rPr>
        <w:t xml:space="preserve">Norman, Oklahoma </w:t>
      </w:r>
    </w:p>
    <w:p w14:paraId="6BD03F72" w14:textId="77777777" w:rsidR="00C76B55" w:rsidRPr="0032506F" w:rsidRDefault="00D03010" w:rsidP="001E5A5D">
      <w:pPr>
        <w:spacing w:after="0" w:line="240" w:lineRule="auto"/>
        <w:jc w:val="center"/>
        <w:rPr>
          <w:rFonts w:ascii="Times New Roman" w:hAnsi="Times New Roman" w:cs="Times New Roman"/>
          <w:sz w:val="24"/>
          <w:szCs w:val="24"/>
        </w:rPr>
        <w:sectPr w:rsidR="00C76B55" w:rsidRPr="0032506F" w:rsidSect="00D03010">
          <w:headerReference w:type="default" r:id="rId8"/>
          <w:footerReference w:type="default" r:id="rId9"/>
          <w:headerReference w:type="first" r:id="rId10"/>
          <w:pgSz w:w="12240" w:h="15840"/>
          <w:pgMar w:top="1440" w:right="1440" w:bottom="1440" w:left="1440" w:header="720" w:footer="720" w:gutter="0"/>
          <w:pgNumType w:fmt="lowerRoman" w:start="1"/>
          <w:cols w:space="720"/>
          <w:titlePg/>
          <w:docGrid w:linePitch="360"/>
        </w:sectPr>
      </w:pPr>
      <w:r w:rsidRPr="0032506F">
        <w:rPr>
          <w:rFonts w:ascii="Times New Roman" w:hAnsi="Times New Roman" w:cs="Times New Roman"/>
          <w:sz w:val="24"/>
          <w:szCs w:val="24"/>
        </w:rPr>
        <w:t>2022</w:t>
      </w:r>
    </w:p>
    <w:p w14:paraId="423D8EB5" w14:textId="77777777" w:rsidR="004B7397" w:rsidRPr="0032506F" w:rsidRDefault="004B7397" w:rsidP="004B7397">
      <w:pPr>
        <w:spacing w:after="200" w:line="480" w:lineRule="auto"/>
        <w:jc w:val="center"/>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lastRenderedPageBreak/>
        <w:t xml:space="preserve">MEASURING ONLINE STUDENT ENGAGEMENT IN HIGHER EDUCATION: SCALE DEVELOPMENT, VALIDATION, AND PSYCHOMETRIC PROPERTIES </w:t>
      </w:r>
    </w:p>
    <w:p w14:paraId="3322A635" w14:textId="77777777" w:rsidR="00D03010" w:rsidRPr="0032506F" w:rsidRDefault="00D03010" w:rsidP="00D03010">
      <w:pPr>
        <w:spacing w:after="200" w:line="480" w:lineRule="auto"/>
        <w:jc w:val="center"/>
        <w:rPr>
          <w:rFonts w:ascii="Times New Roman" w:eastAsia="Calibri" w:hAnsi="Times New Roman" w:cs="Times New Roman"/>
          <w:color w:val="000000"/>
          <w:sz w:val="24"/>
          <w:szCs w:val="24"/>
        </w:rPr>
      </w:pPr>
    </w:p>
    <w:p w14:paraId="534F1D4A" w14:textId="77777777" w:rsidR="00D03010" w:rsidRPr="0032506F" w:rsidRDefault="00D03010" w:rsidP="00D03010">
      <w:pPr>
        <w:rPr>
          <w:rFonts w:ascii="Times New Roman" w:hAnsi="Times New Roman" w:cs="Times New Roman"/>
          <w:sz w:val="24"/>
          <w:szCs w:val="24"/>
        </w:rPr>
      </w:pPr>
    </w:p>
    <w:p w14:paraId="065161A2" w14:textId="77777777" w:rsidR="00CE2311" w:rsidRPr="0032506F" w:rsidRDefault="00D03010" w:rsidP="009C6ADB">
      <w:pPr>
        <w:spacing w:after="0" w:line="360" w:lineRule="auto"/>
        <w:jc w:val="center"/>
        <w:rPr>
          <w:rFonts w:ascii="Times New Roman" w:hAnsi="Times New Roman" w:cs="Times New Roman"/>
          <w:sz w:val="24"/>
          <w:szCs w:val="24"/>
        </w:rPr>
      </w:pPr>
      <w:r w:rsidRPr="0032506F">
        <w:rPr>
          <w:rFonts w:ascii="Times New Roman" w:hAnsi="Times New Roman" w:cs="Times New Roman"/>
          <w:sz w:val="24"/>
          <w:szCs w:val="24"/>
        </w:rPr>
        <w:t xml:space="preserve">A DISSERTATION APPROVED FOR THE </w:t>
      </w:r>
    </w:p>
    <w:p w14:paraId="1D237827" w14:textId="6A562835" w:rsidR="00D03010" w:rsidRPr="0032506F" w:rsidRDefault="00D03010" w:rsidP="009C6ADB">
      <w:pPr>
        <w:spacing w:after="0" w:line="360" w:lineRule="auto"/>
        <w:jc w:val="center"/>
        <w:rPr>
          <w:rFonts w:ascii="Times New Roman" w:hAnsi="Times New Roman" w:cs="Times New Roman"/>
          <w:sz w:val="24"/>
          <w:szCs w:val="24"/>
        </w:rPr>
      </w:pPr>
      <w:r w:rsidRPr="0032506F">
        <w:rPr>
          <w:rFonts w:ascii="Times New Roman" w:hAnsi="Times New Roman" w:cs="Times New Roman"/>
          <w:sz w:val="24"/>
          <w:szCs w:val="24"/>
        </w:rPr>
        <w:t>DEPARTMENT OF EDUCATIONAL PSYCHOLOGY</w:t>
      </w:r>
    </w:p>
    <w:p w14:paraId="74C52298" w14:textId="77777777" w:rsidR="00D03010" w:rsidRPr="0032506F" w:rsidRDefault="00D03010" w:rsidP="009C6ADB">
      <w:pPr>
        <w:spacing w:after="0" w:line="360" w:lineRule="auto"/>
        <w:jc w:val="center"/>
        <w:rPr>
          <w:rFonts w:ascii="Times New Roman" w:hAnsi="Times New Roman" w:cs="Times New Roman"/>
          <w:sz w:val="24"/>
          <w:szCs w:val="24"/>
        </w:rPr>
      </w:pPr>
    </w:p>
    <w:p w14:paraId="49CD046C" w14:textId="77777777" w:rsidR="00D03010" w:rsidRPr="0032506F" w:rsidRDefault="00D03010" w:rsidP="00D03010">
      <w:pPr>
        <w:jc w:val="center"/>
        <w:rPr>
          <w:rFonts w:ascii="Times New Roman" w:hAnsi="Times New Roman" w:cs="Times New Roman"/>
          <w:sz w:val="24"/>
          <w:szCs w:val="24"/>
        </w:rPr>
      </w:pPr>
    </w:p>
    <w:p w14:paraId="592F8FF4" w14:textId="77777777" w:rsidR="00D03010" w:rsidRPr="0032506F" w:rsidRDefault="00D03010" w:rsidP="00D03010">
      <w:pPr>
        <w:jc w:val="center"/>
        <w:rPr>
          <w:rFonts w:ascii="Times New Roman" w:hAnsi="Times New Roman" w:cs="Times New Roman"/>
          <w:sz w:val="24"/>
          <w:szCs w:val="24"/>
        </w:rPr>
      </w:pPr>
    </w:p>
    <w:p w14:paraId="10B272FD" w14:textId="77777777" w:rsidR="00D03010" w:rsidRPr="0032506F" w:rsidRDefault="00D03010" w:rsidP="00D03010">
      <w:pPr>
        <w:jc w:val="center"/>
        <w:rPr>
          <w:rFonts w:ascii="Times New Roman" w:hAnsi="Times New Roman" w:cs="Times New Roman"/>
          <w:sz w:val="24"/>
          <w:szCs w:val="24"/>
        </w:rPr>
      </w:pPr>
    </w:p>
    <w:p w14:paraId="28F2043E" w14:textId="77777777" w:rsidR="00D03010" w:rsidRPr="0032506F" w:rsidRDefault="00D03010" w:rsidP="00D03010">
      <w:pPr>
        <w:jc w:val="center"/>
        <w:rPr>
          <w:rFonts w:ascii="Times New Roman" w:hAnsi="Times New Roman" w:cs="Times New Roman"/>
          <w:sz w:val="24"/>
          <w:szCs w:val="24"/>
        </w:rPr>
      </w:pPr>
    </w:p>
    <w:p w14:paraId="67997811" w14:textId="77777777" w:rsidR="00D03010" w:rsidRPr="0032506F" w:rsidRDefault="00D03010" w:rsidP="00D03010">
      <w:pPr>
        <w:jc w:val="center"/>
        <w:rPr>
          <w:rFonts w:ascii="Times New Roman" w:hAnsi="Times New Roman" w:cs="Times New Roman"/>
          <w:sz w:val="24"/>
          <w:szCs w:val="24"/>
        </w:rPr>
      </w:pPr>
    </w:p>
    <w:p w14:paraId="05A01133" w14:textId="77777777" w:rsidR="00D03010" w:rsidRPr="0032506F" w:rsidRDefault="00D03010" w:rsidP="00D03010">
      <w:pPr>
        <w:jc w:val="center"/>
        <w:rPr>
          <w:rFonts w:ascii="Times New Roman" w:hAnsi="Times New Roman" w:cs="Times New Roman"/>
          <w:sz w:val="24"/>
          <w:szCs w:val="24"/>
        </w:rPr>
      </w:pPr>
    </w:p>
    <w:p w14:paraId="68C09004" w14:textId="77777777" w:rsidR="00D03010" w:rsidRPr="0032506F" w:rsidRDefault="00D03010" w:rsidP="00D03010">
      <w:pPr>
        <w:jc w:val="center"/>
        <w:rPr>
          <w:rFonts w:ascii="Times New Roman" w:hAnsi="Times New Roman" w:cs="Times New Roman"/>
          <w:sz w:val="24"/>
          <w:szCs w:val="24"/>
        </w:rPr>
      </w:pPr>
    </w:p>
    <w:p w14:paraId="3E61D606" w14:textId="77777777" w:rsidR="00D03010" w:rsidRPr="0032506F" w:rsidRDefault="00D03010" w:rsidP="00D03010">
      <w:pPr>
        <w:jc w:val="center"/>
        <w:rPr>
          <w:rFonts w:ascii="Times New Roman" w:hAnsi="Times New Roman" w:cs="Times New Roman"/>
          <w:sz w:val="24"/>
          <w:szCs w:val="24"/>
        </w:rPr>
      </w:pPr>
    </w:p>
    <w:p w14:paraId="4A5C8596"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BY THE COMMITTEE CONSISTING OF</w:t>
      </w:r>
    </w:p>
    <w:p w14:paraId="5A7DAA6D" w14:textId="77777777" w:rsidR="00D03010" w:rsidRPr="0032506F" w:rsidRDefault="00D03010" w:rsidP="00D03010">
      <w:pPr>
        <w:jc w:val="center"/>
        <w:rPr>
          <w:rFonts w:ascii="Times New Roman" w:hAnsi="Times New Roman" w:cs="Times New Roman"/>
          <w:sz w:val="24"/>
          <w:szCs w:val="24"/>
        </w:rPr>
      </w:pP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p>
    <w:p w14:paraId="21FFF6C2" w14:textId="3F1B5ABC" w:rsidR="00D03010" w:rsidRPr="0032506F" w:rsidRDefault="00D03010" w:rsidP="00D03010">
      <w:pPr>
        <w:ind w:left="5760"/>
        <w:rPr>
          <w:rFonts w:ascii="Times New Roman" w:hAnsi="Times New Roman" w:cs="Times New Roman"/>
          <w:sz w:val="24"/>
          <w:szCs w:val="24"/>
        </w:rPr>
      </w:pPr>
      <w:r w:rsidRPr="0032506F">
        <w:rPr>
          <w:rFonts w:ascii="Times New Roman" w:hAnsi="Times New Roman" w:cs="Times New Roman"/>
          <w:sz w:val="24"/>
          <w:szCs w:val="24"/>
        </w:rPr>
        <w:t xml:space="preserve">                    Dr. Xun Ge, Chair </w:t>
      </w:r>
    </w:p>
    <w:p w14:paraId="73AA3E2D" w14:textId="5B7818A8" w:rsidR="00D03010" w:rsidRPr="0032506F" w:rsidRDefault="00D03010" w:rsidP="00D03010">
      <w:pPr>
        <w:ind w:left="5760" w:firstLine="720"/>
        <w:rPr>
          <w:rFonts w:ascii="Times New Roman" w:hAnsi="Times New Roman" w:cs="Times New Roman"/>
          <w:sz w:val="24"/>
          <w:szCs w:val="24"/>
        </w:rPr>
      </w:pPr>
      <w:r w:rsidRPr="0032506F">
        <w:rPr>
          <w:rFonts w:ascii="Times New Roman" w:hAnsi="Times New Roman" w:cs="Times New Roman"/>
          <w:sz w:val="24"/>
          <w:szCs w:val="24"/>
        </w:rPr>
        <w:t xml:space="preserve">      </w:t>
      </w:r>
      <w:r w:rsidR="00CF215D" w:rsidRPr="0032506F">
        <w:rPr>
          <w:rFonts w:ascii="Times New Roman" w:hAnsi="Times New Roman" w:cs="Times New Roman"/>
          <w:sz w:val="24"/>
          <w:szCs w:val="24"/>
        </w:rPr>
        <w:t xml:space="preserve">  </w:t>
      </w:r>
      <w:r w:rsidRPr="0032506F">
        <w:rPr>
          <w:rFonts w:ascii="Times New Roman" w:hAnsi="Times New Roman" w:cs="Times New Roman"/>
          <w:sz w:val="24"/>
          <w:szCs w:val="24"/>
        </w:rPr>
        <w:t xml:space="preserve">Dr. Amy </w:t>
      </w:r>
      <w:r w:rsidR="00CF215D" w:rsidRPr="0032506F">
        <w:rPr>
          <w:rFonts w:ascii="Times New Roman" w:hAnsi="Times New Roman" w:cs="Times New Roman"/>
          <w:sz w:val="24"/>
          <w:szCs w:val="24"/>
        </w:rPr>
        <w:t xml:space="preserve">C. </w:t>
      </w:r>
      <w:r w:rsidRPr="0032506F">
        <w:rPr>
          <w:rFonts w:ascii="Times New Roman" w:hAnsi="Times New Roman" w:cs="Times New Roman"/>
          <w:sz w:val="24"/>
          <w:szCs w:val="24"/>
        </w:rPr>
        <w:t xml:space="preserve">Bradshaw </w:t>
      </w:r>
    </w:p>
    <w:p w14:paraId="65202C0C" w14:textId="7912A605" w:rsidR="00D03010" w:rsidRPr="0032506F" w:rsidRDefault="00D03010" w:rsidP="00D03010">
      <w:pPr>
        <w:rPr>
          <w:rFonts w:ascii="Times New Roman" w:hAnsi="Times New Roman" w:cs="Times New Roman"/>
          <w:sz w:val="24"/>
          <w:szCs w:val="24"/>
        </w:rPr>
      </w:pPr>
      <w:r w:rsidRPr="0032506F">
        <w:rPr>
          <w:rFonts w:ascii="Times New Roman" w:hAnsi="Times New Roman" w:cs="Times New Roman"/>
          <w:sz w:val="24"/>
          <w:szCs w:val="24"/>
        </w:rPr>
        <w:t xml:space="preserve">                                                                                                                   </w:t>
      </w:r>
      <w:r w:rsidR="00CF215D" w:rsidRPr="0032506F">
        <w:rPr>
          <w:rFonts w:ascii="Times New Roman" w:hAnsi="Times New Roman" w:cs="Times New Roman"/>
          <w:sz w:val="24"/>
          <w:szCs w:val="24"/>
        </w:rPr>
        <w:t xml:space="preserve"> </w:t>
      </w:r>
      <w:bookmarkStart w:id="2" w:name="_Hlk102308995"/>
      <w:r w:rsidRPr="0032506F">
        <w:rPr>
          <w:rFonts w:ascii="Times New Roman" w:hAnsi="Times New Roman" w:cs="Times New Roman"/>
          <w:sz w:val="24"/>
          <w:szCs w:val="24"/>
        </w:rPr>
        <w:t>Dr. Benjamin C. Heddy</w:t>
      </w:r>
      <w:bookmarkEnd w:id="2"/>
    </w:p>
    <w:p w14:paraId="1E46B130" w14:textId="293F364B" w:rsidR="00D03010" w:rsidRPr="0032506F" w:rsidRDefault="00D03010" w:rsidP="00D03010">
      <w:pPr>
        <w:rPr>
          <w:rFonts w:ascii="Times New Roman" w:hAnsi="Times New Roman" w:cs="Times New Roman"/>
          <w:sz w:val="24"/>
          <w:szCs w:val="24"/>
        </w:rPr>
      </w:pP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r>
      <w:r w:rsidRPr="0032506F">
        <w:rPr>
          <w:rFonts w:ascii="Times New Roman" w:hAnsi="Times New Roman" w:cs="Times New Roman"/>
          <w:sz w:val="24"/>
          <w:szCs w:val="24"/>
        </w:rPr>
        <w:tab/>
        <w:t xml:space="preserve">     </w:t>
      </w:r>
      <w:r w:rsidR="00CF215D" w:rsidRPr="0032506F">
        <w:rPr>
          <w:rFonts w:ascii="Times New Roman" w:hAnsi="Times New Roman" w:cs="Times New Roman"/>
          <w:sz w:val="24"/>
          <w:szCs w:val="24"/>
        </w:rPr>
        <w:t xml:space="preserve">   </w:t>
      </w:r>
      <w:r w:rsidRPr="0032506F">
        <w:rPr>
          <w:rFonts w:ascii="Times New Roman" w:hAnsi="Times New Roman" w:cs="Times New Roman"/>
          <w:sz w:val="24"/>
          <w:szCs w:val="24"/>
        </w:rPr>
        <w:t>Dr. Doo Hun Lim</w:t>
      </w:r>
    </w:p>
    <w:p w14:paraId="0A1761E7" w14:textId="77777777" w:rsidR="00271196" w:rsidRPr="0032506F" w:rsidRDefault="00D03010" w:rsidP="00271196">
      <w:pPr>
        <w:ind w:left="6480"/>
        <w:rPr>
          <w:rFonts w:ascii="Times New Roman" w:hAnsi="Times New Roman" w:cs="Times New Roman"/>
          <w:sz w:val="24"/>
          <w:szCs w:val="24"/>
        </w:rPr>
      </w:pPr>
      <w:r w:rsidRPr="0032506F">
        <w:rPr>
          <w:rFonts w:ascii="Times New Roman" w:hAnsi="Times New Roman" w:cs="Times New Roman"/>
          <w:sz w:val="24"/>
          <w:szCs w:val="24"/>
        </w:rPr>
        <w:t xml:space="preserve">      </w:t>
      </w:r>
      <w:r w:rsidR="00CF215D" w:rsidRPr="0032506F">
        <w:rPr>
          <w:rFonts w:ascii="Times New Roman" w:hAnsi="Times New Roman" w:cs="Times New Roman"/>
          <w:sz w:val="24"/>
          <w:szCs w:val="24"/>
        </w:rPr>
        <w:t xml:space="preserve">  </w:t>
      </w:r>
      <w:bookmarkStart w:id="3" w:name="_Hlk102308920"/>
      <w:r w:rsidRPr="0032506F">
        <w:rPr>
          <w:rFonts w:ascii="Times New Roman" w:hAnsi="Times New Roman" w:cs="Times New Roman"/>
          <w:sz w:val="24"/>
          <w:szCs w:val="24"/>
        </w:rPr>
        <w:t>Dr. H. Michael Crowso</w:t>
      </w:r>
      <w:r w:rsidR="002D6784" w:rsidRPr="0032506F">
        <w:rPr>
          <w:rFonts w:ascii="Times New Roman" w:hAnsi="Times New Roman" w:cs="Times New Roman"/>
          <w:sz w:val="24"/>
          <w:szCs w:val="24"/>
        </w:rPr>
        <w:t>n</w:t>
      </w:r>
      <w:bookmarkEnd w:id="3"/>
    </w:p>
    <w:p w14:paraId="0F9B06BF" w14:textId="77777777" w:rsidR="00271196" w:rsidRPr="0032506F" w:rsidRDefault="00271196" w:rsidP="00271196">
      <w:pPr>
        <w:rPr>
          <w:rFonts w:ascii="Times New Roman" w:hAnsi="Times New Roman" w:cs="Times New Roman"/>
          <w:sz w:val="24"/>
          <w:szCs w:val="24"/>
        </w:rPr>
      </w:pPr>
    </w:p>
    <w:p w14:paraId="4965B140" w14:textId="77777777" w:rsidR="00271196" w:rsidRPr="0032506F" w:rsidRDefault="00271196" w:rsidP="00271196">
      <w:pPr>
        <w:rPr>
          <w:rFonts w:ascii="Times New Roman" w:hAnsi="Times New Roman" w:cs="Times New Roman"/>
          <w:sz w:val="24"/>
          <w:szCs w:val="24"/>
        </w:rPr>
      </w:pPr>
    </w:p>
    <w:p w14:paraId="06DA4F00" w14:textId="17C6BF59" w:rsidR="00271196" w:rsidRPr="0032506F" w:rsidRDefault="00271196" w:rsidP="00271196">
      <w:pPr>
        <w:tabs>
          <w:tab w:val="left" w:pos="8443"/>
        </w:tabs>
        <w:rPr>
          <w:rFonts w:ascii="Times New Roman" w:hAnsi="Times New Roman" w:cs="Times New Roman"/>
          <w:sz w:val="24"/>
          <w:szCs w:val="24"/>
        </w:rPr>
        <w:sectPr w:rsidR="00271196" w:rsidRPr="0032506F" w:rsidSect="00271196">
          <w:pgSz w:w="12240" w:h="15840"/>
          <w:pgMar w:top="1440" w:right="1440" w:bottom="1440" w:left="1440" w:header="720" w:footer="720" w:gutter="0"/>
          <w:pgNumType w:fmt="lowerRoman" w:start="1"/>
          <w:cols w:space="720"/>
          <w:titlePg/>
          <w:docGrid w:linePitch="360"/>
        </w:sectPr>
      </w:pPr>
    </w:p>
    <w:p w14:paraId="1ED017E3" w14:textId="77777777" w:rsidR="00271196" w:rsidRPr="0032506F" w:rsidRDefault="00271196" w:rsidP="00271196">
      <w:pPr>
        <w:tabs>
          <w:tab w:val="left" w:pos="8443"/>
        </w:tabs>
        <w:rPr>
          <w:rFonts w:ascii="Times New Roman" w:hAnsi="Times New Roman" w:cs="Times New Roman"/>
          <w:sz w:val="24"/>
          <w:szCs w:val="24"/>
        </w:rPr>
      </w:pPr>
    </w:p>
    <w:p w14:paraId="690632D0" w14:textId="77777777" w:rsidR="00271196" w:rsidRPr="0032506F" w:rsidRDefault="00271196" w:rsidP="00271196">
      <w:pPr>
        <w:rPr>
          <w:rFonts w:ascii="Times New Roman" w:hAnsi="Times New Roman" w:cs="Times New Roman"/>
          <w:sz w:val="24"/>
          <w:szCs w:val="24"/>
        </w:rPr>
      </w:pPr>
    </w:p>
    <w:p w14:paraId="5A1AEE87" w14:textId="77777777" w:rsidR="00271196" w:rsidRPr="0032506F" w:rsidRDefault="00271196" w:rsidP="00271196">
      <w:pPr>
        <w:rPr>
          <w:rFonts w:ascii="Times New Roman" w:hAnsi="Times New Roman" w:cs="Times New Roman"/>
          <w:sz w:val="24"/>
          <w:szCs w:val="24"/>
        </w:rPr>
      </w:pPr>
    </w:p>
    <w:p w14:paraId="14251955" w14:textId="2D72A006" w:rsidR="00271196" w:rsidRPr="0032506F" w:rsidRDefault="00271196" w:rsidP="00271196">
      <w:pPr>
        <w:tabs>
          <w:tab w:val="left" w:pos="5169"/>
        </w:tabs>
        <w:rPr>
          <w:rFonts w:ascii="Times New Roman" w:hAnsi="Times New Roman" w:cs="Times New Roman"/>
          <w:sz w:val="24"/>
          <w:szCs w:val="24"/>
        </w:rPr>
      </w:pPr>
      <w:r w:rsidRPr="0032506F">
        <w:rPr>
          <w:rFonts w:ascii="Times New Roman" w:hAnsi="Times New Roman" w:cs="Times New Roman"/>
          <w:sz w:val="24"/>
          <w:szCs w:val="24"/>
        </w:rPr>
        <w:tab/>
      </w:r>
    </w:p>
    <w:p w14:paraId="2171C56C" w14:textId="24AF7F67" w:rsidR="00271196" w:rsidRPr="0032506F" w:rsidRDefault="00271196" w:rsidP="00271196">
      <w:pPr>
        <w:tabs>
          <w:tab w:val="left" w:pos="5169"/>
        </w:tabs>
        <w:rPr>
          <w:rFonts w:ascii="Times New Roman" w:hAnsi="Times New Roman" w:cs="Times New Roman"/>
          <w:sz w:val="24"/>
          <w:szCs w:val="24"/>
        </w:rPr>
      </w:pPr>
    </w:p>
    <w:p w14:paraId="7BB74A9C" w14:textId="41B64BB7" w:rsidR="00271196" w:rsidRPr="0032506F" w:rsidRDefault="00271196" w:rsidP="00271196">
      <w:pPr>
        <w:tabs>
          <w:tab w:val="left" w:pos="5169"/>
        </w:tabs>
        <w:rPr>
          <w:rFonts w:ascii="Times New Roman" w:hAnsi="Times New Roman" w:cs="Times New Roman"/>
          <w:sz w:val="24"/>
          <w:szCs w:val="24"/>
        </w:rPr>
      </w:pPr>
    </w:p>
    <w:p w14:paraId="09838DDD" w14:textId="16E61DB8" w:rsidR="00271196" w:rsidRPr="0032506F" w:rsidRDefault="00271196" w:rsidP="00271196">
      <w:pPr>
        <w:tabs>
          <w:tab w:val="left" w:pos="5169"/>
        </w:tabs>
        <w:rPr>
          <w:rFonts w:ascii="Times New Roman" w:hAnsi="Times New Roman" w:cs="Times New Roman"/>
          <w:sz w:val="24"/>
          <w:szCs w:val="24"/>
        </w:rPr>
      </w:pPr>
    </w:p>
    <w:p w14:paraId="150EEBCC" w14:textId="78789D50" w:rsidR="00271196" w:rsidRPr="0032506F" w:rsidRDefault="00271196" w:rsidP="00271196">
      <w:pPr>
        <w:tabs>
          <w:tab w:val="left" w:pos="5169"/>
        </w:tabs>
        <w:rPr>
          <w:rFonts w:ascii="Times New Roman" w:hAnsi="Times New Roman" w:cs="Times New Roman"/>
          <w:sz w:val="24"/>
          <w:szCs w:val="24"/>
        </w:rPr>
      </w:pPr>
    </w:p>
    <w:p w14:paraId="46380CB5" w14:textId="6F4C6553" w:rsidR="00271196" w:rsidRPr="0032506F" w:rsidRDefault="00271196" w:rsidP="00271196">
      <w:pPr>
        <w:tabs>
          <w:tab w:val="left" w:pos="5169"/>
        </w:tabs>
        <w:rPr>
          <w:rFonts w:ascii="Times New Roman" w:hAnsi="Times New Roman" w:cs="Times New Roman"/>
          <w:sz w:val="24"/>
          <w:szCs w:val="24"/>
        </w:rPr>
      </w:pPr>
    </w:p>
    <w:p w14:paraId="60D81EBB" w14:textId="5E1FD641" w:rsidR="00271196" w:rsidRPr="0032506F" w:rsidRDefault="00271196" w:rsidP="00271196">
      <w:pPr>
        <w:tabs>
          <w:tab w:val="left" w:pos="5169"/>
        </w:tabs>
        <w:rPr>
          <w:rFonts w:ascii="Times New Roman" w:hAnsi="Times New Roman" w:cs="Times New Roman"/>
          <w:sz w:val="24"/>
          <w:szCs w:val="24"/>
        </w:rPr>
      </w:pPr>
    </w:p>
    <w:p w14:paraId="066B7227" w14:textId="63070347" w:rsidR="00271196" w:rsidRPr="0032506F" w:rsidRDefault="00271196" w:rsidP="00271196">
      <w:pPr>
        <w:tabs>
          <w:tab w:val="left" w:pos="5169"/>
        </w:tabs>
        <w:rPr>
          <w:rFonts w:ascii="Times New Roman" w:hAnsi="Times New Roman" w:cs="Times New Roman"/>
          <w:sz w:val="24"/>
          <w:szCs w:val="24"/>
        </w:rPr>
      </w:pPr>
    </w:p>
    <w:p w14:paraId="1F15B514" w14:textId="1ED08487" w:rsidR="00271196" w:rsidRPr="0032506F" w:rsidRDefault="00271196" w:rsidP="00271196">
      <w:pPr>
        <w:tabs>
          <w:tab w:val="left" w:pos="5169"/>
        </w:tabs>
        <w:rPr>
          <w:rFonts w:ascii="Times New Roman" w:hAnsi="Times New Roman" w:cs="Times New Roman"/>
          <w:sz w:val="24"/>
          <w:szCs w:val="24"/>
        </w:rPr>
      </w:pPr>
    </w:p>
    <w:p w14:paraId="4078F4BA" w14:textId="7B515A8F" w:rsidR="00271196" w:rsidRPr="0032506F" w:rsidRDefault="00271196" w:rsidP="00271196">
      <w:pPr>
        <w:tabs>
          <w:tab w:val="left" w:pos="5169"/>
        </w:tabs>
        <w:rPr>
          <w:rFonts w:ascii="Times New Roman" w:hAnsi="Times New Roman" w:cs="Times New Roman"/>
          <w:sz w:val="24"/>
          <w:szCs w:val="24"/>
        </w:rPr>
      </w:pPr>
    </w:p>
    <w:p w14:paraId="7B0C1BBA" w14:textId="1A90B179" w:rsidR="00271196" w:rsidRPr="0032506F" w:rsidRDefault="00271196" w:rsidP="00271196">
      <w:pPr>
        <w:tabs>
          <w:tab w:val="left" w:pos="5169"/>
        </w:tabs>
        <w:rPr>
          <w:rFonts w:ascii="Times New Roman" w:hAnsi="Times New Roman" w:cs="Times New Roman"/>
          <w:sz w:val="24"/>
          <w:szCs w:val="24"/>
        </w:rPr>
      </w:pPr>
    </w:p>
    <w:p w14:paraId="3BF52F05" w14:textId="4819B845" w:rsidR="00271196" w:rsidRPr="0032506F" w:rsidRDefault="00271196" w:rsidP="00271196">
      <w:pPr>
        <w:tabs>
          <w:tab w:val="left" w:pos="5169"/>
        </w:tabs>
        <w:rPr>
          <w:rFonts w:ascii="Times New Roman" w:hAnsi="Times New Roman" w:cs="Times New Roman"/>
          <w:sz w:val="24"/>
          <w:szCs w:val="24"/>
        </w:rPr>
      </w:pPr>
    </w:p>
    <w:p w14:paraId="1DBF06A9" w14:textId="446F41D5" w:rsidR="00271196" w:rsidRPr="0032506F" w:rsidRDefault="00271196" w:rsidP="00271196">
      <w:pPr>
        <w:tabs>
          <w:tab w:val="left" w:pos="5169"/>
        </w:tabs>
        <w:rPr>
          <w:rFonts w:ascii="Times New Roman" w:hAnsi="Times New Roman" w:cs="Times New Roman"/>
          <w:sz w:val="24"/>
          <w:szCs w:val="24"/>
        </w:rPr>
      </w:pPr>
    </w:p>
    <w:p w14:paraId="7B3D6A4F" w14:textId="7E24420C" w:rsidR="00271196" w:rsidRPr="0032506F" w:rsidRDefault="00271196" w:rsidP="00271196">
      <w:pPr>
        <w:tabs>
          <w:tab w:val="left" w:pos="5169"/>
        </w:tabs>
        <w:rPr>
          <w:rFonts w:ascii="Times New Roman" w:hAnsi="Times New Roman" w:cs="Times New Roman"/>
          <w:sz w:val="24"/>
          <w:szCs w:val="24"/>
        </w:rPr>
      </w:pPr>
    </w:p>
    <w:p w14:paraId="5006AF2F" w14:textId="2B7B7C69" w:rsidR="00271196" w:rsidRPr="0032506F" w:rsidRDefault="00271196" w:rsidP="00271196">
      <w:pPr>
        <w:tabs>
          <w:tab w:val="left" w:pos="5169"/>
        </w:tabs>
        <w:rPr>
          <w:rFonts w:ascii="Times New Roman" w:hAnsi="Times New Roman" w:cs="Times New Roman"/>
          <w:sz w:val="24"/>
          <w:szCs w:val="24"/>
        </w:rPr>
      </w:pPr>
    </w:p>
    <w:p w14:paraId="3B6095EC" w14:textId="0364470B" w:rsidR="00271196" w:rsidRPr="0032506F" w:rsidRDefault="00271196" w:rsidP="00271196">
      <w:pPr>
        <w:tabs>
          <w:tab w:val="left" w:pos="5169"/>
        </w:tabs>
        <w:rPr>
          <w:rFonts w:ascii="Times New Roman" w:hAnsi="Times New Roman" w:cs="Times New Roman"/>
          <w:sz w:val="24"/>
          <w:szCs w:val="24"/>
        </w:rPr>
      </w:pPr>
    </w:p>
    <w:p w14:paraId="39062F56" w14:textId="3D52D4E1" w:rsidR="00271196" w:rsidRPr="0032506F" w:rsidRDefault="00271196" w:rsidP="00271196">
      <w:pPr>
        <w:tabs>
          <w:tab w:val="left" w:pos="5169"/>
        </w:tabs>
        <w:rPr>
          <w:rFonts w:ascii="Times New Roman" w:hAnsi="Times New Roman" w:cs="Times New Roman"/>
          <w:sz w:val="24"/>
          <w:szCs w:val="24"/>
        </w:rPr>
      </w:pPr>
    </w:p>
    <w:p w14:paraId="2DBD7F06" w14:textId="59BEE75D" w:rsidR="00271196" w:rsidRPr="0032506F" w:rsidRDefault="00271196" w:rsidP="00271196">
      <w:pPr>
        <w:tabs>
          <w:tab w:val="left" w:pos="5169"/>
        </w:tabs>
        <w:rPr>
          <w:rFonts w:ascii="Times New Roman" w:hAnsi="Times New Roman" w:cs="Times New Roman"/>
          <w:sz w:val="24"/>
          <w:szCs w:val="24"/>
        </w:rPr>
      </w:pPr>
    </w:p>
    <w:p w14:paraId="0BBEC0FE" w14:textId="2FFE7A76" w:rsidR="00271196" w:rsidRPr="0032506F" w:rsidRDefault="00271196" w:rsidP="00271196">
      <w:pPr>
        <w:tabs>
          <w:tab w:val="left" w:pos="5169"/>
        </w:tabs>
        <w:rPr>
          <w:rFonts w:ascii="Times New Roman" w:hAnsi="Times New Roman" w:cs="Times New Roman"/>
          <w:sz w:val="24"/>
          <w:szCs w:val="24"/>
        </w:rPr>
      </w:pPr>
    </w:p>
    <w:p w14:paraId="50ACBE75" w14:textId="0E13742F" w:rsidR="00271196" w:rsidRPr="0032506F" w:rsidRDefault="00271196" w:rsidP="00271196">
      <w:pPr>
        <w:tabs>
          <w:tab w:val="left" w:pos="5169"/>
        </w:tabs>
        <w:rPr>
          <w:rFonts w:ascii="Times New Roman" w:hAnsi="Times New Roman" w:cs="Times New Roman"/>
          <w:sz w:val="24"/>
          <w:szCs w:val="24"/>
        </w:rPr>
      </w:pPr>
    </w:p>
    <w:p w14:paraId="1B5CF536" w14:textId="5837CCB1" w:rsidR="00271196" w:rsidRPr="0032506F" w:rsidRDefault="00271196" w:rsidP="00271196">
      <w:pPr>
        <w:tabs>
          <w:tab w:val="left" w:pos="5169"/>
        </w:tabs>
        <w:rPr>
          <w:rFonts w:ascii="Times New Roman" w:hAnsi="Times New Roman" w:cs="Times New Roman"/>
          <w:sz w:val="24"/>
          <w:szCs w:val="24"/>
        </w:rPr>
      </w:pPr>
    </w:p>
    <w:p w14:paraId="6FB4855A" w14:textId="7B6CD2D7" w:rsidR="00271196" w:rsidRPr="0032506F" w:rsidRDefault="00271196" w:rsidP="00271196">
      <w:pPr>
        <w:tabs>
          <w:tab w:val="left" w:pos="5169"/>
        </w:tabs>
        <w:rPr>
          <w:rFonts w:ascii="Times New Roman" w:hAnsi="Times New Roman" w:cs="Times New Roman"/>
          <w:sz w:val="24"/>
          <w:szCs w:val="24"/>
        </w:rPr>
      </w:pPr>
    </w:p>
    <w:p w14:paraId="1D093131" w14:textId="77777777" w:rsidR="00271196" w:rsidRPr="0032506F" w:rsidRDefault="00271196" w:rsidP="00271196">
      <w:pPr>
        <w:spacing w:after="0" w:line="240" w:lineRule="auto"/>
        <w:jc w:val="center"/>
        <w:rPr>
          <w:rFonts w:ascii="Times New Roman" w:hAnsi="Times New Roman" w:cs="Times New Roman"/>
          <w:sz w:val="24"/>
          <w:szCs w:val="24"/>
        </w:rPr>
      </w:pPr>
      <w:r w:rsidRPr="0032506F">
        <w:rPr>
          <w:rFonts w:ascii="Times New Roman" w:hAnsi="Times New Roman" w:cs="Times New Roman"/>
          <w:sz w:val="24"/>
          <w:szCs w:val="24"/>
        </w:rPr>
        <w:t>© Copyright by MURAT TURK 2022</w:t>
      </w:r>
    </w:p>
    <w:p w14:paraId="04B0E83D" w14:textId="77777777" w:rsidR="00271196" w:rsidRPr="0032506F" w:rsidRDefault="00271196" w:rsidP="00271196">
      <w:pPr>
        <w:spacing w:after="0" w:line="240" w:lineRule="auto"/>
        <w:jc w:val="center"/>
        <w:rPr>
          <w:rFonts w:ascii="Times New Roman" w:hAnsi="Times New Roman" w:cs="Times New Roman"/>
          <w:sz w:val="24"/>
          <w:szCs w:val="24"/>
        </w:rPr>
      </w:pPr>
      <w:r w:rsidRPr="0032506F">
        <w:rPr>
          <w:rFonts w:ascii="Times New Roman" w:hAnsi="Times New Roman" w:cs="Times New Roman"/>
          <w:sz w:val="24"/>
          <w:szCs w:val="24"/>
        </w:rPr>
        <w:t>All Rights Reserved.</w:t>
      </w:r>
    </w:p>
    <w:p w14:paraId="21ABAE31" w14:textId="6E499FA7" w:rsidR="00271196" w:rsidRPr="0032506F" w:rsidRDefault="00271196" w:rsidP="00271196">
      <w:pPr>
        <w:tabs>
          <w:tab w:val="left" w:pos="5169"/>
        </w:tabs>
        <w:rPr>
          <w:rFonts w:ascii="Times New Roman" w:hAnsi="Times New Roman" w:cs="Times New Roman"/>
          <w:sz w:val="24"/>
          <w:szCs w:val="24"/>
        </w:rPr>
        <w:sectPr w:rsidR="00271196" w:rsidRPr="0032506F" w:rsidSect="00271196">
          <w:pgSz w:w="12240" w:h="15840"/>
          <w:pgMar w:top="1440" w:right="1440" w:bottom="1440" w:left="1440" w:header="720" w:footer="720" w:gutter="0"/>
          <w:pgNumType w:fmt="lowerRoman" w:start="1"/>
          <w:cols w:space="720"/>
          <w:titlePg/>
          <w:docGrid w:linePitch="360"/>
        </w:sectPr>
      </w:pPr>
      <w:r w:rsidRPr="0032506F">
        <w:rPr>
          <w:rFonts w:ascii="Times New Roman" w:hAnsi="Times New Roman" w:cs="Times New Roman"/>
          <w:sz w:val="24"/>
          <w:szCs w:val="24"/>
        </w:rPr>
        <w:tab/>
      </w:r>
    </w:p>
    <w:p w14:paraId="5E7DC63F" w14:textId="48C6CEE6" w:rsidR="001A73B6" w:rsidRPr="0032506F" w:rsidRDefault="00F04624" w:rsidP="00F04624">
      <w:pPr>
        <w:pStyle w:val="Heading1"/>
      </w:pPr>
      <w:bookmarkStart w:id="4" w:name="_Toc102489420"/>
      <w:r w:rsidRPr="0032506F">
        <w:lastRenderedPageBreak/>
        <w:t>Dedication</w:t>
      </w:r>
      <w:bookmarkEnd w:id="4"/>
    </w:p>
    <w:p w14:paraId="6786F116" w14:textId="733D5C9D" w:rsidR="008114B5" w:rsidRPr="0032506F" w:rsidRDefault="008114B5" w:rsidP="008114B5">
      <w:pPr>
        <w:pStyle w:val="NoSpacing"/>
      </w:pPr>
      <w:r w:rsidRPr="0032506F">
        <w:tab/>
      </w:r>
    </w:p>
    <w:p w14:paraId="2A22A989" w14:textId="77777777" w:rsidR="00A74CEA" w:rsidRPr="0032506F" w:rsidRDefault="00883C0F" w:rsidP="00AA40D2">
      <w:pPr>
        <w:spacing w:line="480" w:lineRule="auto"/>
        <w:jc w:val="center"/>
        <w:rPr>
          <w:rFonts w:ascii="Times New Roman" w:hAnsi="Times New Roman" w:cs="Times New Roman"/>
          <w:sz w:val="24"/>
          <w:szCs w:val="24"/>
        </w:rPr>
      </w:pPr>
      <w:r w:rsidRPr="0032506F">
        <w:rPr>
          <w:rFonts w:ascii="Times New Roman" w:hAnsi="Times New Roman" w:cs="Times New Roman"/>
          <w:sz w:val="24"/>
          <w:szCs w:val="24"/>
        </w:rPr>
        <w:t>I dedicate</w:t>
      </w:r>
      <w:r w:rsidR="008C3F20" w:rsidRPr="0032506F">
        <w:rPr>
          <w:rFonts w:ascii="Times New Roman" w:hAnsi="Times New Roman" w:cs="Times New Roman"/>
          <w:sz w:val="24"/>
          <w:szCs w:val="24"/>
        </w:rPr>
        <w:t xml:space="preserve"> this dissertation to </w:t>
      </w:r>
    </w:p>
    <w:p w14:paraId="0C1430BB" w14:textId="3D9904A8" w:rsidR="008114B5" w:rsidRPr="0032506F" w:rsidRDefault="008C3F20" w:rsidP="00AA40D2">
      <w:pPr>
        <w:spacing w:line="480" w:lineRule="auto"/>
        <w:jc w:val="center"/>
        <w:rPr>
          <w:rFonts w:ascii="Times New Roman" w:hAnsi="Times New Roman" w:cs="Times New Roman"/>
          <w:sz w:val="24"/>
          <w:szCs w:val="24"/>
        </w:rPr>
        <w:sectPr w:rsidR="008114B5" w:rsidRPr="0032506F" w:rsidSect="009350FC">
          <w:pgSz w:w="12240" w:h="15840"/>
          <w:pgMar w:top="1440" w:right="1440" w:bottom="1440" w:left="1440" w:header="720" w:footer="720" w:gutter="0"/>
          <w:pgNumType w:fmt="lowerRoman" w:start="4"/>
          <w:cols w:space="720"/>
          <w:docGrid w:linePitch="360"/>
        </w:sectPr>
      </w:pPr>
      <w:r w:rsidRPr="0032506F">
        <w:rPr>
          <w:rFonts w:ascii="Times New Roman" w:hAnsi="Times New Roman" w:cs="Times New Roman"/>
          <w:sz w:val="24"/>
          <w:szCs w:val="24"/>
        </w:rPr>
        <w:t xml:space="preserve">my beloved daughter </w:t>
      </w:r>
      <w:r w:rsidRPr="0032506F">
        <w:rPr>
          <w:rFonts w:ascii="Times New Roman" w:hAnsi="Times New Roman" w:cs="Times New Roman"/>
          <w:i/>
          <w:iCs/>
          <w:sz w:val="24"/>
          <w:szCs w:val="24"/>
        </w:rPr>
        <w:t>Begum Turk</w:t>
      </w:r>
      <w:r w:rsidRPr="0032506F">
        <w:rPr>
          <w:rFonts w:ascii="Times New Roman" w:hAnsi="Times New Roman" w:cs="Times New Roman"/>
          <w:sz w:val="24"/>
          <w:szCs w:val="24"/>
        </w:rPr>
        <w:t xml:space="preserve">, who has always </w:t>
      </w:r>
      <w:r w:rsidR="00AA40D2" w:rsidRPr="0032506F">
        <w:rPr>
          <w:rFonts w:ascii="Times New Roman" w:hAnsi="Times New Roman" w:cs="Times New Roman"/>
          <w:sz w:val="24"/>
          <w:szCs w:val="24"/>
        </w:rPr>
        <w:t>supported me emotionally and psychologically during this difficult and challenging journey</w:t>
      </w:r>
      <w:r w:rsidR="00BE30A0" w:rsidRPr="0032506F">
        <w:rPr>
          <w:rFonts w:ascii="Times New Roman" w:hAnsi="Times New Roman" w:cs="Times New Roman"/>
          <w:sz w:val="24"/>
          <w:szCs w:val="24"/>
        </w:rPr>
        <w:t xml:space="preserve"> with her unconditional love and presence</w:t>
      </w:r>
      <w:r w:rsidR="00AA40D2" w:rsidRPr="0032506F">
        <w:rPr>
          <w:rFonts w:ascii="Times New Roman" w:hAnsi="Times New Roman" w:cs="Times New Roman"/>
          <w:sz w:val="24"/>
          <w:szCs w:val="24"/>
        </w:rPr>
        <w:t xml:space="preserve">. </w:t>
      </w:r>
      <w:r w:rsidR="00A74CEA" w:rsidRPr="0032506F">
        <w:rPr>
          <w:rFonts w:ascii="Times New Roman" w:hAnsi="Times New Roman" w:cs="Times New Roman"/>
          <w:sz w:val="24"/>
          <w:szCs w:val="24"/>
        </w:rPr>
        <w:t xml:space="preserve">This dissertation would not have been possible without you, my </w:t>
      </w:r>
      <w:r w:rsidR="001E5A5D" w:rsidRPr="001E5A5D">
        <w:rPr>
          <w:rFonts w:ascii="Times New Roman" w:hAnsi="Times New Roman" w:cs="Times New Roman"/>
          <w:i/>
          <w:iCs/>
          <w:sz w:val="24"/>
          <w:szCs w:val="24"/>
        </w:rPr>
        <w:t>Poncikita</w:t>
      </w:r>
      <w:r w:rsidR="00A74CEA" w:rsidRPr="0032506F">
        <w:rPr>
          <w:rFonts w:ascii="Times New Roman" w:hAnsi="Times New Roman" w:cs="Times New Roman"/>
          <w:sz w:val="24"/>
          <w:szCs w:val="24"/>
        </w:rPr>
        <w:t xml:space="preserve">. </w:t>
      </w:r>
      <w:r w:rsidR="00883C0F" w:rsidRPr="0032506F">
        <w:rPr>
          <w:rFonts w:ascii="Times New Roman" w:hAnsi="Times New Roman" w:cs="Times New Roman"/>
          <w:sz w:val="24"/>
          <w:szCs w:val="24"/>
        </w:rPr>
        <w:t xml:space="preserve">      </w:t>
      </w:r>
    </w:p>
    <w:p w14:paraId="4BC39B1D" w14:textId="22404808" w:rsidR="00D2102A" w:rsidRPr="0032506F" w:rsidRDefault="00F04624" w:rsidP="00F04624">
      <w:pPr>
        <w:pStyle w:val="Heading1"/>
      </w:pPr>
      <w:bookmarkStart w:id="5" w:name="_Toc102489421"/>
      <w:r w:rsidRPr="0032506F">
        <w:lastRenderedPageBreak/>
        <w:t>Acknowledgements</w:t>
      </w:r>
      <w:bookmarkEnd w:id="5"/>
    </w:p>
    <w:p w14:paraId="60266304" w14:textId="2C8E529B" w:rsidR="00D2102A" w:rsidRPr="0032506F" w:rsidRDefault="00D2102A" w:rsidP="00630796">
      <w:pPr>
        <w:spacing w:line="480" w:lineRule="auto"/>
        <w:rPr>
          <w:rFonts w:ascii="Times New Roman" w:hAnsi="Times New Roman" w:cs="Times New Roman"/>
          <w:sz w:val="24"/>
          <w:szCs w:val="24"/>
        </w:rPr>
      </w:pPr>
      <w:r w:rsidRPr="0032506F">
        <w:rPr>
          <w:rFonts w:ascii="Times New Roman" w:hAnsi="Times New Roman" w:cs="Times New Roman"/>
          <w:sz w:val="24"/>
          <w:szCs w:val="24"/>
        </w:rPr>
        <w:tab/>
      </w:r>
      <w:proofErr w:type="gramStart"/>
      <w:r w:rsidR="00601F8B" w:rsidRPr="0032506F">
        <w:rPr>
          <w:rFonts w:ascii="Times New Roman" w:hAnsi="Times New Roman" w:cs="Times New Roman"/>
          <w:sz w:val="24"/>
          <w:szCs w:val="24"/>
        </w:rPr>
        <w:t>First of all</w:t>
      </w:r>
      <w:proofErr w:type="gramEnd"/>
      <w:r w:rsidR="00601F8B" w:rsidRPr="0032506F">
        <w:rPr>
          <w:rFonts w:ascii="Times New Roman" w:hAnsi="Times New Roman" w:cs="Times New Roman"/>
          <w:sz w:val="24"/>
          <w:szCs w:val="24"/>
        </w:rPr>
        <w:t>, I would like to thank</w:t>
      </w:r>
      <w:r w:rsidR="00E94609" w:rsidRPr="0032506F">
        <w:rPr>
          <w:rFonts w:ascii="Times New Roman" w:hAnsi="Times New Roman" w:cs="Times New Roman"/>
          <w:sz w:val="24"/>
          <w:szCs w:val="24"/>
        </w:rPr>
        <w:t xml:space="preserve"> all my committee members for their support and </w:t>
      </w:r>
      <w:r w:rsidR="00630796" w:rsidRPr="0032506F">
        <w:rPr>
          <w:rFonts w:ascii="Times New Roman" w:hAnsi="Times New Roman" w:cs="Times New Roman"/>
          <w:sz w:val="24"/>
          <w:szCs w:val="24"/>
        </w:rPr>
        <w:t xml:space="preserve">guidance throughout my program and this dissertation study. </w:t>
      </w:r>
      <w:r w:rsidR="0052347F" w:rsidRPr="0032506F">
        <w:rPr>
          <w:rFonts w:ascii="Times New Roman" w:hAnsi="Times New Roman" w:cs="Times New Roman"/>
          <w:sz w:val="24"/>
          <w:szCs w:val="24"/>
        </w:rPr>
        <w:t xml:space="preserve">I would like to thank my academic advisor </w:t>
      </w:r>
      <w:r w:rsidR="0052347F" w:rsidRPr="0032506F">
        <w:rPr>
          <w:rFonts w:ascii="Times New Roman" w:hAnsi="Times New Roman" w:cs="Times New Roman"/>
          <w:i/>
          <w:iCs/>
          <w:sz w:val="24"/>
          <w:szCs w:val="24"/>
        </w:rPr>
        <w:t>Dr. Xun Ge</w:t>
      </w:r>
      <w:r w:rsidR="0052347F" w:rsidRPr="0032506F">
        <w:rPr>
          <w:rFonts w:ascii="Times New Roman" w:hAnsi="Times New Roman" w:cs="Times New Roman"/>
          <w:sz w:val="24"/>
          <w:szCs w:val="24"/>
        </w:rPr>
        <w:t xml:space="preserve"> for her </w:t>
      </w:r>
      <w:r w:rsidR="004B5539" w:rsidRPr="0032506F">
        <w:rPr>
          <w:rFonts w:ascii="Times New Roman" w:hAnsi="Times New Roman" w:cs="Times New Roman"/>
          <w:sz w:val="24"/>
          <w:szCs w:val="24"/>
        </w:rPr>
        <w:t xml:space="preserve">invaluable feedback, </w:t>
      </w:r>
      <w:r w:rsidR="00B75061" w:rsidRPr="0032506F">
        <w:rPr>
          <w:rFonts w:ascii="Times New Roman" w:hAnsi="Times New Roman" w:cs="Times New Roman"/>
          <w:sz w:val="24"/>
          <w:szCs w:val="24"/>
        </w:rPr>
        <w:t xml:space="preserve">constant </w:t>
      </w:r>
      <w:r w:rsidR="0052347F" w:rsidRPr="0032506F">
        <w:rPr>
          <w:rFonts w:ascii="Times New Roman" w:hAnsi="Times New Roman" w:cs="Times New Roman"/>
          <w:sz w:val="24"/>
          <w:szCs w:val="24"/>
        </w:rPr>
        <w:t>guidance</w:t>
      </w:r>
      <w:r w:rsidR="00B75061" w:rsidRPr="0032506F">
        <w:rPr>
          <w:rFonts w:ascii="Times New Roman" w:hAnsi="Times New Roman" w:cs="Times New Roman"/>
          <w:sz w:val="24"/>
          <w:szCs w:val="24"/>
        </w:rPr>
        <w:t>,</w:t>
      </w:r>
      <w:r w:rsidR="0052347F" w:rsidRPr="0032506F">
        <w:rPr>
          <w:rFonts w:ascii="Times New Roman" w:hAnsi="Times New Roman" w:cs="Times New Roman"/>
          <w:sz w:val="24"/>
          <w:szCs w:val="24"/>
        </w:rPr>
        <w:t xml:space="preserve"> and</w:t>
      </w:r>
      <w:r w:rsidR="00B75061" w:rsidRPr="0032506F">
        <w:rPr>
          <w:rFonts w:ascii="Times New Roman" w:hAnsi="Times New Roman" w:cs="Times New Roman"/>
          <w:sz w:val="24"/>
          <w:szCs w:val="24"/>
        </w:rPr>
        <w:t xml:space="preserve"> </w:t>
      </w:r>
      <w:r w:rsidR="0052347F" w:rsidRPr="0032506F">
        <w:rPr>
          <w:rFonts w:ascii="Times New Roman" w:hAnsi="Times New Roman" w:cs="Times New Roman"/>
          <w:sz w:val="24"/>
          <w:szCs w:val="24"/>
        </w:rPr>
        <w:t>support during this dissertation study</w:t>
      </w:r>
      <w:r w:rsidR="00EF4B8C" w:rsidRPr="0032506F">
        <w:rPr>
          <w:rFonts w:ascii="Times New Roman" w:hAnsi="Times New Roman" w:cs="Times New Roman"/>
          <w:sz w:val="24"/>
          <w:szCs w:val="24"/>
        </w:rPr>
        <w:t xml:space="preserve">; </w:t>
      </w:r>
      <w:r w:rsidR="00EF4B8C" w:rsidRPr="0032506F">
        <w:rPr>
          <w:rFonts w:ascii="Times New Roman" w:hAnsi="Times New Roman" w:cs="Times New Roman"/>
          <w:i/>
          <w:iCs/>
          <w:sz w:val="24"/>
          <w:szCs w:val="24"/>
        </w:rPr>
        <w:t>Dr. H. Michael Crowson</w:t>
      </w:r>
      <w:r w:rsidR="00EF4B8C" w:rsidRPr="0032506F">
        <w:rPr>
          <w:rFonts w:ascii="Times New Roman" w:hAnsi="Times New Roman" w:cs="Times New Roman"/>
          <w:sz w:val="24"/>
          <w:szCs w:val="24"/>
        </w:rPr>
        <w:t xml:space="preserve"> for his </w:t>
      </w:r>
      <w:r w:rsidR="00F93870" w:rsidRPr="0032506F">
        <w:rPr>
          <w:rFonts w:ascii="Times New Roman" w:hAnsi="Times New Roman" w:cs="Times New Roman"/>
          <w:sz w:val="24"/>
          <w:szCs w:val="24"/>
        </w:rPr>
        <w:t xml:space="preserve">statistical guidance and mentoring throughout my doctoral program and during this dissertation study; </w:t>
      </w:r>
      <w:r w:rsidR="00F93870" w:rsidRPr="0032506F">
        <w:rPr>
          <w:rFonts w:ascii="Times New Roman" w:hAnsi="Times New Roman" w:cs="Times New Roman"/>
          <w:i/>
          <w:iCs/>
          <w:sz w:val="24"/>
          <w:szCs w:val="24"/>
        </w:rPr>
        <w:t xml:space="preserve">Dr. Benjamin C. Heddy </w:t>
      </w:r>
      <w:r w:rsidR="00F93870" w:rsidRPr="0032506F">
        <w:rPr>
          <w:rFonts w:ascii="Times New Roman" w:hAnsi="Times New Roman" w:cs="Times New Roman"/>
          <w:sz w:val="24"/>
          <w:szCs w:val="24"/>
        </w:rPr>
        <w:t xml:space="preserve">for his </w:t>
      </w:r>
      <w:r w:rsidR="00733205" w:rsidRPr="0032506F">
        <w:rPr>
          <w:rFonts w:ascii="Times New Roman" w:hAnsi="Times New Roman" w:cs="Times New Roman"/>
          <w:sz w:val="24"/>
          <w:szCs w:val="24"/>
        </w:rPr>
        <w:t xml:space="preserve">continuous support and encouragement during my most difficult times during the program; </w:t>
      </w:r>
      <w:r w:rsidR="00733205" w:rsidRPr="0032506F">
        <w:rPr>
          <w:rFonts w:ascii="Times New Roman" w:hAnsi="Times New Roman" w:cs="Times New Roman"/>
          <w:i/>
          <w:iCs/>
          <w:sz w:val="24"/>
          <w:szCs w:val="24"/>
        </w:rPr>
        <w:t xml:space="preserve">Dr. Amy C. Bradshaw </w:t>
      </w:r>
      <w:r w:rsidR="00733205" w:rsidRPr="0032506F">
        <w:rPr>
          <w:rFonts w:ascii="Times New Roman" w:hAnsi="Times New Roman" w:cs="Times New Roman"/>
          <w:sz w:val="24"/>
          <w:szCs w:val="24"/>
        </w:rPr>
        <w:t>for her</w:t>
      </w:r>
      <w:r w:rsidR="00152F85" w:rsidRPr="0032506F">
        <w:rPr>
          <w:rFonts w:ascii="Times New Roman" w:hAnsi="Times New Roman" w:cs="Times New Roman"/>
          <w:sz w:val="24"/>
          <w:szCs w:val="24"/>
        </w:rPr>
        <w:t xml:space="preserve"> support and guidance during</w:t>
      </w:r>
      <w:r w:rsidR="00006304" w:rsidRPr="0032506F">
        <w:rPr>
          <w:rFonts w:ascii="Times New Roman" w:hAnsi="Times New Roman" w:cs="Times New Roman"/>
          <w:sz w:val="24"/>
          <w:szCs w:val="24"/>
        </w:rPr>
        <w:t xml:space="preserve"> my program and throughout</w:t>
      </w:r>
      <w:r w:rsidR="00152F85" w:rsidRPr="0032506F">
        <w:rPr>
          <w:rFonts w:ascii="Times New Roman" w:hAnsi="Times New Roman" w:cs="Times New Roman"/>
          <w:sz w:val="24"/>
          <w:szCs w:val="24"/>
        </w:rPr>
        <w:t xml:space="preserve"> this dissertation study;</w:t>
      </w:r>
      <w:r w:rsidR="00006304" w:rsidRPr="0032506F">
        <w:rPr>
          <w:rFonts w:ascii="Times New Roman" w:hAnsi="Times New Roman" w:cs="Times New Roman"/>
          <w:sz w:val="24"/>
          <w:szCs w:val="24"/>
        </w:rPr>
        <w:t xml:space="preserve"> and </w:t>
      </w:r>
      <w:r w:rsidR="00006304" w:rsidRPr="0032506F">
        <w:rPr>
          <w:rFonts w:ascii="Times New Roman" w:hAnsi="Times New Roman" w:cs="Times New Roman"/>
          <w:i/>
          <w:iCs/>
          <w:sz w:val="24"/>
          <w:szCs w:val="24"/>
        </w:rPr>
        <w:t>Dr. Doo Hun Lim</w:t>
      </w:r>
      <w:r w:rsidR="001235C1" w:rsidRPr="0032506F">
        <w:rPr>
          <w:rFonts w:ascii="Times New Roman" w:hAnsi="Times New Roman" w:cs="Times New Roman"/>
          <w:sz w:val="24"/>
          <w:szCs w:val="24"/>
        </w:rPr>
        <w:t xml:space="preserve"> </w:t>
      </w:r>
      <w:r w:rsidR="00006304" w:rsidRPr="0032506F">
        <w:rPr>
          <w:rFonts w:ascii="Times New Roman" w:hAnsi="Times New Roman" w:cs="Times New Roman"/>
          <w:sz w:val="24"/>
          <w:szCs w:val="24"/>
        </w:rPr>
        <w:t>for  his ins</w:t>
      </w:r>
      <w:r w:rsidR="00714CB7">
        <w:rPr>
          <w:rFonts w:ascii="Times New Roman" w:hAnsi="Times New Roman" w:cs="Times New Roman"/>
          <w:sz w:val="24"/>
          <w:szCs w:val="24"/>
        </w:rPr>
        <w:t>piring</w:t>
      </w:r>
      <w:r w:rsidR="00006304" w:rsidRPr="0032506F">
        <w:rPr>
          <w:rFonts w:ascii="Times New Roman" w:hAnsi="Times New Roman" w:cs="Times New Roman"/>
          <w:sz w:val="24"/>
          <w:szCs w:val="24"/>
        </w:rPr>
        <w:t xml:space="preserve"> feedback and guidance </w:t>
      </w:r>
      <w:r w:rsidR="00743C06" w:rsidRPr="0032506F">
        <w:rPr>
          <w:rFonts w:ascii="Times New Roman" w:hAnsi="Times New Roman" w:cs="Times New Roman"/>
          <w:sz w:val="24"/>
          <w:szCs w:val="24"/>
        </w:rPr>
        <w:t xml:space="preserve">during this dissertation study. </w:t>
      </w:r>
    </w:p>
    <w:p w14:paraId="46DA1774" w14:textId="2379CC71" w:rsidR="00743C06" w:rsidRPr="0032506F" w:rsidRDefault="00743C06" w:rsidP="00743C06">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r>
      <w:r w:rsidR="00931609" w:rsidRPr="0032506F">
        <w:rPr>
          <w:rFonts w:ascii="Times New Roman" w:hAnsi="Times New Roman" w:cs="Times New Roman"/>
          <w:sz w:val="24"/>
          <w:szCs w:val="24"/>
        </w:rPr>
        <w:t xml:space="preserve">I would also like to thank </w:t>
      </w:r>
      <w:r w:rsidR="00931609" w:rsidRPr="0032506F">
        <w:rPr>
          <w:rFonts w:ascii="Times New Roman" w:hAnsi="Times New Roman" w:cs="Times New Roman"/>
          <w:i/>
          <w:iCs/>
          <w:sz w:val="24"/>
          <w:szCs w:val="24"/>
        </w:rPr>
        <w:t xml:space="preserve">Dr. </w:t>
      </w:r>
      <w:r w:rsidR="00507B0D" w:rsidRPr="0032506F">
        <w:rPr>
          <w:rFonts w:ascii="Times New Roman" w:hAnsi="Times New Roman" w:cs="Times New Roman"/>
          <w:i/>
          <w:iCs/>
          <w:sz w:val="24"/>
          <w:szCs w:val="24"/>
        </w:rPr>
        <w:t>Maeghan N. Hennessey</w:t>
      </w:r>
      <w:r w:rsidR="00FE0A29" w:rsidRPr="0032506F">
        <w:rPr>
          <w:rFonts w:ascii="Times New Roman" w:hAnsi="Times New Roman" w:cs="Times New Roman"/>
          <w:i/>
          <w:iCs/>
          <w:sz w:val="24"/>
          <w:szCs w:val="24"/>
        </w:rPr>
        <w:t xml:space="preserve"> </w:t>
      </w:r>
      <w:r w:rsidR="00507B0D" w:rsidRPr="0032506F">
        <w:rPr>
          <w:rFonts w:ascii="Times New Roman" w:hAnsi="Times New Roman" w:cs="Times New Roman"/>
          <w:sz w:val="24"/>
          <w:szCs w:val="24"/>
        </w:rPr>
        <w:t>for her</w:t>
      </w:r>
      <w:r w:rsidR="00510656" w:rsidRPr="0032506F">
        <w:rPr>
          <w:rFonts w:ascii="Times New Roman" w:hAnsi="Times New Roman" w:cs="Times New Roman"/>
          <w:sz w:val="24"/>
          <w:szCs w:val="24"/>
        </w:rPr>
        <w:t xml:space="preserve"> guidance and invaluable feedback during the instrument development process</w:t>
      </w:r>
      <w:r w:rsidR="00FE0A29" w:rsidRPr="0032506F">
        <w:rPr>
          <w:rFonts w:ascii="Times New Roman" w:hAnsi="Times New Roman" w:cs="Times New Roman"/>
          <w:sz w:val="24"/>
          <w:szCs w:val="24"/>
        </w:rPr>
        <w:t xml:space="preserve">. Similarly, I would like to thank all the experts who reviewed </w:t>
      </w:r>
      <w:r w:rsidR="00714CB7">
        <w:rPr>
          <w:rFonts w:ascii="Times New Roman" w:hAnsi="Times New Roman" w:cs="Times New Roman"/>
          <w:sz w:val="24"/>
          <w:szCs w:val="24"/>
        </w:rPr>
        <w:t xml:space="preserve">the survey </w:t>
      </w:r>
      <w:r w:rsidR="009B60D3" w:rsidRPr="0032506F">
        <w:rPr>
          <w:rFonts w:ascii="Times New Roman" w:hAnsi="Times New Roman" w:cs="Times New Roman"/>
          <w:sz w:val="24"/>
          <w:szCs w:val="24"/>
        </w:rPr>
        <w:t xml:space="preserve">items and provided their feedback during the instrument development process in this dissertation study. </w:t>
      </w:r>
    </w:p>
    <w:p w14:paraId="7641D407" w14:textId="3C1533F7" w:rsidR="00260895" w:rsidRPr="0032506F" w:rsidRDefault="009B60D3" w:rsidP="00743C06">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r>
      <w:r w:rsidR="00260895" w:rsidRPr="0032506F">
        <w:rPr>
          <w:rFonts w:ascii="Times New Roman" w:hAnsi="Times New Roman" w:cs="Times New Roman"/>
          <w:sz w:val="24"/>
          <w:szCs w:val="24"/>
        </w:rPr>
        <w:t xml:space="preserve">I would also like to thank the Turkish Fulbright Commission and Fulbright Program </w:t>
      </w:r>
      <w:r w:rsidR="007C3767" w:rsidRPr="0032506F">
        <w:rPr>
          <w:rFonts w:ascii="Times New Roman" w:hAnsi="Times New Roman" w:cs="Times New Roman"/>
          <w:sz w:val="24"/>
          <w:szCs w:val="24"/>
        </w:rPr>
        <w:t xml:space="preserve">for giving me this wonderful opportunity to get my doctoral degree in the United States. </w:t>
      </w:r>
    </w:p>
    <w:p w14:paraId="06D700F9" w14:textId="5077D0C8" w:rsidR="009B60D3" w:rsidRPr="0032506F" w:rsidRDefault="00260895" w:rsidP="00743C06">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t xml:space="preserve">I would like to </w:t>
      </w:r>
      <w:r w:rsidR="009F645F" w:rsidRPr="0032506F">
        <w:rPr>
          <w:rFonts w:ascii="Times New Roman" w:hAnsi="Times New Roman" w:cs="Times New Roman"/>
          <w:sz w:val="24"/>
          <w:szCs w:val="24"/>
        </w:rPr>
        <w:t xml:space="preserve">extend my special </w:t>
      </w:r>
      <w:r w:rsidRPr="0032506F">
        <w:rPr>
          <w:rFonts w:ascii="Times New Roman" w:hAnsi="Times New Roman" w:cs="Times New Roman"/>
          <w:sz w:val="24"/>
          <w:szCs w:val="24"/>
        </w:rPr>
        <w:t>thank</w:t>
      </w:r>
      <w:r w:rsidR="009F645F" w:rsidRPr="0032506F">
        <w:rPr>
          <w:rFonts w:ascii="Times New Roman" w:hAnsi="Times New Roman" w:cs="Times New Roman"/>
          <w:sz w:val="24"/>
          <w:szCs w:val="24"/>
        </w:rPr>
        <w:t>s to</w:t>
      </w:r>
      <w:r w:rsidRPr="0032506F">
        <w:rPr>
          <w:rFonts w:ascii="Times New Roman" w:hAnsi="Times New Roman" w:cs="Times New Roman"/>
          <w:sz w:val="24"/>
          <w:szCs w:val="24"/>
        </w:rPr>
        <w:t xml:space="preserve"> my </w:t>
      </w:r>
      <w:r w:rsidR="00714CB7">
        <w:rPr>
          <w:rFonts w:ascii="Times New Roman" w:hAnsi="Times New Roman" w:cs="Times New Roman"/>
          <w:sz w:val="24"/>
          <w:szCs w:val="24"/>
        </w:rPr>
        <w:t xml:space="preserve">dear </w:t>
      </w:r>
      <w:r w:rsidRPr="0032506F">
        <w:rPr>
          <w:rFonts w:ascii="Times New Roman" w:hAnsi="Times New Roman" w:cs="Times New Roman"/>
          <w:sz w:val="24"/>
          <w:szCs w:val="24"/>
        </w:rPr>
        <w:t xml:space="preserve">father </w:t>
      </w:r>
      <w:r w:rsidRPr="0032506F">
        <w:rPr>
          <w:rFonts w:ascii="Times New Roman" w:hAnsi="Times New Roman" w:cs="Times New Roman"/>
          <w:i/>
          <w:iCs/>
          <w:sz w:val="24"/>
          <w:szCs w:val="24"/>
        </w:rPr>
        <w:t>Muzaffer Turk</w:t>
      </w:r>
      <w:r w:rsidRPr="0032506F">
        <w:rPr>
          <w:rFonts w:ascii="Times New Roman" w:hAnsi="Times New Roman" w:cs="Times New Roman"/>
          <w:sz w:val="24"/>
          <w:szCs w:val="24"/>
        </w:rPr>
        <w:t xml:space="preserve"> and my </w:t>
      </w:r>
      <w:r w:rsidR="00714CB7">
        <w:rPr>
          <w:rFonts w:ascii="Times New Roman" w:hAnsi="Times New Roman" w:cs="Times New Roman"/>
          <w:sz w:val="24"/>
          <w:szCs w:val="24"/>
        </w:rPr>
        <w:t xml:space="preserve">dear </w:t>
      </w:r>
      <w:r w:rsidRPr="0032506F">
        <w:rPr>
          <w:rFonts w:ascii="Times New Roman" w:hAnsi="Times New Roman" w:cs="Times New Roman"/>
          <w:sz w:val="24"/>
          <w:szCs w:val="24"/>
        </w:rPr>
        <w:t xml:space="preserve">mother </w:t>
      </w:r>
      <w:r w:rsidRPr="0032506F">
        <w:rPr>
          <w:rFonts w:ascii="Times New Roman" w:hAnsi="Times New Roman" w:cs="Times New Roman"/>
          <w:i/>
          <w:iCs/>
          <w:sz w:val="24"/>
          <w:szCs w:val="24"/>
        </w:rPr>
        <w:t>Sema Turk</w:t>
      </w:r>
      <w:r w:rsidR="007C3767" w:rsidRPr="0032506F">
        <w:rPr>
          <w:rFonts w:ascii="Times New Roman" w:hAnsi="Times New Roman" w:cs="Times New Roman"/>
          <w:i/>
          <w:iCs/>
          <w:sz w:val="24"/>
          <w:szCs w:val="24"/>
        </w:rPr>
        <w:t xml:space="preserve"> </w:t>
      </w:r>
      <w:r w:rsidR="007C3767" w:rsidRPr="0032506F">
        <w:rPr>
          <w:rFonts w:ascii="Times New Roman" w:hAnsi="Times New Roman" w:cs="Times New Roman"/>
          <w:sz w:val="24"/>
          <w:szCs w:val="24"/>
        </w:rPr>
        <w:t xml:space="preserve">for </w:t>
      </w:r>
      <w:r w:rsidR="006150B0" w:rsidRPr="0032506F">
        <w:rPr>
          <w:rFonts w:ascii="Times New Roman" w:hAnsi="Times New Roman" w:cs="Times New Roman"/>
          <w:sz w:val="24"/>
          <w:szCs w:val="24"/>
        </w:rPr>
        <w:t xml:space="preserve">supporting me with their unconditional love and care whenever I needed it during the turbulent times. </w:t>
      </w:r>
      <w:r w:rsidRPr="0032506F">
        <w:rPr>
          <w:rFonts w:ascii="Times New Roman" w:hAnsi="Times New Roman" w:cs="Times New Roman"/>
          <w:i/>
          <w:iCs/>
          <w:sz w:val="24"/>
          <w:szCs w:val="24"/>
        </w:rPr>
        <w:t xml:space="preserve"> </w:t>
      </w:r>
    </w:p>
    <w:p w14:paraId="581CB251" w14:textId="4CBE6125" w:rsidR="00743C06" w:rsidRPr="0032506F" w:rsidRDefault="00743C06" w:rsidP="00743C06">
      <w:pPr>
        <w:spacing w:after="0" w:line="480" w:lineRule="auto"/>
        <w:rPr>
          <w:rFonts w:ascii="Times New Roman" w:hAnsi="Times New Roman" w:cs="Times New Roman"/>
          <w:sz w:val="24"/>
          <w:szCs w:val="24"/>
        </w:rPr>
        <w:sectPr w:rsidR="00743C06" w:rsidRPr="0032506F" w:rsidSect="001A73B6">
          <w:pgSz w:w="12240" w:h="15840"/>
          <w:pgMar w:top="1440" w:right="1440" w:bottom="1440" w:left="1440" w:header="720" w:footer="720" w:gutter="0"/>
          <w:pgNumType w:fmt="lowerRoman"/>
          <w:cols w:space="720"/>
          <w:docGrid w:linePitch="360"/>
        </w:sectPr>
      </w:pPr>
      <w:r w:rsidRPr="0032506F">
        <w:rPr>
          <w:rFonts w:ascii="Times New Roman" w:hAnsi="Times New Roman" w:cs="Times New Roman"/>
          <w:sz w:val="24"/>
          <w:szCs w:val="24"/>
        </w:rPr>
        <w:tab/>
      </w:r>
      <w:r w:rsidR="009F645F" w:rsidRPr="0032506F">
        <w:rPr>
          <w:rFonts w:ascii="Times New Roman" w:hAnsi="Times New Roman" w:cs="Times New Roman"/>
          <w:sz w:val="24"/>
          <w:szCs w:val="24"/>
        </w:rPr>
        <w:t>Finally, I would like</w:t>
      </w:r>
      <w:r w:rsidR="005518C2" w:rsidRPr="0032506F">
        <w:rPr>
          <w:rFonts w:ascii="Times New Roman" w:hAnsi="Times New Roman" w:cs="Times New Roman"/>
          <w:sz w:val="24"/>
          <w:szCs w:val="24"/>
        </w:rPr>
        <w:t xml:space="preserve"> to express my gratitude to </w:t>
      </w:r>
      <w:r w:rsidR="00457022" w:rsidRPr="0032506F">
        <w:rPr>
          <w:rFonts w:ascii="Times New Roman" w:hAnsi="Times New Roman" w:cs="Times New Roman"/>
          <w:sz w:val="24"/>
          <w:szCs w:val="24"/>
        </w:rPr>
        <w:t xml:space="preserve">my dear wife </w:t>
      </w:r>
      <w:r w:rsidR="00493115" w:rsidRPr="0032506F">
        <w:rPr>
          <w:rFonts w:ascii="Times New Roman" w:hAnsi="Times New Roman" w:cs="Times New Roman"/>
          <w:sz w:val="24"/>
          <w:szCs w:val="24"/>
        </w:rPr>
        <w:t xml:space="preserve">and colleague </w:t>
      </w:r>
      <w:r w:rsidR="005518C2" w:rsidRPr="0032506F">
        <w:rPr>
          <w:rFonts w:ascii="Times New Roman" w:hAnsi="Times New Roman" w:cs="Times New Roman"/>
          <w:i/>
          <w:iCs/>
          <w:sz w:val="24"/>
          <w:szCs w:val="24"/>
        </w:rPr>
        <w:t>Dr. Sinem Toraman</w:t>
      </w:r>
      <w:r w:rsidR="002D4B54" w:rsidRPr="0032506F">
        <w:rPr>
          <w:rFonts w:ascii="Times New Roman" w:hAnsi="Times New Roman" w:cs="Times New Roman"/>
          <w:i/>
          <w:iCs/>
          <w:sz w:val="24"/>
          <w:szCs w:val="24"/>
        </w:rPr>
        <w:t xml:space="preserve"> </w:t>
      </w:r>
      <w:r w:rsidR="005518C2" w:rsidRPr="0032506F">
        <w:rPr>
          <w:rFonts w:ascii="Times New Roman" w:hAnsi="Times New Roman" w:cs="Times New Roman"/>
          <w:i/>
          <w:iCs/>
          <w:sz w:val="24"/>
          <w:szCs w:val="24"/>
        </w:rPr>
        <w:t>Turk</w:t>
      </w:r>
      <w:r w:rsidR="005518C2" w:rsidRPr="0032506F">
        <w:rPr>
          <w:rFonts w:ascii="Times New Roman" w:hAnsi="Times New Roman" w:cs="Times New Roman"/>
          <w:sz w:val="24"/>
          <w:szCs w:val="24"/>
        </w:rPr>
        <w:t xml:space="preserve"> for her </w:t>
      </w:r>
      <w:r w:rsidR="00457022" w:rsidRPr="0032506F">
        <w:rPr>
          <w:rFonts w:ascii="Times New Roman" w:hAnsi="Times New Roman" w:cs="Times New Roman"/>
          <w:sz w:val="24"/>
          <w:szCs w:val="24"/>
        </w:rPr>
        <w:t xml:space="preserve">unconditional and constant support, care, and understanding during this challenging journey in my life.  </w:t>
      </w:r>
    </w:p>
    <w:p w14:paraId="4831B5F6" w14:textId="77777777" w:rsidR="00E22051" w:rsidRPr="0032506F" w:rsidRDefault="00E22051" w:rsidP="00E22051">
      <w:pPr>
        <w:tabs>
          <w:tab w:val="left" w:pos="4449"/>
          <w:tab w:val="center" w:pos="4680"/>
        </w:tabs>
        <w:rPr>
          <w:rFonts w:ascii="Times New Roman" w:hAnsi="Times New Roman" w:cs="Times New Roman"/>
          <w:sz w:val="24"/>
          <w:szCs w:val="24"/>
        </w:rPr>
      </w:pPr>
      <w:r w:rsidRPr="0032506F">
        <w:rPr>
          <w:rFonts w:ascii="Times New Roman" w:hAnsi="Times New Roman" w:cs="Times New Roman"/>
          <w:sz w:val="24"/>
          <w:szCs w:val="24"/>
        </w:rPr>
        <w:lastRenderedPageBreak/>
        <w:tab/>
      </w:r>
    </w:p>
    <w:sdt>
      <w:sdtPr>
        <w:id w:val="1735593321"/>
        <w:docPartObj>
          <w:docPartGallery w:val="Table of Contents"/>
          <w:docPartUnique/>
        </w:docPartObj>
      </w:sdtPr>
      <w:sdtEndPr>
        <w:rPr>
          <w:rFonts w:ascii="Times New Roman" w:hAnsi="Times New Roman" w:cs="Times New Roman"/>
          <w:bCs/>
          <w:noProof/>
          <w:sz w:val="24"/>
          <w:szCs w:val="24"/>
        </w:rPr>
      </w:sdtEndPr>
      <w:sdtContent>
        <w:p w14:paraId="361E6E9E" w14:textId="6E68560D" w:rsidR="00E22051" w:rsidRPr="0085266A" w:rsidRDefault="00E22051" w:rsidP="00357B60">
          <w:pPr>
            <w:pStyle w:val="NoSpacing"/>
            <w:rPr>
              <w:rStyle w:val="Heading1Char"/>
              <w:b w:val="0"/>
              <w:bCs w:val="0"/>
            </w:rPr>
          </w:pPr>
          <w:r w:rsidRPr="008711FC">
            <w:rPr>
              <w:rStyle w:val="Heading1Char"/>
              <w:sz w:val="28"/>
              <w:szCs w:val="28"/>
            </w:rPr>
            <w:t>Table of Contents</w:t>
          </w:r>
        </w:p>
        <w:p w14:paraId="5825B70C" w14:textId="7F2C1B1A" w:rsidR="00FE375A" w:rsidRPr="0085266A" w:rsidRDefault="00E22051">
          <w:pPr>
            <w:pStyle w:val="TOC1"/>
            <w:tabs>
              <w:tab w:val="right" w:leader="dot" w:pos="9350"/>
            </w:tabs>
            <w:rPr>
              <w:rFonts w:ascii="Times New Roman" w:eastAsiaTheme="minorEastAsia" w:hAnsi="Times New Roman" w:cs="Times New Roman"/>
              <w:noProof/>
              <w:sz w:val="24"/>
              <w:szCs w:val="24"/>
            </w:rPr>
          </w:pPr>
          <w:r w:rsidRPr="0085266A">
            <w:rPr>
              <w:rFonts w:ascii="Times New Roman" w:hAnsi="Times New Roman" w:cs="Times New Roman"/>
              <w:noProof/>
              <w:sz w:val="24"/>
              <w:szCs w:val="24"/>
            </w:rPr>
            <w:fldChar w:fldCharType="begin"/>
          </w:r>
          <w:r w:rsidRPr="0085266A">
            <w:rPr>
              <w:rFonts w:ascii="Times New Roman" w:hAnsi="Times New Roman" w:cs="Times New Roman"/>
              <w:noProof/>
              <w:sz w:val="24"/>
              <w:szCs w:val="24"/>
            </w:rPr>
            <w:instrText xml:space="preserve"> TOC \o "1-3" \h \z \u </w:instrText>
          </w:r>
          <w:r w:rsidRPr="0085266A">
            <w:rPr>
              <w:rFonts w:ascii="Times New Roman" w:hAnsi="Times New Roman" w:cs="Times New Roman"/>
              <w:noProof/>
              <w:sz w:val="24"/>
              <w:szCs w:val="24"/>
            </w:rPr>
            <w:fldChar w:fldCharType="separate"/>
          </w:r>
          <w:hyperlink w:anchor="_Toc102489420" w:history="1">
            <w:r w:rsidR="00FE375A" w:rsidRPr="0085266A">
              <w:rPr>
                <w:rStyle w:val="Hyperlink"/>
                <w:rFonts w:ascii="Times New Roman" w:hAnsi="Times New Roman" w:cs="Times New Roman"/>
                <w:noProof/>
                <w:sz w:val="24"/>
                <w:szCs w:val="24"/>
              </w:rPr>
              <w:t>Dedication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iv</w:t>
            </w:r>
            <w:r w:rsidR="00FE375A" w:rsidRPr="0085266A">
              <w:rPr>
                <w:rFonts w:ascii="Times New Roman" w:hAnsi="Times New Roman" w:cs="Times New Roman"/>
                <w:noProof/>
                <w:webHidden/>
                <w:sz w:val="24"/>
                <w:szCs w:val="24"/>
              </w:rPr>
              <w:fldChar w:fldCharType="end"/>
            </w:r>
          </w:hyperlink>
        </w:p>
        <w:p w14:paraId="39EC2DC9" w14:textId="495E69CA"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21" w:history="1">
            <w:r w:rsidR="00FE375A" w:rsidRPr="0085266A">
              <w:rPr>
                <w:rStyle w:val="Hyperlink"/>
                <w:rFonts w:ascii="Times New Roman" w:hAnsi="Times New Roman" w:cs="Times New Roman"/>
                <w:noProof/>
                <w:sz w:val="24"/>
                <w:szCs w:val="24"/>
              </w:rPr>
              <w:t>Acknowledgements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v</w:t>
            </w:r>
            <w:r w:rsidR="00FE375A" w:rsidRPr="0085266A">
              <w:rPr>
                <w:rFonts w:ascii="Times New Roman" w:hAnsi="Times New Roman" w:cs="Times New Roman"/>
                <w:noProof/>
                <w:webHidden/>
                <w:sz w:val="24"/>
                <w:szCs w:val="24"/>
              </w:rPr>
              <w:fldChar w:fldCharType="end"/>
            </w:r>
          </w:hyperlink>
        </w:p>
        <w:p w14:paraId="34A55D79" w14:textId="17BD6F1B"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22" w:history="1">
            <w:r w:rsidR="00FE375A" w:rsidRPr="0085266A">
              <w:rPr>
                <w:rStyle w:val="Hyperlink"/>
                <w:rFonts w:ascii="Times New Roman" w:hAnsi="Times New Roman" w:cs="Times New Roman"/>
                <w:noProof/>
                <w:sz w:val="24"/>
                <w:szCs w:val="24"/>
              </w:rPr>
              <w:t>List of Tables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ix</w:t>
            </w:r>
            <w:r w:rsidR="00FE375A" w:rsidRPr="0085266A">
              <w:rPr>
                <w:rFonts w:ascii="Times New Roman" w:hAnsi="Times New Roman" w:cs="Times New Roman"/>
                <w:noProof/>
                <w:webHidden/>
                <w:sz w:val="24"/>
                <w:szCs w:val="24"/>
              </w:rPr>
              <w:fldChar w:fldCharType="end"/>
            </w:r>
          </w:hyperlink>
        </w:p>
        <w:p w14:paraId="46FFC28C" w14:textId="4B680939"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23" w:history="1">
            <w:r w:rsidR="00FE375A" w:rsidRPr="0085266A">
              <w:rPr>
                <w:rStyle w:val="Hyperlink"/>
                <w:rFonts w:ascii="Times New Roman" w:hAnsi="Times New Roman" w:cs="Times New Roman"/>
                <w:noProof/>
                <w:sz w:val="24"/>
                <w:szCs w:val="24"/>
              </w:rPr>
              <w:t>List of Figures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x</w:t>
            </w:r>
            <w:r w:rsidR="00FE375A" w:rsidRPr="0085266A">
              <w:rPr>
                <w:rFonts w:ascii="Times New Roman" w:hAnsi="Times New Roman" w:cs="Times New Roman"/>
                <w:noProof/>
                <w:webHidden/>
                <w:sz w:val="24"/>
                <w:szCs w:val="24"/>
              </w:rPr>
              <w:fldChar w:fldCharType="end"/>
            </w:r>
          </w:hyperlink>
        </w:p>
        <w:p w14:paraId="5CD75BA9" w14:textId="3A7525E2"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24" w:history="1">
            <w:r w:rsidR="00FE375A" w:rsidRPr="0085266A">
              <w:rPr>
                <w:rStyle w:val="Hyperlink"/>
                <w:rFonts w:ascii="Times New Roman" w:hAnsi="Times New Roman" w:cs="Times New Roman"/>
                <w:noProof/>
                <w:sz w:val="24"/>
                <w:szCs w:val="24"/>
              </w:rPr>
              <w:t>Abstract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xi</w:t>
            </w:r>
            <w:r w:rsidR="00FE375A" w:rsidRPr="0085266A">
              <w:rPr>
                <w:rFonts w:ascii="Times New Roman" w:hAnsi="Times New Roman" w:cs="Times New Roman"/>
                <w:noProof/>
                <w:webHidden/>
                <w:sz w:val="24"/>
                <w:szCs w:val="24"/>
              </w:rPr>
              <w:fldChar w:fldCharType="end"/>
            </w:r>
          </w:hyperlink>
        </w:p>
        <w:p w14:paraId="4CE44453" w14:textId="21FF8E0F"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25" w:history="1">
            <w:r w:rsidR="00FE375A" w:rsidRPr="0085266A">
              <w:rPr>
                <w:rStyle w:val="Hyperlink"/>
                <w:rFonts w:ascii="Times New Roman" w:hAnsi="Times New Roman" w:cs="Times New Roman"/>
                <w:noProof/>
                <w:sz w:val="24"/>
                <w:szCs w:val="24"/>
              </w:rPr>
              <w:t>Chapter 1: Introduction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w:t>
            </w:r>
            <w:r w:rsidR="00FE375A" w:rsidRPr="0085266A">
              <w:rPr>
                <w:rFonts w:ascii="Times New Roman" w:hAnsi="Times New Roman" w:cs="Times New Roman"/>
                <w:noProof/>
                <w:webHidden/>
                <w:sz w:val="24"/>
                <w:szCs w:val="24"/>
              </w:rPr>
              <w:fldChar w:fldCharType="end"/>
            </w:r>
          </w:hyperlink>
        </w:p>
        <w:p w14:paraId="6C1E0D80" w14:textId="28113B9E"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26" w:history="1">
            <w:r w:rsidR="00FE375A" w:rsidRPr="0085266A">
              <w:rPr>
                <w:rStyle w:val="Hyperlink"/>
                <w:rFonts w:ascii="Times New Roman" w:hAnsi="Times New Roman" w:cs="Times New Roman"/>
                <w:noProof/>
                <w:sz w:val="24"/>
                <w:szCs w:val="24"/>
              </w:rPr>
              <w:t>Background of the Study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w:t>
            </w:r>
            <w:r w:rsidR="00FE375A" w:rsidRPr="0085266A">
              <w:rPr>
                <w:rFonts w:ascii="Times New Roman" w:hAnsi="Times New Roman" w:cs="Times New Roman"/>
                <w:noProof/>
                <w:webHidden/>
                <w:sz w:val="24"/>
                <w:szCs w:val="24"/>
              </w:rPr>
              <w:fldChar w:fldCharType="end"/>
            </w:r>
          </w:hyperlink>
        </w:p>
        <w:p w14:paraId="57F8D02C" w14:textId="1A565AA7"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27" w:history="1">
            <w:r w:rsidR="00FE375A" w:rsidRPr="0085266A">
              <w:rPr>
                <w:rStyle w:val="Hyperlink"/>
                <w:rFonts w:ascii="Times New Roman" w:hAnsi="Times New Roman" w:cs="Times New Roman"/>
                <w:noProof/>
                <w:sz w:val="24"/>
                <w:szCs w:val="24"/>
              </w:rPr>
              <w:t>Student Engagement and Quality of Online Education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w:t>
            </w:r>
            <w:r w:rsidR="00FE375A" w:rsidRPr="0085266A">
              <w:rPr>
                <w:rFonts w:ascii="Times New Roman" w:hAnsi="Times New Roman" w:cs="Times New Roman"/>
                <w:noProof/>
                <w:webHidden/>
                <w:sz w:val="24"/>
                <w:szCs w:val="24"/>
              </w:rPr>
              <w:fldChar w:fldCharType="end"/>
            </w:r>
          </w:hyperlink>
        </w:p>
        <w:p w14:paraId="7F571EBE" w14:textId="4D1ED713"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28" w:history="1">
            <w:r w:rsidR="00FE375A" w:rsidRPr="0085266A">
              <w:rPr>
                <w:rStyle w:val="Hyperlink"/>
                <w:rFonts w:ascii="Times New Roman" w:hAnsi="Times New Roman" w:cs="Times New Roman"/>
                <w:noProof/>
                <w:sz w:val="24"/>
                <w:szCs w:val="24"/>
              </w:rPr>
              <w:t>Problem Statement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w:t>
            </w:r>
            <w:r w:rsidR="00FE375A" w:rsidRPr="0085266A">
              <w:rPr>
                <w:rFonts w:ascii="Times New Roman" w:hAnsi="Times New Roman" w:cs="Times New Roman"/>
                <w:noProof/>
                <w:webHidden/>
                <w:sz w:val="24"/>
                <w:szCs w:val="24"/>
              </w:rPr>
              <w:fldChar w:fldCharType="end"/>
            </w:r>
          </w:hyperlink>
        </w:p>
        <w:p w14:paraId="4C435B67" w14:textId="7305158C"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29" w:history="1">
            <w:r w:rsidR="00FE375A" w:rsidRPr="0085266A">
              <w:rPr>
                <w:rStyle w:val="Hyperlink"/>
                <w:rFonts w:ascii="Times New Roman" w:hAnsi="Times New Roman" w:cs="Times New Roman"/>
                <w:noProof/>
                <w:sz w:val="24"/>
                <w:szCs w:val="24"/>
              </w:rPr>
              <w:t>Purpose of the Study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_Toc102489429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9</w:t>
            </w:r>
            <w:r w:rsidR="00FE375A" w:rsidRPr="0085266A">
              <w:rPr>
                <w:rFonts w:ascii="Times New Roman" w:hAnsi="Times New Roman" w:cs="Times New Roman"/>
                <w:noProof/>
                <w:webHidden/>
                <w:sz w:val="24"/>
                <w:szCs w:val="24"/>
              </w:rPr>
              <w:fldChar w:fldCharType="end"/>
            </w:r>
          </w:hyperlink>
        </w:p>
        <w:p w14:paraId="4F166C56" w14:textId="6AC426B3"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0" w:history="1">
            <w:r w:rsidR="00FE375A" w:rsidRPr="0085266A">
              <w:rPr>
                <w:rStyle w:val="Hyperlink"/>
                <w:rFonts w:ascii="Times New Roman" w:hAnsi="Times New Roman" w:cs="Times New Roman"/>
                <w:noProof/>
                <w:sz w:val="24"/>
                <w:szCs w:val="24"/>
              </w:rPr>
              <w:t>Research Questions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12</w:t>
            </w:r>
            <w:r w:rsidR="00FE375A" w:rsidRPr="0085266A">
              <w:rPr>
                <w:rFonts w:ascii="Times New Roman" w:hAnsi="Times New Roman" w:cs="Times New Roman"/>
                <w:noProof/>
                <w:webHidden/>
                <w:sz w:val="24"/>
                <w:szCs w:val="24"/>
              </w:rPr>
              <w:fldChar w:fldCharType="end"/>
            </w:r>
          </w:hyperlink>
        </w:p>
        <w:p w14:paraId="2A470AFE" w14:textId="1F4F4FBD"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1" w:history="1">
            <w:r w:rsidR="00FE375A" w:rsidRPr="0085266A">
              <w:rPr>
                <w:rStyle w:val="Hyperlink"/>
                <w:rFonts w:ascii="Times New Roman" w:hAnsi="Times New Roman" w:cs="Times New Roman"/>
                <w:noProof/>
                <w:sz w:val="24"/>
                <w:szCs w:val="24"/>
              </w:rPr>
              <w:t>Significance of the Study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13</w:t>
            </w:r>
            <w:r w:rsidR="00FE375A" w:rsidRPr="0085266A">
              <w:rPr>
                <w:rFonts w:ascii="Times New Roman" w:hAnsi="Times New Roman" w:cs="Times New Roman"/>
                <w:noProof/>
                <w:webHidden/>
                <w:sz w:val="24"/>
                <w:szCs w:val="24"/>
              </w:rPr>
              <w:fldChar w:fldCharType="end"/>
            </w:r>
          </w:hyperlink>
        </w:p>
        <w:p w14:paraId="027D6D65" w14:textId="23B7C357"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32" w:history="1">
            <w:r w:rsidR="00FE375A" w:rsidRPr="0085266A">
              <w:rPr>
                <w:rStyle w:val="Hyperlink"/>
                <w:rFonts w:ascii="Times New Roman" w:eastAsia="MS Gothic" w:hAnsi="Times New Roman" w:cs="Times New Roman"/>
                <w:noProof/>
                <w:sz w:val="24"/>
                <w:szCs w:val="24"/>
              </w:rPr>
              <w:t>Chapter 2: Literature Review</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w:t>
            </w:r>
            <w:r w:rsidR="00FE375A" w:rsidRPr="0085266A">
              <w:rPr>
                <w:rFonts w:ascii="Times New Roman" w:hAnsi="Times New Roman" w:cs="Times New Roman"/>
                <w:noProof/>
                <w:webHidden/>
                <w:sz w:val="24"/>
                <w:szCs w:val="24"/>
              </w:rPr>
              <w:fldChar w:fldCharType="end"/>
            </w:r>
          </w:hyperlink>
        </w:p>
        <w:p w14:paraId="20DA7B3C" w14:textId="2682CDBD"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3" w:history="1">
            <w:r w:rsidR="00FE375A" w:rsidRPr="0085266A">
              <w:rPr>
                <w:rStyle w:val="Hyperlink"/>
                <w:rFonts w:ascii="Times New Roman" w:eastAsiaTheme="majorEastAsia" w:hAnsi="Times New Roman" w:cs="Times New Roman"/>
                <w:noProof/>
                <w:sz w:val="24"/>
                <w:szCs w:val="24"/>
              </w:rPr>
              <w:t>Student Engagement: An Overview</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w:t>
            </w:r>
            <w:r w:rsidR="00FE375A" w:rsidRPr="0085266A">
              <w:rPr>
                <w:rFonts w:ascii="Times New Roman" w:hAnsi="Times New Roman" w:cs="Times New Roman"/>
                <w:noProof/>
                <w:webHidden/>
                <w:sz w:val="24"/>
                <w:szCs w:val="24"/>
              </w:rPr>
              <w:fldChar w:fldCharType="end"/>
            </w:r>
          </w:hyperlink>
        </w:p>
        <w:p w14:paraId="78B66178" w14:textId="23767F3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4" w:history="1">
            <w:r w:rsidR="00FE375A" w:rsidRPr="0085266A">
              <w:rPr>
                <w:rStyle w:val="Hyperlink"/>
                <w:rFonts w:ascii="Times New Roman" w:eastAsiaTheme="majorEastAsia" w:hAnsi="Times New Roman" w:cs="Times New Roman"/>
                <w:noProof/>
                <w:sz w:val="24"/>
                <w:szCs w:val="24"/>
              </w:rPr>
              <w:t>Student Engagement: Myriad Terms, Definitions, and Conceptualizations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19</w:t>
            </w:r>
            <w:r w:rsidR="00FE375A" w:rsidRPr="0085266A">
              <w:rPr>
                <w:rFonts w:ascii="Times New Roman" w:hAnsi="Times New Roman" w:cs="Times New Roman"/>
                <w:noProof/>
                <w:webHidden/>
                <w:sz w:val="24"/>
                <w:szCs w:val="24"/>
              </w:rPr>
              <w:fldChar w:fldCharType="end"/>
            </w:r>
          </w:hyperlink>
        </w:p>
        <w:p w14:paraId="07C6440A" w14:textId="32A19E8F"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5" w:history="1">
            <w:r w:rsidR="00FE375A" w:rsidRPr="0085266A">
              <w:rPr>
                <w:rStyle w:val="Hyperlink"/>
                <w:rFonts w:ascii="Times New Roman" w:hAnsi="Times New Roman" w:cs="Times New Roman"/>
                <w:noProof/>
                <w:sz w:val="24"/>
                <w:szCs w:val="24"/>
              </w:rPr>
              <w:t>Conceptualizations of Student Engagement in Online Learning Environments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21</w:t>
            </w:r>
            <w:r w:rsidR="00FE375A" w:rsidRPr="0085266A">
              <w:rPr>
                <w:rFonts w:ascii="Times New Roman" w:hAnsi="Times New Roman" w:cs="Times New Roman"/>
                <w:noProof/>
                <w:webHidden/>
                <w:sz w:val="24"/>
                <w:szCs w:val="24"/>
              </w:rPr>
              <w:fldChar w:fldCharType="end"/>
            </w:r>
          </w:hyperlink>
        </w:p>
        <w:p w14:paraId="5C2CE875" w14:textId="5E7B4D6D"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36" w:history="1">
            <w:r w:rsidR="00FE375A" w:rsidRPr="0085266A">
              <w:rPr>
                <w:rStyle w:val="Hyperlink"/>
                <w:rFonts w:ascii="Times New Roman" w:eastAsia="Calibri" w:hAnsi="Times New Roman" w:cs="Times New Roman"/>
                <w:noProof/>
                <w:sz w:val="24"/>
                <w:szCs w:val="24"/>
              </w:rPr>
              <w:t>Behavioral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24</w:t>
            </w:r>
            <w:r w:rsidR="00FE375A" w:rsidRPr="0085266A">
              <w:rPr>
                <w:rFonts w:ascii="Times New Roman" w:hAnsi="Times New Roman" w:cs="Times New Roman"/>
                <w:noProof/>
                <w:webHidden/>
                <w:sz w:val="24"/>
                <w:szCs w:val="24"/>
              </w:rPr>
              <w:fldChar w:fldCharType="end"/>
            </w:r>
          </w:hyperlink>
        </w:p>
        <w:p w14:paraId="41DEAC84" w14:textId="510C8F08"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37" w:history="1">
            <w:r w:rsidR="00FE375A" w:rsidRPr="0085266A">
              <w:rPr>
                <w:rStyle w:val="Hyperlink"/>
                <w:rFonts w:ascii="Times New Roman" w:eastAsia="Calibri" w:hAnsi="Times New Roman" w:cs="Times New Roman"/>
                <w:noProof/>
                <w:sz w:val="24"/>
                <w:szCs w:val="24"/>
              </w:rPr>
              <w:t>Emotional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25</w:t>
            </w:r>
            <w:r w:rsidR="00FE375A" w:rsidRPr="0085266A">
              <w:rPr>
                <w:rFonts w:ascii="Times New Roman" w:hAnsi="Times New Roman" w:cs="Times New Roman"/>
                <w:noProof/>
                <w:webHidden/>
                <w:sz w:val="24"/>
                <w:szCs w:val="24"/>
              </w:rPr>
              <w:fldChar w:fldCharType="end"/>
            </w:r>
          </w:hyperlink>
        </w:p>
        <w:p w14:paraId="168D1FE5" w14:textId="599895A6"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38" w:history="1">
            <w:r w:rsidR="00FE375A" w:rsidRPr="0085266A">
              <w:rPr>
                <w:rStyle w:val="Hyperlink"/>
                <w:rFonts w:ascii="Times New Roman" w:eastAsia="Calibri" w:hAnsi="Times New Roman" w:cs="Times New Roman"/>
                <w:noProof/>
                <w:sz w:val="24"/>
                <w:szCs w:val="24"/>
              </w:rPr>
              <w:t>Cognitive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26</w:t>
            </w:r>
            <w:r w:rsidR="00FE375A" w:rsidRPr="0085266A">
              <w:rPr>
                <w:rFonts w:ascii="Times New Roman" w:hAnsi="Times New Roman" w:cs="Times New Roman"/>
                <w:noProof/>
                <w:webHidden/>
                <w:sz w:val="24"/>
                <w:szCs w:val="24"/>
              </w:rPr>
              <w:fldChar w:fldCharType="end"/>
            </w:r>
          </w:hyperlink>
        </w:p>
        <w:p w14:paraId="3F0D42CC" w14:textId="05E66D28"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39" w:history="1">
            <w:r w:rsidR="00FE375A" w:rsidRPr="0085266A">
              <w:rPr>
                <w:rStyle w:val="Hyperlink"/>
                <w:rFonts w:ascii="Times New Roman" w:eastAsia="Calibri" w:hAnsi="Times New Roman" w:cs="Times New Roman"/>
                <w:noProof/>
                <w:sz w:val="24"/>
                <w:szCs w:val="24"/>
              </w:rPr>
              <w:t>Student Engagement: Measures and Methodological Challenges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_Toc102489439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29</w:t>
            </w:r>
            <w:r w:rsidR="00FE375A" w:rsidRPr="0085266A">
              <w:rPr>
                <w:rFonts w:ascii="Times New Roman" w:hAnsi="Times New Roman" w:cs="Times New Roman"/>
                <w:noProof/>
                <w:webHidden/>
                <w:sz w:val="24"/>
                <w:szCs w:val="24"/>
              </w:rPr>
              <w:fldChar w:fldCharType="end"/>
            </w:r>
          </w:hyperlink>
        </w:p>
        <w:p w14:paraId="7AC86532" w14:textId="2E57667D"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0" w:history="1">
            <w:r w:rsidR="00FE375A" w:rsidRPr="0085266A">
              <w:rPr>
                <w:rStyle w:val="Hyperlink"/>
                <w:rFonts w:ascii="Times New Roman" w:eastAsia="Calibri" w:hAnsi="Times New Roman" w:cs="Times New Roman"/>
                <w:noProof/>
                <w:sz w:val="24"/>
                <w:szCs w:val="24"/>
              </w:rPr>
              <w:t>A Critical Review of Issues Associated with the Existing Measures of Online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35</w:t>
            </w:r>
            <w:r w:rsidR="00FE375A" w:rsidRPr="0085266A">
              <w:rPr>
                <w:rFonts w:ascii="Times New Roman" w:hAnsi="Times New Roman" w:cs="Times New Roman"/>
                <w:noProof/>
                <w:webHidden/>
                <w:sz w:val="24"/>
                <w:szCs w:val="24"/>
              </w:rPr>
              <w:fldChar w:fldCharType="end"/>
            </w:r>
          </w:hyperlink>
        </w:p>
        <w:p w14:paraId="74DF2E3D" w14:textId="2B669587"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41" w:history="1">
            <w:r w:rsidR="00FE375A" w:rsidRPr="0085266A">
              <w:rPr>
                <w:rStyle w:val="Hyperlink"/>
                <w:rFonts w:ascii="Times New Roman" w:hAnsi="Times New Roman" w:cs="Times New Roman"/>
                <w:noProof/>
                <w:sz w:val="24"/>
                <w:szCs w:val="24"/>
              </w:rPr>
              <w:t>Chapter 3: Methods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38</w:t>
            </w:r>
            <w:r w:rsidR="00FE375A" w:rsidRPr="0085266A">
              <w:rPr>
                <w:rFonts w:ascii="Times New Roman" w:hAnsi="Times New Roman" w:cs="Times New Roman"/>
                <w:noProof/>
                <w:webHidden/>
                <w:sz w:val="24"/>
                <w:szCs w:val="24"/>
              </w:rPr>
              <w:fldChar w:fldCharType="end"/>
            </w:r>
          </w:hyperlink>
        </w:p>
        <w:p w14:paraId="30FDDCC3" w14:textId="6678E873"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2" w:history="1">
            <w:r w:rsidR="00FE375A" w:rsidRPr="0085266A">
              <w:rPr>
                <w:rStyle w:val="Hyperlink"/>
                <w:rFonts w:ascii="Times New Roman" w:hAnsi="Times New Roman" w:cs="Times New Roman"/>
                <w:noProof/>
                <w:sz w:val="24"/>
                <w:szCs w:val="24"/>
              </w:rPr>
              <w:t>Overview</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38</w:t>
            </w:r>
            <w:r w:rsidR="00FE375A" w:rsidRPr="0085266A">
              <w:rPr>
                <w:rFonts w:ascii="Times New Roman" w:hAnsi="Times New Roman" w:cs="Times New Roman"/>
                <w:noProof/>
                <w:webHidden/>
                <w:sz w:val="24"/>
                <w:szCs w:val="24"/>
              </w:rPr>
              <w:fldChar w:fldCharType="end"/>
            </w:r>
          </w:hyperlink>
        </w:p>
        <w:p w14:paraId="160AEF65" w14:textId="38ECC914"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3" w:history="1">
            <w:r w:rsidR="00FE375A" w:rsidRPr="0085266A">
              <w:rPr>
                <w:rStyle w:val="Hyperlink"/>
                <w:rFonts w:ascii="Times New Roman" w:hAnsi="Times New Roman" w:cs="Times New Roman"/>
                <w:noProof/>
                <w:sz w:val="24"/>
                <w:szCs w:val="24"/>
              </w:rPr>
              <w:t>Research Design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38</w:t>
            </w:r>
            <w:r w:rsidR="00FE375A" w:rsidRPr="0085266A">
              <w:rPr>
                <w:rFonts w:ascii="Times New Roman" w:hAnsi="Times New Roman" w:cs="Times New Roman"/>
                <w:noProof/>
                <w:webHidden/>
                <w:sz w:val="24"/>
                <w:szCs w:val="24"/>
              </w:rPr>
              <w:fldChar w:fldCharType="end"/>
            </w:r>
          </w:hyperlink>
        </w:p>
        <w:p w14:paraId="3C8EC544" w14:textId="4B279BD2"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4" w:history="1">
            <w:r w:rsidR="00FE375A" w:rsidRPr="0085266A">
              <w:rPr>
                <w:rStyle w:val="Hyperlink"/>
                <w:rFonts w:ascii="Times New Roman" w:hAnsi="Times New Roman" w:cs="Times New Roman"/>
                <w:noProof/>
                <w:sz w:val="24"/>
                <w:szCs w:val="24"/>
              </w:rPr>
              <w:t>Summary of Item Development and Validation Process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39</w:t>
            </w:r>
            <w:r w:rsidR="00FE375A" w:rsidRPr="0085266A">
              <w:rPr>
                <w:rFonts w:ascii="Times New Roman" w:hAnsi="Times New Roman" w:cs="Times New Roman"/>
                <w:noProof/>
                <w:webHidden/>
                <w:sz w:val="24"/>
                <w:szCs w:val="24"/>
              </w:rPr>
              <w:fldChar w:fldCharType="end"/>
            </w:r>
          </w:hyperlink>
        </w:p>
        <w:p w14:paraId="4C3297CC" w14:textId="41C662C2"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5" w:history="1">
            <w:r w:rsidR="00FE375A" w:rsidRPr="0085266A">
              <w:rPr>
                <w:rStyle w:val="Hyperlink"/>
                <w:rFonts w:ascii="Times New Roman" w:hAnsi="Times New Roman" w:cs="Times New Roman"/>
                <w:noProof/>
                <w:sz w:val="24"/>
                <w:szCs w:val="24"/>
              </w:rPr>
              <w:t>Construct Definition and Operationalization of Online Behavioral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42</w:t>
            </w:r>
            <w:r w:rsidR="00FE375A" w:rsidRPr="0085266A">
              <w:rPr>
                <w:rFonts w:ascii="Times New Roman" w:hAnsi="Times New Roman" w:cs="Times New Roman"/>
                <w:noProof/>
                <w:webHidden/>
                <w:sz w:val="24"/>
                <w:szCs w:val="24"/>
              </w:rPr>
              <w:fldChar w:fldCharType="end"/>
            </w:r>
          </w:hyperlink>
        </w:p>
        <w:p w14:paraId="4BF63BA2" w14:textId="41DA9693"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6" w:history="1">
            <w:r w:rsidR="00FE375A" w:rsidRPr="0085266A">
              <w:rPr>
                <w:rStyle w:val="Hyperlink"/>
                <w:rFonts w:ascii="Times New Roman" w:hAnsi="Times New Roman" w:cs="Times New Roman"/>
                <w:noProof/>
                <w:sz w:val="24"/>
                <w:szCs w:val="24"/>
              </w:rPr>
              <w:t>Construct Definition and Operationalization of Online Emotional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43</w:t>
            </w:r>
            <w:r w:rsidR="00FE375A" w:rsidRPr="0085266A">
              <w:rPr>
                <w:rFonts w:ascii="Times New Roman" w:hAnsi="Times New Roman" w:cs="Times New Roman"/>
                <w:noProof/>
                <w:webHidden/>
                <w:sz w:val="24"/>
                <w:szCs w:val="24"/>
              </w:rPr>
              <w:fldChar w:fldCharType="end"/>
            </w:r>
          </w:hyperlink>
        </w:p>
        <w:p w14:paraId="405A9D7A" w14:textId="66D647DB"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7" w:history="1">
            <w:r w:rsidR="00FE375A" w:rsidRPr="0085266A">
              <w:rPr>
                <w:rStyle w:val="Hyperlink"/>
                <w:rFonts w:ascii="Times New Roman" w:hAnsi="Times New Roman" w:cs="Times New Roman"/>
                <w:noProof/>
                <w:sz w:val="24"/>
                <w:szCs w:val="24"/>
              </w:rPr>
              <w:t>Construct Definition and Operationalization of Online Cognitive Engagement</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46</w:t>
            </w:r>
            <w:r w:rsidR="00FE375A" w:rsidRPr="0085266A">
              <w:rPr>
                <w:rFonts w:ascii="Times New Roman" w:hAnsi="Times New Roman" w:cs="Times New Roman"/>
                <w:noProof/>
                <w:webHidden/>
                <w:sz w:val="24"/>
                <w:szCs w:val="24"/>
              </w:rPr>
              <w:fldChar w:fldCharType="end"/>
            </w:r>
          </w:hyperlink>
        </w:p>
        <w:p w14:paraId="6F58332D" w14:textId="2466E62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8" w:history="1">
            <w:r w:rsidR="00FE375A" w:rsidRPr="0085266A">
              <w:rPr>
                <w:rStyle w:val="Hyperlink"/>
                <w:rFonts w:ascii="Times New Roman" w:hAnsi="Times New Roman" w:cs="Times New Roman"/>
                <w:noProof/>
                <w:sz w:val="24"/>
                <w:szCs w:val="24"/>
              </w:rPr>
              <w:t>Expert Review and Cognitive Pilot Testing</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47</w:t>
            </w:r>
            <w:r w:rsidR="00FE375A" w:rsidRPr="0085266A">
              <w:rPr>
                <w:rFonts w:ascii="Times New Roman" w:hAnsi="Times New Roman" w:cs="Times New Roman"/>
                <w:noProof/>
                <w:webHidden/>
                <w:sz w:val="24"/>
                <w:szCs w:val="24"/>
              </w:rPr>
              <w:fldChar w:fldCharType="end"/>
            </w:r>
          </w:hyperlink>
        </w:p>
        <w:p w14:paraId="25B027BB" w14:textId="55F1329E"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49" w:history="1">
            <w:r w:rsidR="00FE375A" w:rsidRPr="0085266A">
              <w:rPr>
                <w:rStyle w:val="Hyperlink"/>
                <w:rFonts w:ascii="Times New Roman" w:eastAsia="Calibri" w:hAnsi="Times New Roman" w:cs="Times New Roman"/>
                <w:noProof/>
                <w:sz w:val="24"/>
                <w:szCs w:val="24"/>
              </w:rPr>
              <w:t>Participants and Sampling Design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_Toc102489449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50</w:t>
            </w:r>
            <w:r w:rsidR="00FE375A" w:rsidRPr="0085266A">
              <w:rPr>
                <w:rFonts w:ascii="Times New Roman" w:hAnsi="Times New Roman" w:cs="Times New Roman"/>
                <w:noProof/>
                <w:webHidden/>
                <w:sz w:val="24"/>
                <w:szCs w:val="24"/>
              </w:rPr>
              <w:fldChar w:fldCharType="end"/>
            </w:r>
          </w:hyperlink>
        </w:p>
        <w:p w14:paraId="71F0F770" w14:textId="1F698407"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50" w:history="1">
            <w:r w:rsidR="00FE375A" w:rsidRPr="0085266A">
              <w:rPr>
                <w:rStyle w:val="Hyperlink"/>
                <w:rFonts w:ascii="Times New Roman" w:hAnsi="Times New Roman" w:cs="Times New Roman"/>
                <w:noProof/>
                <w:sz w:val="24"/>
                <w:szCs w:val="24"/>
              </w:rPr>
              <w:t>Participants’ Online Learning Characteristics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51</w:t>
            </w:r>
            <w:r w:rsidR="00FE375A" w:rsidRPr="0085266A">
              <w:rPr>
                <w:rFonts w:ascii="Times New Roman" w:hAnsi="Times New Roman" w:cs="Times New Roman"/>
                <w:noProof/>
                <w:webHidden/>
                <w:sz w:val="24"/>
                <w:szCs w:val="24"/>
              </w:rPr>
              <w:fldChar w:fldCharType="end"/>
            </w:r>
          </w:hyperlink>
        </w:p>
        <w:p w14:paraId="445180F8" w14:textId="0074CDA1"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51" w:history="1">
            <w:r w:rsidR="00FE375A" w:rsidRPr="0085266A">
              <w:rPr>
                <w:rStyle w:val="Hyperlink"/>
                <w:rFonts w:ascii="Times New Roman" w:eastAsia="Calibri" w:hAnsi="Times New Roman" w:cs="Times New Roman"/>
                <w:noProof/>
                <w:sz w:val="24"/>
                <w:szCs w:val="24"/>
              </w:rPr>
              <w:t>Measures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53</w:t>
            </w:r>
            <w:r w:rsidR="00FE375A" w:rsidRPr="0085266A">
              <w:rPr>
                <w:rFonts w:ascii="Times New Roman" w:hAnsi="Times New Roman" w:cs="Times New Roman"/>
                <w:noProof/>
                <w:webHidden/>
                <w:sz w:val="24"/>
                <w:szCs w:val="24"/>
              </w:rPr>
              <w:fldChar w:fldCharType="end"/>
            </w:r>
          </w:hyperlink>
        </w:p>
        <w:p w14:paraId="05CD788C" w14:textId="5325D141"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2" w:history="1">
            <w:r w:rsidR="00FE375A" w:rsidRPr="0085266A">
              <w:rPr>
                <w:rStyle w:val="Hyperlink"/>
                <w:rFonts w:ascii="Times New Roman" w:eastAsia="Calibri" w:hAnsi="Times New Roman" w:cs="Times New Roman"/>
                <w:noProof/>
                <w:sz w:val="24"/>
                <w:szCs w:val="24"/>
              </w:rPr>
              <w:t>The Online Engagement in Higher Education (OEHE) Scale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53</w:t>
            </w:r>
            <w:r w:rsidR="00FE375A" w:rsidRPr="0085266A">
              <w:rPr>
                <w:rFonts w:ascii="Times New Roman" w:hAnsi="Times New Roman" w:cs="Times New Roman"/>
                <w:noProof/>
                <w:webHidden/>
                <w:sz w:val="24"/>
                <w:szCs w:val="24"/>
              </w:rPr>
              <w:fldChar w:fldCharType="end"/>
            </w:r>
          </w:hyperlink>
        </w:p>
        <w:p w14:paraId="36964D28" w14:textId="0CF52EA0"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3" w:history="1">
            <w:r w:rsidR="00FE375A" w:rsidRPr="0085266A">
              <w:rPr>
                <w:rStyle w:val="Hyperlink"/>
                <w:rFonts w:ascii="Times New Roman" w:eastAsia="Calibri" w:hAnsi="Times New Roman" w:cs="Times New Roman"/>
                <w:noProof/>
                <w:sz w:val="24"/>
                <w:szCs w:val="24"/>
              </w:rPr>
              <w:t>Classroom Engagement Scale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53</w:t>
            </w:r>
            <w:r w:rsidR="00FE375A" w:rsidRPr="0085266A">
              <w:rPr>
                <w:rFonts w:ascii="Times New Roman" w:hAnsi="Times New Roman" w:cs="Times New Roman"/>
                <w:noProof/>
                <w:webHidden/>
                <w:sz w:val="24"/>
                <w:szCs w:val="24"/>
              </w:rPr>
              <w:fldChar w:fldCharType="end"/>
            </w:r>
          </w:hyperlink>
        </w:p>
        <w:p w14:paraId="3F1AB725" w14:textId="62151F85"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4" w:history="1">
            <w:r w:rsidR="00FE375A" w:rsidRPr="0085266A">
              <w:rPr>
                <w:rStyle w:val="Hyperlink"/>
                <w:rFonts w:ascii="Times New Roman" w:eastAsia="Calibri" w:hAnsi="Times New Roman" w:cs="Times New Roman"/>
                <w:noProof/>
                <w:sz w:val="24"/>
                <w:szCs w:val="24"/>
              </w:rPr>
              <w:t>Epistemic Beliefs Inventory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55</w:t>
            </w:r>
            <w:r w:rsidR="00FE375A" w:rsidRPr="0085266A">
              <w:rPr>
                <w:rFonts w:ascii="Times New Roman" w:hAnsi="Times New Roman" w:cs="Times New Roman"/>
                <w:noProof/>
                <w:webHidden/>
                <w:sz w:val="24"/>
                <w:szCs w:val="24"/>
              </w:rPr>
              <w:fldChar w:fldCharType="end"/>
            </w:r>
          </w:hyperlink>
        </w:p>
        <w:p w14:paraId="7EF0E872" w14:textId="46B59F44"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5" w:history="1">
            <w:r w:rsidR="00FE375A" w:rsidRPr="0085266A">
              <w:rPr>
                <w:rStyle w:val="Hyperlink"/>
                <w:rFonts w:ascii="Times New Roman" w:eastAsia="Calibri" w:hAnsi="Times New Roman" w:cs="Times New Roman"/>
                <w:noProof/>
                <w:sz w:val="24"/>
                <w:szCs w:val="24"/>
              </w:rPr>
              <w:t>Task Value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56</w:t>
            </w:r>
            <w:r w:rsidR="00FE375A" w:rsidRPr="0085266A">
              <w:rPr>
                <w:rFonts w:ascii="Times New Roman" w:hAnsi="Times New Roman" w:cs="Times New Roman"/>
                <w:noProof/>
                <w:webHidden/>
                <w:sz w:val="24"/>
                <w:szCs w:val="24"/>
              </w:rPr>
              <w:fldChar w:fldCharType="end"/>
            </w:r>
          </w:hyperlink>
        </w:p>
        <w:p w14:paraId="7B124DBA" w14:textId="5DF293C8"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6" w:history="1">
            <w:r w:rsidR="00FE375A" w:rsidRPr="0085266A">
              <w:rPr>
                <w:rStyle w:val="Hyperlink"/>
                <w:rFonts w:ascii="Times New Roman" w:eastAsia="Calibri" w:hAnsi="Times New Roman" w:cs="Times New Roman"/>
                <w:noProof/>
                <w:sz w:val="24"/>
                <w:szCs w:val="24"/>
              </w:rPr>
              <w:t>Online Course Context, Demographic, and Equity/Inclusiveness Questions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58</w:t>
            </w:r>
            <w:r w:rsidR="00FE375A" w:rsidRPr="0085266A">
              <w:rPr>
                <w:rFonts w:ascii="Times New Roman" w:hAnsi="Times New Roman" w:cs="Times New Roman"/>
                <w:noProof/>
                <w:webHidden/>
                <w:sz w:val="24"/>
                <w:szCs w:val="24"/>
              </w:rPr>
              <w:fldChar w:fldCharType="end"/>
            </w:r>
          </w:hyperlink>
        </w:p>
        <w:p w14:paraId="083CE391" w14:textId="56FAA568"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57" w:history="1">
            <w:r w:rsidR="00FE375A" w:rsidRPr="0085266A">
              <w:rPr>
                <w:rStyle w:val="Hyperlink"/>
                <w:rFonts w:ascii="Times New Roman" w:eastAsia="Calibri" w:hAnsi="Times New Roman" w:cs="Times New Roman"/>
                <w:noProof/>
                <w:sz w:val="24"/>
                <w:szCs w:val="24"/>
              </w:rPr>
              <w:t>Data Analysis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58</w:t>
            </w:r>
            <w:r w:rsidR="00FE375A" w:rsidRPr="0085266A">
              <w:rPr>
                <w:rFonts w:ascii="Times New Roman" w:hAnsi="Times New Roman" w:cs="Times New Roman"/>
                <w:noProof/>
                <w:webHidden/>
                <w:sz w:val="24"/>
                <w:szCs w:val="24"/>
              </w:rPr>
              <w:fldChar w:fldCharType="end"/>
            </w:r>
          </w:hyperlink>
        </w:p>
        <w:p w14:paraId="22F2E30E" w14:textId="2760C947"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8" w:history="1">
            <w:r w:rsidR="00FE375A" w:rsidRPr="0085266A">
              <w:rPr>
                <w:rStyle w:val="Hyperlink"/>
                <w:rFonts w:ascii="Times New Roman" w:eastAsia="Calibri" w:hAnsi="Times New Roman" w:cs="Times New Roman"/>
                <w:noProof/>
                <w:sz w:val="24"/>
                <w:szCs w:val="24"/>
              </w:rPr>
              <w:t>Data Cleaning, Minimum Criteria Screening, and Missing Data</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59</w:t>
            </w:r>
            <w:r w:rsidR="00FE375A" w:rsidRPr="0085266A">
              <w:rPr>
                <w:rFonts w:ascii="Times New Roman" w:hAnsi="Times New Roman" w:cs="Times New Roman"/>
                <w:noProof/>
                <w:webHidden/>
                <w:sz w:val="24"/>
                <w:szCs w:val="24"/>
              </w:rPr>
              <w:fldChar w:fldCharType="end"/>
            </w:r>
          </w:hyperlink>
        </w:p>
        <w:p w14:paraId="5AFD5E76" w14:textId="001E7F47"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59" w:history="1">
            <w:r w:rsidR="00FE375A" w:rsidRPr="0085266A">
              <w:rPr>
                <w:rStyle w:val="Hyperlink"/>
                <w:rFonts w:ascii="Times New Roman" w:eastAsia="Calibri" w:hAnsi="Times New Roman" w:cs="Times New Roman"/>
                <w:noProof/>
                <w:sz w:val="24"/>
                <w:szCs w:val="24"/>
              </w:rPr>
              <w:t>Preliminary Analyses of Data</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_Toc102489459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59</w:t>
            </w:r>
            <w:r w:rsidR="00FE375A" w:rsidRPr="0085266A">
              <w:rPr>
                <w:rFonts w:ascii="Times New Roman" w:hAnsi="Times New Roman" w:cs="Times New Roman"/>
                <w:noProof/>
                <w:webHidden/>
                <w:sz w:val="24"/>
                <w:szCs w:val="24"/>
              </w:rPr>
              <w:fldChar w:fldCharType="end"/>
            </w:r>
          </w:hyperlink>
        </w:p>
        <w:p w14:paraId="451DAE8E" w14:textId="575293D6"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60" w:history="1">
            <w:r w:rsidR="00FE375A" w:rsidRPr="0085266A">
              <w:rPr>
                <w:rStyle w:val="Hyperlink"/>
                <w:rFonts w:ascii="Times New Roman" w:hAnsi="Times New Roman" w:cs="Times New Roman"/>
                <w:noProof/>
                <w:sz w:val="24"/>
                <w:szCs w:val="24"/>
              </w:rPr>
              <w:t>Confirmatory Factor Analysis (CFA)</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60</w:t>
            </w:r>
            <w:r w:rsidR="00FE375A" w:rsidRPr="0085266A">
              <w:rPr>
                <w:rFonts w:ascii="Times New Roman" w:hAnsi="Times New Roman" w:cs="Times New Roman"/>
                <w:noProof/>
                <w:webHidden/>
                <w:sz w:val="24"/>
                <w:szCs w:val="24"/>
              </w:rPr>
              <w:fldChar w:fldCharType="end"/>
            </w:r>
          </w:hyperlink>
        </w:p>
        <w:p w14:paraId="1EBE67B0" w14:textId="15E6FBDA"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61" w:history="1">
            <w:r w:rsidR="00FE375A" w:rsidRPr="0085266A">
              <w:rPr>
                <w:rStyle w:val="Hyperlink"/>
                <w:rFonts w:ascii="Times New Roman" w:hAnsi="Times New Roman" w:cs="Times New Roman"/>
                <w:noProof/>
                <w:sz w:val="24"/>
                <w:szCs w:val="24"/>
              </w:rPr>
              <w:t>Validity and Reliability Coefficients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64</w:t>
            </w:r>
            <w:r w:rsidR="00FE375A" w:rsidRPr="0085266A">
              <w:rPr>
                <w:rFonts w:ascii="Times New Roman" w:hAnsi="Times New Roman" w:cs="Times New Roman"/>
                <w:noProof/>
                <w:webHidden/>
                <w:sz w:val="24"/>
                <w:szCs w:val="24"/>
              </w:rPr>
              <w:fldChar w:fldCharType="end"/>
            </w:r>
          </w:hyperlink>
        </w:p>
        <w:p w14:paraId="099C8636" w14:textId="16894D45"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62" w:history="1">
            <w:r w:rsidR="00FE375A" w:rsidRPr="0085266A">
              <w:rPr>
                <w:rStyle w:val="Hyperlink"/>
                <w:rFonts w:ascii="Times New Roman" w:eastAsiaTheme="majorEastAsia" w:hAnsi="Times New Roman" w:cs="Times New Roman"/>
                <w:noProof/>
                <w:sz w:val="24"/>
                <w:szCs w:val="24"/>
              </w:rPr>
              <w:t>Chapter 4: Findings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65</w:t>
            </w:r>
            <w:r w:rsidR="00FE375A" w:rsidRPr="0085266A">
              <w:rPr>
                <w:rFonts w:ascii="Times New Roman" w:hAnsi="Times New Roman" w:cs="Times New Roman"/>
                <w:noProof/>
                <w:webHidden/>
                <w:sz w:val="24"/>
                <w:szCs w:val="24"/>
              </w:rPr>
              <w:fldChar w:fldCharType="end"/>
            </w:r>
          </w:hyperlink>
        </w:p>
        <w:p w14:paraId="54D56CBB" w14:textId="5AD0D327"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63" w:history="1">
            <w:r w:rsidR="00FE375A" w:rsidRPr="0085266A">
              <w:rPr>
                <w:rStyle w:val="Hyperlink"/>
                <w:rFonts w:ascii="Times New Roman" w:eastAsiaTheme="majorEastAsia" w:hAnsi="Times New Roman" w:cs="Times New Roman"/>
                <w:noProof/>
                <w:sz w:val="24"/>
                <w:szCs w:val="24"/>
              </w:rPr>
              <w:t>Confirmatory Factor Analysis (CFA)</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65</w:t>
            </w:r>
            <w:r w:rsidR="00FE375A" w:rsidRPr="0085266A">
              <w:rPr>
                <w:rFonts w:ascii="Times New Roman" w:hAnsi="Times New Roman" w:cs="Times New Roman"/>
                <w:noProof/>
                <w:webHidden/>
                <w:sz w:val="24"/>
                <w:szCs w:val="24"/>
              </w:rPr>
              <w:fldChar w:fldCharType="end"/>
            </w:r>
          </w:hyperlink>
        </w:p>
        <w:p w14:paraId="1AB914BB" w14:textId="28612CF0"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64" w:history="1">
            <w:r w:rsidR="00FE375A" w:rsidRPr="0085266A">
              <w:rPr>
                <w:rStyle w:val="Hyperlink"/>
                <w:rFonts w:ascii="Times New Roman" w:eastAsia="Calibri" w:hAnsi="Times New Roman" w:cs="Times New Roman"/>
                <w:noProof/>
                <w:sz w:val="24"/>
                <w:szCs w:val="24"/>
              </w:rPr>
              <w:t>Pearson Bivariate Correlations for Convergent Validity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82</w:t>
            </w:r>
            <w:r w:rsidR="00FE375A" w:rsidRPr="0085266A">
              <w:rPr>
                <w:rFonts w:ascii="Times New Roman" w:hAnsi="Times New Roman" w:cs="Times New Roman"/>
                <w:noProof/>
                <w:webHidden/>
                <w:sz w:val="24"/>
                <w:szCs w:val="24"/>
              </w:rPr>
              <w:fldChar w:fldCharType="end"/>
            </w:r>
          </w:hyperlink>
        </w:p>
        <w:p w14:paraId="495D18C2" w14:textId="2711584E"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65" w:history="1">
            <w:r w:rsidR="00FE375A" w:rsidRPr="0085266A">
              <w:rPr>
                <w:rStyle w:val="Hyperlink"/>
                <w:rFonts w:ascii="Times New Roman" w:eastAsia="Calibri" w:hAnsi="Times New Roman" w:cs="Times New Roman"/>
                <w:noProof/>
                <w:sz w:val="24"/>
                <w:szCs w:val="24"/>
              </w:rPr>
              <w:t>Pearson Bivariate Correlations for Discriminant Validity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84</w:t>
            </w:r>
            <w:r w:rsidR="00FE375A" w:rsidRPr="0085266A">
              <w:rPr>
                <w:rFonts w:ascii="Times New Roman" w:hAnsi="Times New Roman" w:cs="Times New Roman"/>
                <w:noProof/>
                <w:webHidden/>
                <w:sz w:val="24"/>
                <w:szCs w:val="24"/>
              </w:rPr>
              <w:fldChar w:fldCharType="end"/>
            </w:r>
          </w:hyperlink>
        </w:p>
        <w:p w14:paraId="138BA79E" w14:textId="5E8C7A03"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66" w:history="1">
            <w:r w:rsidR="00FE375A" w:rsidRPr="0085266A">
              <w:rPr>
                <w:rStyle w:val="Hyperlink"/>
                <w:rFonts w:ascii="Times New Roman" w:hAnsi="Times New Roman" w:cs="Times New Roman"/>
                <w:noProof/>
                <w:sz w:val="24"/>
                <w:szCs w:val="24"/>
              </w:rPr>
              <w:t>Pearson Bivariate Correlations for Criterion-Related Validity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85</w:t>
            </w:r>
            <w:r w:rsidR="00FE375A" w:rsidRPr="0085266A">
              <w:rPr>
                <w:rFonts w:ascii="Times New Roman" w:hAnsi="Times New Roman" w:cs="Times New Roman"/>
                <w:noProof/>
                <w:webHidden/>
                <w:sz w:val="24"/>
                <w:szCs w:val="24"/>
              </w:rPr>
              <w:fldChar w:fldCharType="end"/>
            </w:r>
          </w:hyperlink>
        </w:p>
        <w:p w14:paraId="6FAA0368" w14:textId="6656E68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67" w:history="1">
            <w:r w:rsidR="00FE375A" w:rsidRPr="0085266A">
              <w:rPr>
                <w:rStyle w:val="Hyperlink"/>
                <w:rFonts w:ascii="Times New Roman" w:eastAsia="Calibri" w:hAnsi="Times New Roman" w:cs="Times New Roman"/>
                <w:noProof/>
                <w:sz w:val="24"/>
                <w:szCs w:val="24"/>
              </w:rPr>
              <w:t>Reliability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86</w:t>
            </w:r>
            <w:r w:rsidR="00FE375A" w:rsidRPr="0085266A">
              <w:rPr>
                <w:rFonts w:ascii="Times New Roman" w:hAnsi="Times New Roman" w:cs="Times New Roman"/>
                <w:noProof/>
                <w:webHidden/>
                <w:sz w:val="24"/>
                <w:szCs w:val="24"/>
              </w:rPr>
              <w:fldChar w:fldCharType="end"/>
            </w:r>
          </w:hyperlink>
        </w:p>
        <w:p w14:paraId="685190A9" w14:textId="4A7263B4"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68" w:history="1">
            <w:r w:rsidR="00FE375A" w:rsidRPr="0085266A">
              <w:rPr>
                <w:rStyle w:val="Hyperlink"/>
                <w:rFonts w:ascii="Times New Roman" w:hAnsi="Times New Roman" w:cs="Times New Roman"/>
                <w:noProof/>
                <w:sz w:val="24"/>
                <w:szCs w:val="24"/>
              </w:rPr>
              <w:t>Chapter 5: Discussion and Conclusion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88</w:t>
            </w:r>
            <w:r w:rsidR="00FE375A" w:rsidRPr="0085266A">
              <w:rPr>
                <w:rFonts w:ascii="Times New Roman" w:hAnsi="Times New Roman" w:cs="Times New Roman"/>
                <w:noProof/>
                <w:webHidden/>
                <w:sz w:val="24"/>
                <w:szCs w:val="24"/>
              </w:rPr>
              <w:fldChar w:fldCharType="end"/>
            </w:r>
          </w:hyperlink>
        </w:p>
        <w:p w14:paraId="1C27822E" w14:textId="4844DCD4"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69" w:history="1">
            <w:r w:rsidR="00FE375A" w:rsidRPr="0085266A">
              <w:rPr>
                <w:rStyle w:val="Hyperlink"/>
                <w:rFonts w:ascii="Times New Roman" w:hAnsi="Times New Roman" w:cs="Times New Roman"/>
                <w:noProof/>
                <w:sz w:val="24"/>
                <w:szCs w:val="24"/>
              </w:rPr>
              <w:t>Overview</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_Toc102489469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88</w:t>
            </w:r>
            <w:r w:rsidR="00FE375A" w:rsidRPr="0085266A">
              <w:rPr>
                <w:rFonts w:ascii="Times New Roman" w:hAnsi="Times New Roman" w:cs="Times New Roman"/>
                <w:noProof/>
                <w:webHidden/>
                <w:sz w:val="24"/>
                <w:szCs w:val="24"/>
              </w:rPr>
              <w:fldChar w:fldCharType="end"/>
            </w:r>
          </w:hyperlink>
        </w:p>
        <w:p w14:paraId="32B9EFEF" w14:textId="65D6AC52"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70" w:history="1">
            <w:r w:rsidR="00FE375A" w:rsidRPr="0085266A">
              <w:rPr>
                <w:rStyle w:val="Hyperlink"/>
                <w:rFonts w:ascii="Times New Roman" w:eastAsiaTheme="majorEastAsia" w:hAnsi="Times New Roman" w:cs="Times New Roman"/>
                <w:noProof/>
                <w:sz w:val="24"/>
                <w:szCs w:val="24"/>
              </w:rPr>
              <w:t>Summary and Discussion of the Findings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88</w:t>
            </w:r>
            <w:r w:rsidR="00FE375A" w:rsidRPr="0085266A">
              <w:rPr>
                <w:rFonts w:ascii="Times New Roman" w:hAnsi="Times New Roman" w:cs="Times New Roman"/>
                <w:noProof/>
                <w:webHidden/>
                <w:sz w:val="24"/>
                <w:szCs w:val="24"/>
              </w:rPr>
              <w:fldChar w:fldCharType="end"/>
            </w:r>
          </w:hyperlink>
        </w:p>
        <w:p w14:paraId="223679C5" w14:textId="09585CA7"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71" w:history="1">
            <w:r w:rsidR="00FE375A" w:rsidRPr="0085266A">
              <w:rPr>
                <w:rStyle w:val="Hyperlink"/>
                <w:rFonts w:ascii="Times New Roman" w:eastAsiaTheme="majorEastAsia" w:hAnsi="Times New Roman" w:cs="Times New Roman"/>
                <w:noProof/>
                <w:sz w:val="24"/>
                <w:szCs w:val="24"/>
              </w:rPr>
              <w:t>Discussion of Results of Research Question One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89</w:t>
            </w:r>
            <w:r w:rsidR="00FE375A" w:rsidRPr="0085266A">
              <w:rPr>
                <w:rFonts w:ascii="Times New Roman" w:hAnsi="Times New Roman" w:cs="Times New Roman"/>
                <w:noProof/>
                <w:webHidden/>
                <w:sz w:val="24"/>
                <w:szCs w:val="24"/>
              </w:rPr>
              <w:fldChar w:fldCharType="end"/>
            </w:r>
          </w:hyperlink>
        </w:p>
        <w:p w14:paraId="1EEA3B28" w14:textId="51B41159"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72" w:history="1">
            <w:r w:rsidR="00FE375A" w:rsidRPr="0085266A">
              <w:rPr>
                <w:rStyle w:val="Hyperlink"/>
                <w:rFonts w:ascii="Times New Roman" w:eastAsiaTheme="majorEastAsia" w:hAnsi="Times New Roman" w:cs="Times New Roman"/>
                <w:noProof/>
                <w:sz w:val="24"/>
                <w:szCs w:val="24"/>
              </w:rPr>
              <w:t>Discussion of Results of Research Question Two</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101</w:t>
            </w:r>
            <w:r w:rsidR="00FE375A" w:rsidRPr="0085266A">
              <w:rPr>
                <w:rFonts w:ascii="Times New Roman" w:hAnsi="Times New Roman" w:cs="Times New Roman"/>
                <w:noProof/>
                <w:webHidden/>
                <w:sz w:val="24"/>
                <w:szCs w:val="24"/>
              </w:rPr>
              <w:fldChar w:fldCharType="end"/>
            </w:r>
          </w:hyperlink>
        </w:p>
        <w:p w14:paraId="1AEC370A" w14:textId="4805F486"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73" w:history="1">
            <w:r w:rsidR="00FE375A" w:rsidRPr="0085266A">
              <w:rPr>
                <w:rStyle w:val="Hyperlink"/>
                <w:rFonts w:ascii="Times New Roman" w:eastAsiaTheme="majorEastAsia" w:hAnsi="Times New Roman" w:cs="Times New Roman"/>
                <w:noProof/>
                <w:sz w:val="24"/>
                <w:szCs w:val="24"/>
              </w:rPr>
              <w:t>Discussion of Results of Research Question Three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103</w:t>
            </w:r>
            <w:r w:rsidR="00FE375A" w:rsidRPr="0085266A">
              <w:rPr>
                <w:rFonts w:ascii="Times New Roman" w:hAnsi="Times New Roman" w:cs="Times New Roman"/>
                <w:noProof/>
                <w:webHidden/>
                <w:sz w:val="24"/>
                <w:szCs w:val="24"/>
              </w:rPr>
              <w:fldChar w:fldCharType="end"/>
            </w:r>
          </w:hyperlink>
        </w:p>
        <w:p w14:paraId="73083560" w14:textId="08919430"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74" w:history="1">
            <w:r w:rsidR="00FE375A" w:rsidRPr="0085266A">
              <w:rPr>
                <w:rStyle w:val="Hyperlink"/>
                <w:rFonts w:ascii="Times New Roman" w:eastAsiaTheme="majorEastAsia" w:hAnsi="Times New Roman" w:cs="Times New Roman"/>
                <w:noProof/>
                <w:sz w:val="24"/>
                <w:szCs w:val="24"/>
              </w:rPr>
              <w:t>Implications of the Study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105</w:t>
            </w:r>
            <w:r w:rsidR="00FE375A" w:rsidRPr="0085266A">
              <w:rPr>
                <w:rFonts w:ascii="Times New Roman" w:hAnsi="Times New Roman" w:cs="Times New Roman"/>
                <w:noProof/>
                <w:webHidden/>
                <w:sz w:val="24"/>
                <w:szCs w:val="24"/>
              </w:rPr>
              <w:fldChar w:fldCharType="end"/>
            </w:r>
          </w:hyperlink>
        </w:p>
        <w:p w14:paraId="1CF48D4D" w14:textId="4B66889A" w:rsidR="00FE375A" w:rsidRPr="0085266A" w:rsidRDefault="00576522">
          <w:pPr>
            <w:pStyle w:val="TOC3"/>
            <w:tabs>
              <w:tab w:val="right" w:leader="dot" w:pos="9350"/>
            </w:tabs>
            <w:rPr>
              <w:rFonts w:ascii="Times New Roman" w:eastAsiaTheme="minorEastAsia" w:hAnsi="Times New Roman" w:cs="Times New Roman"/>
              <w:noProof/>
              <w:sz w:val="24"/>
              <w:szCs w:val="24"/>
            </w:rPr>
          </w:pPr>
          <w:hyperlink w:anchor="_Toc102489475" w:history="1">
            <w:r w:rsidR="00FE375A" w:rsidRPr="0085266A">
              <w:rPr>
                <w:rStyle w:val="Hyperlink"/>
                <w:rFonts w:ascii="Times New Roman" w:eastAsiaTheme="majorEastAsia" w:hAnsi="Times New Roman" w:cs="Times New Roman"/>
                <w:noProof/>
                <w:sz w:val="24"/>
                <w:szCs w:val="24"/>
              </w:rPr>
              <w:t>Limitations of the Study</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108</w:t>
            </w:r>
            <w:r w:rsidR="00FE375A" w:rsidRPr="0085266A">
              <w:rPr>
                <w:rFonts w:ascii="Times New Roman" w:hAnsi="Times New Roman" w:cs="Times New Roman"/>
                <w:noProof/>
                <w:webHidden/>
                <w:sz w:val="24"/>
                <w:szCs w:val="24"/>
              </w:rPr>
              <w:fldChar w:fldCharType="end"/>
            </w:r>
          </w:hyperlink>
        </w:p>
        <w:p w14:paraId="6CDD8C53" w14:textId="6F6B1786"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76" w:history="1">
            <w:r w:rsidR="00FE375A" w:rsidRPr="0085266A">
              <w:rPr>
                <w:rStyle w:val="Hyperlink"/>
                <w:rFonts w:ascii="Times New Roman" w:hAnsi="Times New Roman" w:cs="Times New Roman"/>
                <w:noProof/>
                <w:sz w:val="24"/>
                <w:szCs w:val="24"/>
              </w:rPr>
              <w:t>Conclusion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118</w:t>
            </w:r>
            <w:r w:rsidR="00FE375A" w:rsidRPr="0085266A">
              <w:rPr>
                <w:rFonts w:ascii="Times New Roman" w:hAnsi="Times New Roman" w:cs="Times New Roman"/>
                <w:noProof/>
                <w:webHidden/>
                <w:sz w:val="24"/>
                <w:szCs w:val="24"/>
              </w:rPr>
              <w:fldChar w:fldCharType="end"/>
            </w:r>
          </w:hyperlink>
        </w:p>
        <w:p w14:paraId="0A5D45B1" w14:textId="09BD2C3F"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77" w:history="1">
            <w:r w:rsidR="00FE375A" w:rsidRPr="0085266A">
              <w:rPr>
                <w:rStyle w:val="Hyperlink"/>
                <w:rFonts w:ascii="Times New Roman" w:hAnsi="Times New Roman" w:cs="Times New Roman"/>
                <w:noProof/>
                <w:sz w:val="24"/>
                <w:szCs w:val="24"/>
              </w:rPr>
              <w:t>References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120</w:t>
            </w:r>
            <w:r w:rsidR="00FE375A" w:rsidRPr="0085266A">
              <w:rPr>
                <w:rFonts w:ascii="Times New Roman" w:hAnsi="Times New Roman" w:cs="Times New Roman"/>
                <w:noProof/>
                <w:webHidden/>
                <w:sz w:val="24"/>
                <w:szCs w:val="24"/>
              </w:rPr>
              <w:fldChar w:fldCharType="end"/>
            </w:r>
          </w:hyperlink>
        </w:p>
        <w:p w14:paraId="37473C64" w14:textId="73FD8BD1" w:rsidR="00FE375A" w:rsidRPr="0085266A" w:rsidRDefault="00576522">
          <w:pPr>
            <w:pStyle w:val="TOC1"/>
            <w:tabs>
              <w:tab w:val="right" w:leader="dot" w:pos="9350"/>
            </w:tabs>
            <w:rPr>
              <w:rFonts w:ascii="Times New Roman" w:eastAsiaTheme="minorEastAsia" w:hAnsi="Times New Roman" w:cs="Times New Roman"/>
              <w:noProof/>
              <w:sz w:val="24"/>
              <w:szCs w:val="24"/>
            </w:rPr>
          </w:pPr>
          <w:hyperlink w:anchor="_Toc102489478" w:history="1">
            <w:r w:rsidR="00FE375A" w:rsidRPr="0085266A">
              <w:rPr>
                <w:rStyle w:val="Hyperlink"/>
                <w:rFonts w:ascii="Times New Roman" w:hAnsi="Times New Roman" w:cs="Times New Roman"/>
                <w:noProof/>
                <w:sz w:val="24"/>
                <w:szCs w:val="24"/>
              </w:rPr>
              <w:t>Appendices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154</w:t>
            </w:r>
            <w:r w:rsidR="00FE375A" w:rsidRPr="0085266A">
              <w:rPr>
                <w:rFonts w:ascii="Times New Roman" w:hAnsi="Times New Roman" w:cs="Times New Roman"/>
                <w:noProof/>
                <w:webHidden/>
                <w:sz w:val="24"/>
                <w:szCs w:val="24"/>
              </w:rPr>
              <w:fldChar w:fldCharType="end"/>
            </w:r>
          </w:hyperlink>
        </w:p>
        <w:p w14:paraId="42E49ECC" w14:textId="01008398"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79" w:history="1">
            <w:r w:rsidR="00FE375A" w:rsidRPr="0085266A">
              <w:rPr>
                <w:rStyle w:val="Hyperlink"/>
                <w:rFonts w:ascii="Times New Roman" w:hAnsi="Times New Roman" w:cs="Times New Roman"/>
                <w:noProof/>
                <w:sz w:val="24"/>
                <w:szCs w:val="24"/>
              </w:rPr>
              <w:t>Appendix A Candidate Items Selected from Expert Reviews for Pilot Cognitive Testing</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_Toc102489479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154</w:t>
            </w:r>
            <w:r w:rsidR="00FE375A" w:rsidRPr="0085266A">
              <w:rPr>
                <w:rFonts w:ascii="Times New Roman" w:hAnsi="Times New Roman" w:cs="Times New Roman"/>
                <w:noProof/>
                <w:webHidden/>
                <w:sz w:val="24"/>
                <w:szCs w:val="24"/>
              </w:rPr>
              <w:fldChar w:fldCharType="end"/>
            </w:r>
          </w:hyperlink>
        </w:p>
        <w:p w14:paraId="57ACC31D" w14:textId="1487231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0" w:history="1">
            <w:r w:rsidR="00FE375A" w:rsidRPr="0085266A">
              <w:rPr>
                <w:rStyle w:val="Hyperlink"/>
                <w:rFonts w:ascii="Times New Roman" w:hAnsi="Times New Roman" w:cs="Times New Roman"/>
                <w:noProof/>
                <w:sz w:val="24"/>
                <w:szCs w:val="24"/>
              </w:rPr>
              <w:t>Appendix B Initial IRB Approval Letter Before Cognitive Interviews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156</w:t>
            </w:r>
            <w:r w:rsidR="00FE375A" w:rsidRPr="0085266A">
              <w:rPr>
                <w:rFonts w:ascii="Times New Roman" w:hAnsi="Times New Roman" w:cs="Times New Roman"/>
                <w:noProof/>
                <w:webHidden/>
                <w:sz w:val="24"/>
                <w:szCs w:val="24"/>
              </w:rPr>
              <w:fldChar w:fldCharType="end"/>
            </w:r>
          </w:hyperlink>
        </w:p>
        <w:p w14:paraId="19C6028F" w14:textId="5A808BCA"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1" w:history="1">
            <w:r w:rsidR="00FE375A" w:rsidRPr="0085266A">
              <w:rPr>
                <w:rStyle w:val="Hyperlink"/>
                <w:rFonts w:ascii="Times New Roman" w:hAnsi="Times New Roman" w:cs="Times New Roman"/>
                <w:noProof/>
                <w:sz w:val="24"/>
                <w:szCs w:val="24"/>
              </w:rPr>
              <w:t>Appendix C Qualtrics Online Survey Form for Cognitive Interviews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157</w:t>
            </w:r>
            <w:r w:rsidR="00FE375A" w:rsidRPr="0085266A">
              <w:rPr>
                <w:rFonts w:ascii="Times New Roman" w:hAnsi="Times New Roman" w:cs="Times New Roman"/>
                <w:noProof/>
                <w:webHidden/>
                <w:sz w:val="24"/>
                <w:szCs w:val="24"/>
              </w:rPr>
              <w:fldChar w:fldCharType="end"/>
            </w:r>
          </w:hyperlink>
        </w:p>
        <w:p w14:paraId="5C5CE550" w14:textId="0FC93D5F"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2" w:history="1">
            <w:r w:rsidR="00FE375A" w:rsidRPr="0085266A">
              <w:rPr>
                <w:rStyle w:val="Hyperlink"/>
                <w:rFonts w:ascii="Times New Roman" w:hAnsi="Times New Roman" w:cs="Times New Roman"/>
                <w:noProof/>
                <w:sz w:val="24"/>
                <w:szCs w:val="24"/>
              </w:rPr>
              <w:t>Appendix D A Summary of Major Item Issues and My Responses after Pilot Cognitive Testing</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158</w:t>
            </w:r>
            <w:r w:rsidR="00FE375A" w:rsidRPr="0085266A">
              <w:rPr>
                <w:rFonts w:ascii="Times New Roman" w:hAnsi="Times New Roman" w:cs="Times New Roman"/>
                <w:noProof/>
                <w:webHidden/>
                <w:sz w:val="24"/>
                <w:szCs w:val="24"/>
              </w:rPr>
              <w:fldChar w:fldCharType="end"/>
            </w:r>
          </w:hyperlink>
        </w:p>
        <w:p w14:paraId="72D62532" w14:textId="24AAF5F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3" w:history="1">
            <w:r w:rsidR="00FE375A" w:rsidRPr="0085266A">
              <w:rPr>
                <w:rStyle w:val="Hyperlink"/>
                <w:rFonts w:ascii="Times New Roman" w:hAnsi="Times New Roman" w:cs="Times New Roman"/>
                <w:noProof/>
                <w:sz w:val="24"/>
                <w:szCs w:val="24"/>
              </w:rPr>
              <w:t>Appendix E Final List of 66 OEHE Items Used for Large-Group Data Collection</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161</w:t>
            </w:r>
            <w:r w:rsidR="00FE375A" w:rsidRPr="0085266A">
              <w:rPr>
                <w:rFonts w:ascii="Times New Roman" w:hAnsi="Times New Roman" w:cs="Times New Roman"/>
                <w:noProof/>
                <w:webHidden/>
                <w:sz w:val="24"/>
                <w:szCs w:val="24"/>
              </w:rPr>
              <w:fldChar w:fldCharType="end"/>
            </w:r>
          </w:hyperlink>
        </w:p>
        <w:p w14:paraId="1C5DE807" w14:textId="3023DFB6"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4" w:history="1">
            <w:r w:rsidR="00FE375A" w:rsidRPr="0085266A">
              <w:rPr>
                <w:rStyle w:val="Hyperlink"/>
                <w:rFonts w:ascii="Times New Roman" w:hAnsi="Times New Roman" w:cs="Times New Roman"/>
                <w:noProof/>
                <w:sz w:val="24"/>
                <w:szCs w:val="24"/>
              </w:rPr>
              <w:t>Appendix F Data Cleaning and Minimum-Criteria Screening</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_Toc102489484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164</w:t>
            </w:r>
            <w:r w:rsidR="00FE375A" w:rsidRPr="0085266A">
              <w:rPr>
                <w:rFonts w:ascii="Times New Roman" w:hAnsi="Times New Roman" w:cs="Times New Roman"/>
                <w:noProof/>
                <w:webHidden/>
                <w:sz w:val="24"/>
                <w:szCs w:val="24"/>
              </w:rPr>
              <w:fldChar w:fldCharType="end"/>
            </w:r>
          </w:hyperlink>
        </w:p>
        <w:p w14:paraId="599B0791" w14:textId="361CED4C"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5" w:history="1">
            <w:r w:rsidR="00FE375A" w:rsidRPr="0085266A">
              <w:rPr>
                <w:rStyle w:val="Hyperlink"/>
                <w:rFonts w:ascii="Times New Roman" w:hAnsi="Times New Roman" w:cs="Times New Roman"/>
                <w:noProof/>
                <w:sz w:val="24"/>
                <w:szCs w:val="24"/>
              </w:rPr>
              <w:t>Appendix G Participants’ Demographics (N=234)</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_Toc102489485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165</w:t>
            </w:r>
            <w:r w:rsidR="00FE375A" w:rsidRPr="0085266A">
              <w:rPr>
                <w:rFonts w:ascii="Times New Roman" w:hAnsi="Times New Roman" w:cs="Times New Roman"/>
                <w:noProof/>
                <w:webHidden/>
                <w:sz w:val="24"/>
                <w:szCs w:val="24"/>
              </w:rPr>
              <w:fldChar w:fldCharType="end"/>
            </w:r>
          </w:hyperlink>
        </w:p>
        <w:p w14:paraId="2B7E3A44" w14:textId="5B712B14"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6" w:history="1">
            <w:r w:rsidR="00FE375A" w:rsidRPr="0085266A">
              <w:rPr>
                <w:rStyle w:val="Hyperlink"/>
                <w:rFonts w:ascii="Times New Roman" w:hAnsi="Times New Roman" w:cs="Times New Roman"/>
                <w:noProof/>
                <w:sz w:val="24"/>
                <w:szCs w:val="24"/>
              </w:rPr>
              <w:t>Appendix H  Participants’ Inclusiveness, Bias, and Accessibility Characteristics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_Toc102489486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166</w:t>
            </w:r>
            <w:r w:rsidR="00FE375A" w:rsidRPr="0085266A">
              <w:rPr>
                <w:rFonts w:ascii="Times New Roman" w:hAnsi="Times New Roman" w:cs="Times New Roman"/>
                <w:noProof/>
                <w:webHidden/>
                <w:sz w:val="24"/>
                <w:szCs w:val="24"/>
              </w:rPr>
              <w:fldChar w:fldCharType="end"/>
            </w:r>
          </w:hyperlink>
        </w:p>
        <w:p w14:paraId="248E0E75" w14:textId="31F701E5"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7" w:history="1">
            <w:r w:rsidR="00FE375A" w:rsidRPr="0085266A">
              <w:rPr>
                <w:rStyle w:val="Hyperlink"/>
                <w:rFonts w:ascii="Times New Roman" w:hAnsi="Times New Roman" w:cs="Times New Roman"/>
                <w:noProof/>
                <w:sz w:val="24"/>
                <w:szCs w:val="24"/>
              </w:rPr>
              <w:t>Appendix I Classroom Engagement Scale</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_Toc102489487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167</w:t>
            </w:r>
            <w:r w:rsidR="00FE375A" w:rsidRPr="0085266A">
              <w:rPr>
                <w:rFonts w:ascii="Times New Roman" w:hAnsi="Times New Roman" w:cs="Times New Roman"/>
                <w:noProof/>
                <w:webHidden/>
                <w:sz w:val="24"/>
                <w:szCs w:val="24"/>
              </w:rPr>
              <w:fldChar w:fldCharType="end"/>
            </w:r>
          </w:hyperlink>
        </w:p>
        <w:p w14:paraId="78CD6A7A" w14:textId="376B4FB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8" w:history="1">
            <w:r w:rsidR="00FE375A" w:rsidRPr="0085266A">
              <w:rPr>
                <w:rStyle w:val="Hyperlink"/>
                <w:rFonts w:ascii="Times New Roman" w:hAnsi="Times New Roman" w:cs="Times New Roman"/>
                <w:noProof/>
                <w:sz w:val="24"/>
                <w:szCs w:val="24"/>
              </w:rPr>
              <w:t>Appendix J Fixed Ability Subscale of the 32-item version of the Epistemic Beliefs Inventory (EBI)</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_Toc102489488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168</w:t>
            </w:r>
            <w:r w:rsidR="00FE375A" w:rsidRPr="0085266A">
              <w:rPr>
                <w:rFonts w:ascii="Times New Roman" w:hAnsi="Times New Roman" w:cs="Times New Roman"/>
                <w:noProof/>
                <w:webHidden/>
                <w:sz w:val="24"/>
                <w:szCs w:val="24"/>
              </w:rPr>
              <w:fldChar w:fldCharType="end"/>
            </w:r>
          </w:hyperlink>
        </w:p>
        <w:p w14:paraId="7B7AD190" w14:textId="62030039"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89" w:history="1">
            <w:r w:rsidR="00FE375A" w:rsidRPr="0085266A">
              <w:rPr>
                <w:rStyle w:val="Hyperlink"/>
                <w:rFonts w:ascii="Times New Roman" w:hAnsi="Times New Roman" w:cs="Times New Roman"/>
                <w:noProof/>
                <w:sz w:val="24"/>
                <w:szCs w:val="24"/>
              </w:rPr>
              <w:t>Appendix K Task Value Subscale of the Motivated Strategies for Learning Questionnaire (MSLQ)</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_Toc102489489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169</w:t>
            </w:r>
            <w:r w:rsidR="00FE375A" w:rsidRPr="0085266A">
              <w:rPr>
                <w:rFonts w:ascii="Times New Roman" w:hAnsi="Times New Roman" w:cs="Times New Roman"/>
                <w:noProof/>
                <w:webHidden/>
                <w:sz w:val="24"/>
                <w:szCs w:val="24"/>
              </w:rPr>
              <w:fldChar w:fldCharType="end"/>
            </w:r>
          </w:hyperlink>
        </w:p>
        <w:p w14:paraId="31C67C45" w14:textId="1244CA96"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90" w:history="1">
            <w:r w:rsidR="00FE375A" w:rsidRPr="0085266A">
              <w:rPr>
                <w:rStyle w:val="Hyperlink"/>
                <w:rFonts w:ascii="Times New Roman" w:hAnsi="Times New Roman" w:cs="Times New Roman"/>
                <w:noProof/>
                <w:sz w:val="24"/>
                <w:szCs w:val="24"/>
              </w:rPr>
              <w:t>Appendix L Initial Three-Factor Model of Online Student Engagement with 31 Items</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_Toc102489490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170</w:t>
            </w:r>
            <w:r w:rsidR="00FE375A" w:rsidRPr="0085266A">
              <w:rPr>
                <w:rFonts w:ascii="Times New Roman" w:hAnsi="Times New Roman" w:cs="Times New Roman"/>
                <w:noProof/>
                <w:webHidden/>
                <w:sz w:val="24"/>
                <w:szCs w:val="24"/>
              </w:rPr>
              <w:fldChar w:fldCharType="end"/>
            </w:r>
          </w:hyperlink>
        </w:p>
        <w:p w14:paraId="269A3FC1" w14:textId="5AE0B450"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91" w:history="1">
            <w:r w:rsidR="00FE375A" w:rsidRPr="0085266A">
              <w:rPr>
                <w:rStyle w:val="Hyperlink"/>
                <w:rFonts w:ascii="Times New Roman" w:hAnsi="Times New Roman" w:cs="Times New Roman"/>
                <w:noProof/>
                <w:sz w:val="24"/>
                <w:szCs w:val="24"/>
              </w:rPr>
              <w:t>Appendix M Model 2: Three-Factor Model with 26 Indicator Observed Variables (N=235)</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_Toc102489491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171</w:t>
            </w:r>
            <w:r w:rsidR="00FE375A" w:rsidRPr="0085266A">
              <w:rPr>
                <w:rFonts w:ascii="Times New Roman" w:hAnsi="Times New Roman" w:cs="Times New Roman"/>
                <w:noProof/>
                <w:webHidden/>
                <w:sz w:val="24"/>
                <w:szCs w:val="24"/>
              </w:rPr>
              <w:fldChar w:fldCharType="end"/>
            </w:r>
          </w:hyperlink>
        </w:p>
        <w:p w14:paraId="068C9D0B" w14:textId="3B6319AA"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92" w:history="1">
            <w:r w:rsidR="00FE375A" w:rsidRPr="0085266A">
              <w:rPr>
                <w:rStyle w:val="Hyperlink"/>
                <w:rFonts w:ascii="Times New Roman" w:hAnsi="Times New Roman" w:cs="Times New Roman"/>
                <w:noProof/>
                <w:sz w:val="24"/>
                <w:szCs w:val="24"/>
              </w:rPr>
              <w:t>Appendix N Unstandardized Factor Loadings with Bias-Corrected 95 % Confidence Intervals (N=235)</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_Toc102489492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172</w:t>
            </w:r>
            <w:r w:rsidR="00FE375A" w:rsidRPr="0085266A">
              <w:rPr>
                <w:rFonts w:ascii="Times New Roman" w:hAnsi="Times New Roman" w:cs="Times New Roman"/>
                <w:noProof/>
                <w:webHidden/>
                <w:sz w:val="24"/>
                <w:szCs w:val="24"/>
              </w:rPr>
              <w:fldChar w:fldCharType="end"/>
            </w:r>
          </w:hyperlink>
        </w:p>
        <w:p w14:paraId="5B715EE0" w14:textId="75DA4B53" w:rsidR="00FE375A" w:rsidRPr="0085266A" w:rsidRDefault="00576522">
          <w:pPr>
            <w:pStyle w:val="TOC2"/>
            <w:tabs>
              <w:tab w:val="right" w:leader="dot" w:pos="9350"/>
            </w:tabs>
            <w:rPr>
              <w:rFonts w:ascii="Times New Roman" w:eastAsiaTheme="minorEastAsia" w:hAnsi="Times New Roman" w:cs="Times New Roman"/>
              <w:noProof/>
              <w:sz w:val="24"/>
              <w:szCs w:val="24"/>
            </w:rPr>
          </w:pPr>
          <w:hyperlink w:anchor="_Toc102489493" w:history="1">
            <w:r w:rsidR="00FE375A" w:rsidRPr="0085266A">
              <w:rPr>
                <w:rStyle w:val="Hyperlink"/>
                <w:rFonts w:ascii="Times New Roman" w:hAnsi="Times New Roman" w:cs="Times New Roman"/>
                <w:noProof/>
                <w:sz w:val="24"/>
                <w:szCs w:val="24"/>
              </w:rPr>
              <w:t xml:space="preserve">Appendix O </w:t>
            </w:r>
            <w:r w:rsidR="00FE375A" w:rsidRPr="0085266A">
              <w:rPr>
                <w:rStyle w:val="Hyperlink"/>
                <w:rFonts w:ascii="Times New Roman" w:eastAsia="SimSun" w:hAnsi="Times New Roman" w:cs="Times New Roman"/>
                <w:noProof/>
                <w:sz w:val="24"/>
                <w:szCs w:val="24"/>
              </w:rPr>
              <w:t>Final Version of the OEHE (20 Items) (N=235)</w:t>
            </w:r>
            <w:r w:rsidR="00FE375A" w:rsidRPr="0085266A">
              <w:rPr>
                <w:rFonts w:ascii="Times New Roman" w:hAnsi="Times New Roman" w:cs="Times New Roman"/>
                <w:noProof/>
                <w:webHidden/>
                <w:sz w:val="24"/>
                <w:szCs w:val="24"/>
              </w:rPr>
              <w:tab/>
            </w:r>
            <w:r w:rsidR="00FE375A" w:rsidRPr="0085266A">
              <w:rPr>
                <w:rFonts w:ascii="Times New Roman" w:hAnsi="Times New Roman" w:cs="Times New Roman"/>
                <w:noProof/>
                <w:webHidden/>
                <w:sz w:val="24"/>
                <w:szCs w:val="24"/>
              </w:rPr>
              <w:fldChar w:fldCharType="begin"/>
            </w:r>
            <w:r w:rsidR="00FE375A" w:rsidRPr="0085266A">
              <w:rPr>
                <w:rFonts w:ascii="Times New Roman" w:hAnsi="Times New Roman" w:cs="Times New Roman"/>
                <w:noProof/>
                <w:webHidden/>
                <w:sz w:val="24"/>
                <w:szCs w:val="24"/>
              </w:rPr>
              <w:instrText xml:space="preserve"> PAGEREF _Toc102489493 \h </w:instrText>
            </w:r>
            <w:r w:rsidR="00FE375A" w:rsidRPr="0085266A">
              <w:rPr>
                <w:rFonts w:ascii="Times New Roman" w:hAnsi="Times New Roman" w:cs="Times New Roman"/>
                <w:noProof/>
                <w:webHidden/>
                <w:sz w:val="24"/>
                <w:szCs w:val="24"/>
              </w:rPr>
            </w:r>
            <w:r w:rsidR="00FE375A" w:rsidRPr="0085266A">
              <w:rPr>
                <w:rFonts w:ascii="Times New Roman" w:hAnsi="Times New Roman" w:cs="Times New Roman"/>
                <w:noProof/>
                <w:webHidden/>
                <w:sz w:val="24"/>
                <w:szCs w:val="24"/>
              </w:rPr>
              <w:fldChar w:fldCharType="separate"/>
            </w:r>
            <w:r w:rsidR="00FE375A" w:rsidRPr="0085266A">
              <w:rPr>
                <w:rFonts w:ascii="Times New Roman" w:hAnsi="Times New Roman" w:cs="Times New Roman"/>
                <w:noProof/>
                <w:webHidden/>
                <w:sz w:val="24"/>
                <w:szCs w:val="24"/>
              </w:rPr>
              <w:t>174</w:t>
            </w:r>
            <w:r w:rsidR="00FE375A" w:rsidRPr="0085266A">
              <w:rPr>
                <w:rFonts w:ascii="Times New Roman" w:hAnsi="Times New Roman" w:cs="Times New Roman"/>
                <w:noProof/>
                <w:webHidden/>
                <w:sz w:val="24"/>
                <w:szCs w:val="24"/>
              </w:rPr>
              <w:fldChar w:fldCharType="end"/>
            </w:r>
          </w:hyperlink>
        </w:p>
        <w:p w14:paraId="48866B7B" w14:textId="275193D7" w:rsidR="00E22051" w:rsidRPr="0032506F" w:rsidRDefault="00E22051">
          <w:pPr>
            <w:rPr>
              <w:rFonts w:ascii="Times New Roman" w:hAnsi="Times New Roman" w:cs="Times New Roman"/>
              <w:sz w:val="24"/>
              <w:szCs w:val="24"/>
            </w:rPr>
          </w:pPr>
          <w:r w:rsidRPr="0085266A">
            <w:rPr>
              <w:rFonts w:ascii="Times New Roman" w:hAnsi="Times New Roman" w:cs="Times New Roman"/>
              <w:noProof/>
              <w:sz w:val="24"/>
              <w:szCs w:val="24"/>
            </w:rPr>
            <w:fldChar w:fldCharType="end"/>
          </w:r>
        </w:p>
      </w:sdtContent>
    </w:sdt>
    <w:p w14:paraId="7E897F80" w14:textId="6E6F8AEE" w:rsidR="00E22051" w:rsidRPr="0032506F" w:rsidRDefault="00E22051" w:rsidP="00E22051">
      <w:pPr>
        <w:tabs>
          <w:tab w:val="left" w:pos="4449"/>
          <w:tab w:val="center" w:pos="4680"/>
        </w:tabs>
        <w:rPr>
          <w:rFonts w:ascii="Times New Roman" w:hAnsi="Times New Roman" w:cs="Times New Roman"/>
          <w:sz w:val="24"/>
          <w:szCs w:val="24"/>
        </w:rPr>
      </w:pPr>
      <w:r w:rsidRPr="0032506F">
        <w:rPr>
          <w:rFonts w:ascii="Times New Roman" w:hAnsi="Times New Roman" w:cs="Times New Roman"/>
          <w:sz w:val="24"/>
          <w:szCs w:val="24"/>
        </w:rPr>
        <w:tab/>
      </w:r>
    </w:p>
    <w:p w14:paraId="08AF13BE" w14:textId="77777777" w:rsidR="00361443" w:rsidRPr="0032506F" w:rsidRDefault="00361443" w:rsidP="00E22051">
      <w:pPr>
        <w:rPr>
          <w:rFonts w:ascii="Times New Roman" w:hAnsi="Times New Roman" w:cs="Times New Roman"/>
          <w:sz w:val="24"/>
          <w:szCs w:val="24"/>
        </w:rPr>
      </w:pPr>
    </w:p>
    <w:p w14:paraId="2081955D" w14:textId="77777777" w:rsidR="0098025D" w:rsidRPr="0032506F" w:rsidRDefault="0098025D" w:rsidP="00E22051">
      <w:pPr>
        <w:rPr>
          <w:rFonts w:ascii="Times New Roman" w:hAnsi="Times New Roman" w:cs="Times New Roman"/>
          <w:sz w:val="24"/>
          <w:szCs w:val="24"/>
        </w:rPr>
      </w:pPr>
    </w:p>
    <w:p w14:paraId="48A5D71C" w14:textId="77777777" w:rsidR="0098025D" w:rsidRPr="0032506F" w:rsidRDefault="0098025D" w:rsidP="00E22051">
      <w:pPr>
        <w:rPr>
          <w:rFonts w:ascii="Times New Roman" w:hAnsi="Times New Roman" w:cs="Times New Roman"/>
          <w:sz w:val="24"/>
          <w:szCs w:val="24"/>
        </w:rPr>
      </w:pPr>
    </w:p>
    <w:p w14:paraId="595F4220" w14:textId="77777777" w:rsidR="0098025D" w:rsidRPr="0032506F" w:rsidRDefault="0098025D" w:rsidP="00E22051">
      <w:pPr>
        <w:rPr>
          <w:rFonts w:ascii="Times New Roman" w:hAnsi="Times New Roman" w:cs="Times New Roman"/>
          <w:sz w:val="24"/>
          <w:szCs w:val="24"/>
        </w:rPr>
      </w:pPr>
    </w:p>
    <w:p w14:paraId="4DEED9DE" w14:textId="77777777" w:rsidR="0098025D" w:rsidRPr="0032506F" w:rsidRDefault="0098025D" w:rsidP="00E22051">
      <w:pPr>
        <w:rPr>
          <w:rFonts w:ascii="Times New Roman" w:hAnsi="Times New Roman" w:cs="Times New Roman"/>
          <w:sz w:val="24"/>
          <w:szCs w:val="24"/>
        </w:rPr>
      </w:pPr>
    </w:p>
    <w:p w14:paraId="3F292A11" w14:textId="623E4910" w:rsidR="0098025D" w:rsidRPr="0032506F" w:rsidRDefault="0098025D" w:rsidP="00E22051">
      <w:pPr>
        <w:rPr>
          <w:rFonts w:ascii="Times New Roman" w:hAnsi="Times New Roman" w:cs="Times New Roman"/>
          <w:sz w:val="24"/>
          <w:szCs w:val="24"/>
        </w:rPr>
      </w:pPr>
    </w:p>
    <w:p w14:paraId="0A85D6DD" w14:textId="4B908CEA" w:rsidR="001B6517" w:rsidRPr="0032506F" w:rsidRDefault="001B6517" w:rsidP="00E22051">
      <w:pPr>
        <w:rPr>
          <w:rFonts w:ascii="Times New Roman" w:hAnsi="Times New Roman" w:cs="Times New Roman"/>
          <w:sz w:val="24"/>
          <w:szCs w:val="24"/>
        </w:rPr>
      </w:pPr>
    </w:p>
    <w:p w14:paraId="037AC26E" w14:textId="1781AC23" w:rsidR="001B6517" w:rsidRPr="0032506F" w:rsidRDefault="001B6517" w:rsidP="00E22051">
      <w:pPr>
        <w:rPr>
          <w:rFonts w:ascii="Times New Roman" w:hAnsi="Times New Roman" w:cs="Times New Roman"/>
          <w:sz w:val="24"/>
          <w:szCs w:val="24"/>
        </w:rPr>
      </w:pPr>
    </w:p>
    <w:p w14:paraId="64B57AB4" w14:textId="213129E1" w:rsidR="001B6517" w:rsidRPr="0032506F" w:rsidRDefault="001B6517" w:rsidP="00E22051">
      <w:pPr>
        <w:rPr>
          <w:rFonts w:ascii="Times New Roman" w:hAnsi="Times New Roman" w:cs="Times New Roman"/>
          <w:sz w:val="24"/>
          <w:szCs w:val="24"/>
        </w:rPr>
      </w:pPr>
    </w:p>
    <w:p w14:paraId="76205216" w14:textId="50F9FC6B" w:rsidR="001B6517" w:rsidRPr="0032506F" w:rsidRDefault="001B6517" w:rsidP="00E22051">
      <w:pPr>
        <w:rPr>
          <w:rFonts w:ascii="Times New Roman" w:hAnsi="Times New Roman" w:cs="Times New Roman"/>
          <w:sz w:val="24"/>
          <w:szCs w:val="24"/>
        </w:rPr>
      </w:pPr>
    </w:p>
    <w:p w14:paraId="07BE54FF" w14:textId="77777777" w:rsidR="00951E13" w:rsidRPr="0032506F" w:rsidRDefault="00951E13" w:rsidP="001B6517">
      <w:pPr>
        <w:pStyle w:val="Heading1"/>
        <w:sectPr w:rsidR="00951E13" w:rsidRPr="0032506F" w:rsidSect="00A8289B">
          <w:pgSz w:w="12240" w:h="15840"/>
          <w:pgMar w:top="1440" w:right="1440" w:bottom="1440" w:left="1440" w:header="720" w:footer="720" w:gutter="0"/>
          <w:pgNumType w:fmt="lowerRoman"/>
          <w:cols w:space="720"/>
          <w:docGrid w:linePitch="360"/>
        </w:sectPr>
      </w:pPr>
    </w:p>
    <w:p w14:paraId="6F8903E5" w14:textId="77777777" w:rsidR="00951E13" w:rsidRPr="0032506F" w:rsidRDefault="00951E13" w:rsidP="001B6517">
      <w:pPr>
        <w:pStyle w:val="Heading1"/>
      </w:pPr>
      <w:bookmarkStart w:id="6" w:name="_Toc102489422"/>
      <w:r w:rsidRPr="0032506F">
        <w:lastRenderedPageBreak/>
        <w:t>List of Tables</w:t>
      </w:r>
      <w:bookmarkEnd w:id="6"/>
      <w:r w:rsidRPr="0032506F">
        <w:t xml:space="preserve"> </w:t>
      </w:r>
    </w:p>
    <w:p w14:paraId="5632788B" w14:textId="594A6441" w:rsidR="0006408C" w:rsidRPr="005E6831" w:rsidRDefault="00605568" w:rsidP="008A50F9">
      <w:pPr>
        <w:spacing w:after="0" w:line="360" w:lineRule="auto"/>
        <w:rPr>
          <w:rStyle w:val="Hyperlink"/>
          <w:rFonts w:ascii="Times New Roman" w:hAnsi="Times New Roman" w:cs="Times New Roman"/>
          <w:color w:val="auto"/>
          <w:sz w:val="24"/>
          <w:szCs w:val="24"/>
          <w:u w:val="none"/>
        </w:rPr>
      </w:pPr>
      <w:r w:rsidRPr="005E6831">
        <w:rPr>
          <w:rFonts w:ascii="Times New Roman" w:hAnsi="Times New Roman" w:cs="Times New Roman"/>
          <w:sz w:val="24"/>
          <w:szCs w:val="24"/>
        </w:rPr>
        <w:fldChar w:fldCharType="begin"/>
      </w:r>
      <w:r w:rsidRPr="005E6831">
        <w:rPr>
          <w:rFonts w:ascii="Times New Roman" w:hAnsi="Times New Roman" w:cs="Times New Roman"/>
          <w:sz w:val="24"/>
          <w:szCs w:val="24"/>
        </w:rPr>
        <w:instrText xml:space="preserve"> HYPERLINK  \l "Table31" </w:instrText>
      </w:r>
      <w:r w:rsidRPr="005E6831">
        <w:rPr>
          <w:rFonts w:ascii="Times New Roman" w:hAnsi="Times New Roman" w:cs="Times New Roman"/>
          <w:sz w:val="24"/>
          <w:szCs w:val="24"/>
        </w:rPr>
        <w:fldChar w:fldCharType="separate"/>
      </w:r>
      <w:r w:rsidR="00EB4FB4" w:rsidRPr="005E6831">
        <w:rPr>
          <w:rStyle w:val="Hyperlink"/>
          <w:rFonts w:ascii="Times New Roman" w:hAnsi="Times New Roman" w:cs="Times New Roman"/>
          <w:color w:val="auto"/>
          <w:sz w:val="24"/>
          <w:szCs w:val="24"/>
          <w:u w:val="none"/>
        </w:rPr>
        <w:t xml:space="preserve">Table 3.1  Construct Definitions and Indicators of Online Student Engagement in the </w:t>
      </w:r>
    </w:p>
    <w:p w14:paraId="51E6C0C5" w14:textId="0A87AA51" w:rsidR="00EB4FB4" w:rsidRPr="005E6831" w:rsidRDefault="00EB4FB4" w:rsidP="008A50F9">
      <w:pPr>
        <w:spacing w:after="0" w:line="360" w:lineRule="auto"/>
        <w:rPr>
          <w:rFonts w:ascii="Times New Roman" w:hAnsi="Times New Roman" w:cs="Times New Roman"/>
          <w:sz w:val="24"/>
          <w:szCs w:val="24"/>
        </w:rPr>
      </w:pPr>
      <w:r w:rsidRPr="005E6831">
        <w:rPr>
          <w:rStyle w:val="Hyperlink"/>
          <w:rFonts w:ascii="Times New Roman" w:hAnsi="Times New Roman" w:cs="Times New Roman"/>
          <w:color w:val="auto"/>
          <w:sz w:val="24"/>
          <w:szCs w:val="24"/>
          <w:u w:val="none"/>
        </w:rPr>
        <w:t>OEHE</w:t>
      </w:r>
      <w:r w:rsidR="00740CC0"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06408C" w:rsidRPr="005E6831">
        <w:rPr>
          <w:rStyle w:val="Hyperlink"/>
          <w:rFonts w:ascii="Times New Roman" w:hAnsi="Times New Roman" w:cs="Times New Roman"/>
          <w:color w:val="auto"/>
          <w:sz w:val="24"/>
          <w:szCs w:val="24"/>
          <w:u w:val="dotted"/>
        </w:rPr>
        <w:tab/>
      </w:r>
      <w:r w:rsidR="00605568" w:rsidRPr="005E6831">
        <w:rPr>
          <w:rFonts w:ascii="Times New Roman" w:hAnsi="Times New Roman" w:cs="Times New Roman"/>
          <w:sz w:val="24"/>
          <w:szCs w:val="24"/>
        </w:rPr>
        <w:fldChar w:fldCharType="end"/>
      </w:r>
      <w:r w:rsidR="00791189" w:rsidRPr="005E6831">
        <w:rPr>
          <w:rFonts w:ascii="Times New Roman" w:hAnsi="Times New Roman" w:cs="Times New Roman"/>
          <w:sz w:val="24"/>
          <w:szCs w:val="24"/>
        </w:rPr>
        <w:t>40</w:t>
      </w:r>
    </w:p>
    <w:p w14:paraId="7F7336F4" w14:textId="68A60911" w:rsidR="00740CC0" w:rsidRPr="005E6831" w:rsidRDefault="00576522" w:rsidP="008A50F9">
      <w:pPr>
        <w:spacing w:after="0" w:line="360" w:lineRule="auto"/>
        <w:rPr>
          <w:rFonts w:ascii="Times New Roman" w:hAnsi="Times New Roman" w:cs="Times New Roman"/>
          <w:sz w:val="24"/>
          <w:szCs w:val="24"/>
        </w:rPr>
      </w:pPr>
      <w:hyperlink w:anchor="Table32" w:history="1">
        <w:r w:rsidR="00740CC0" w:rsidRPr="005E6831">
          <w:rPr>
            <w:rStyle w:val="Hyperlink"/>
            <w:rFonts w:ascii="Times New Roman" w:eastAsia="Calibri" w:hAnsi="Times New Roman" w:cs="Times New Roman"/>
            <w:color w:val="auto"/>
            <w:sz w:val="24"/>
            <w:szCs w:val="24"/>
            <w:u w:val="none"/>
          </w:rPr>
          <w:t>Table 3.2 Construct Definition and Indicators of Online Behavioral Engagement (OBE)</w:t>
        </w:r>
        <w:r w:rsidR="00740CC0" w:rsidRPr="005E6831">
          <w:rPr>
            <w:rStyle w:val="Hyperlink"/>
            <w:rFonts w:ascii="Times New Roman" w:hAnsi="Times New Roman" w:cs="Times New Roman"/>
            <w:color w:val="auto"/>
            <w:sz w:val="24"/>
            <w:szCs w:val="24"/>
            <w:u w:val="dotted"/>
          </w:rPr>
          <w:t xml:space="preserve"> </w:t>
        </w:r>
        <w:r w:rsidR="00740CC0" w:rsidRPr="005E6831">
          <w:rPr>
            <w:rStyle w:val="Hyperlink"/>
            <w:rFonts w:ascii="Times New Roman" w:hAnsi="Times New Roman" w:cs="Times New Roman"/>
            <w:color w:val="auto"/>
            <w:sz w:val="24"/>
            <w:szCs w:val="24"/>
            <w:u w:val="dotted"/>
          </w:rPr>
          <w:tab/>
        </w:r>
      </w:hyperlink>
      <w:r w:rsidR="00791189" w:rsidRPr="005E6831">
        <w:rPr>
          <w:rFonts w:ascii="Times New Roman" w:eastAsia="Calibri" w:hAnsi="Times New Roman" w:cs="Times New Roman"/>
          <w:sz w:val="24"/>
          <w:szCs w:val="24"/>
        </w:rPr>
        <w:t>43</w:t>
      </w:r>
    </w:p>
    <w:p w14:paraId="170C52B7" w14:textId="099B2CA0" w:rsidR="00740CC0" w:rsidRPr="005E6831" w:rsidRDefault="00576522" w:rsidP="008A50F9">
      <w:pPr>
        <w:spacing w:after="0" w:line="360" w:lineRule="auto"/>
        <w:rPr>
          <w:rFonts w:ascii="Times New Roman" w:hAnsi="Times New Roman" w:cs="Times New Roman"/>
          <w:sz w:val="24"/>
          <w:szCs w:val="24"/>
        </w:rPr>
      </w:pPr>
      <w:hyperlink w:anchor="Table33" w:history="1">
        <w:r w:rsidR="00740CC0" w:rsidRPr="005E6831">
          <w:rPr>
            <w:rStyle w:val="Hyperlink"/>
            <w:rFonts w:ascii="Times New Roman" w:eastAsia="Calibri" w:hAnsi="Times New Roman" w:cs="Times New Roman"/>
            <w:color w:val="auto"/>
            <w:sz w:val="24"/>
            <w:szCs w:val="24"/>
            <w:u w:val="none"/>
          </w:rPr>
          <w:t>Table 3.3 Construct Definition and Indicators of Online Emotional Engagement</w:t>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hyperlink>
      <w:r w:rsidR="001D17A8" w:rsidRPr="005E6831">
        <w:rPr>
          <w:rFonts w:ascii="Times New Roman" w:eastAsia="Calibri" w:hAnsi="Times New Roman" w:cs="Times New Roman"/>
          <w:sz w:val="24"/>
          <w:szCs w:val="24"/>
        </w:rPr>
        <w:t>46</w:t>
      </w:r>
    </w:p>
    <w:p w14:paraId="17D892FF" w14:textId="576DAB01" w:rsidR="00740CC0" w:rsidRPr="005E6831" w:rsidRDefault="00576522" w:rsidP="008A50F9">
      <w:pPr>
        <w:spacing w:after="0" w:line="360" w:lineRule="auto"/>
        <w:rPr>
          <w:rFonts w:ascii="Times New Roman" w:hAnsi="Times New Roman" w:cs="Times New Roman"/>
          <w:sz w:val="24"/>
          <w:szCs w:val="24"/>
        </w:rPr>
      </w:pPr>
      <w:hyperlink w:anchor="Table34" w:history="1">
        <w:r w:rsidR="00740CC0" w:rsidRPr="005E6831">
          <w:rPr>
            <w:rStyle w:val="Hyperlink"/>
            <w:rFonts w:ascii="Times New Roman" w:eastAsia="Calibri" w:hAnsi="Times New Roman" w:cs="Times New Roman"/>
            <w:color w:val="auto"/>
            <w:sz w:val="24"/>
            <w:szCs w:val="24"/>
            <w:u w:val="none"/>
          </w:rPr>
          <w:t>Table 3.4 Construct Definition and Indicators of Online Cognitive Engagement</w:t>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hyperlink>
      <w:r w:rsidR="001D17A8" w:rsidRPr="005E6831">
        <w:rPr>
          <w:rFonts w:ascii="Times New Roman" w:eastAsia="Calibri" w:hAnsi="Times New Roman" w:cs="Times New Roman"/>
          <w:sz w:val="24"/>
          <w:szCs w:val="24"/>
        </w:rPr>
        <w:t>47</w:t>
      </w:r>
    </w:p>
    <w:p w14:paraId="14E2BCEA" w14:textId="0FF0EB01" w:rsidR="00740CC0" w:rsidRPr="005E6831" w:rsidRDefault="00576522" w:rsidP="008A50F9">
      <w:pPr>
        <w:tabs>
          <w:tab w:val="left" w:pos="720"/>
          <w:tab w:val="left" w:pos="1152"/>
          <w:tab w:val="left" w:pos="1440"/>
          <w:tab w:val="left" w:pos="2826"/>
        </w:tabs>
        <w:spacing w:after="0" w:line="360" w:lineRule="auto"/>
        <w:contextualSpacing/>
        <w:rPr>
          <w:rFonts w:ascii="Times New Roman" w:hAnsi="Times New Roman" w:cs="Times New Roman"/>
          <w:sz w:val="24"/>
          <w:szCs w:val="24"/>
        </w:rPr>
      </w:pPr>
      <w:hyperlink w:anchor="Table35" w:history="1">
        <w:r w:rsidR="00740CC0" w:rsidRPr="005E6831">
          <w:rPr>
            <w:rStyle w:val="Hyperlink"/>
            <w:rFonts w:ascii="Times New Roman" w:eastAsia="Calibri" w:hAnsi="Times New Roman" w:cs="Times New Roman"/>
            <w:color w:val="auto"/>
            <w:sz w:val="24"/>
            <w:szCs w:val="24"/>
            <w:u w:val="none"/>
          </w:rPr>
          <w:t>Table 3.5 Coding Scheme for Open-Coding Cognitive Interview Data</w:t>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hyperlink>
      <w:r w:rsidR="001D17A8" w:rsidRPr="005E6831">
        <w:rPr>
          <w:rFonts w:ascii="Times New Roman" w:eastAsia="Calibri" w:hAnsi="Times New Roman" w:cs="Times New Roman"/>
          <w:sz w:val="24"/>
          <w:szCs w:val="24"/>
        </w:rPr>
        <w:t>49</w:t>
      </w:r>
    </w:p>
    <w:p w14:paraId="76761B3E" w14:textId="1344C564" w:rsidR="00740CC0" w:rsidRPr="005E6831" w:rsidRDefault="00605568" w:rsidP="008A50F9">
      <w:pPr>
        <w:spacing w:after="0" w:line="360" w:lineRule="auto"/>
        <w:rPr>
          <w:rStyle w:val="Hyperlink"/>
          <w:rFonts w:ascii="Times New Roman" w:eastAsia="SimSu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Pr="005E6831">
        <w:rPr>
          <w:rFonts w:ascii="Times New Roman" w:eastAsia="SimSun" w:hAnsi="Times New Roman" w:cs="Times New Roman"/>
          <w:sz w:val="24"/>
          <w:szCs w:val="24"/>
        </w:rPr>
        <w:instrText xml:space="preserve"> HYPERLINK  \l "Table41" </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 xml:space="preserve">Table 4.1 ML Unstandardized and Standardized Factor Loadings of the 26 Indicator </w:t>
      </w:r>
    </w:p>
    <w:p w14:paraId="00BE7F2E" w14:textId="0D2E47DC" w:rsidR="00740CC0" w:rsidRPr="005E6831" w:rsidRDefault="00740CC0" w:rsidP="008A50F9">
      <w:pPr>
        <w:spacing w:after="0" w:line="360" w:lineRule="auto"/>
        <w:rPr>
          <w:rFonts w:ascii="Times New Roman" w:hAnsi="Times New Roman" w:cs="Times New Roman"/>
          <w:sz w:val="24"/>
          <w:szCs w:val="24"/>
        </w:rPr>
      </w:pPr>
      <w:r w:rsidRPr="005E6831">
        <w:rPr>
          <w:rStyle w:val="Hyperlink"/>
          <w:rFonts w:ascii="Times New Roman" w:eastAsia="SimSun" w:hAnsi="Times New Roman" w:cs="Times New Roman"/>
          <w:color w:val="auto"/>
          <w:sz w:val="24"/>
          <w:szCs w:val="24"/>
          <w:u w:val="none"/>
        </w:rPr>
        <w:t>Variables (N=235)</w:t>
      </w:r>
      <w:r w:rsidRPr="005E6831">
        <w:rPr>
          <w:rStyle w:val="Hyperlink"/>
          <w:rFonts w:ascii="Times New Roman" w:hAnsi="Times New Roman" w:cs="Times New Roman"/>
          <w:color w:val="auto"/>
          <w:sz w:val="24"/>
          <w:szCs w:val="24"/>
          <w:u w:val="dotted"/>
        </w:rPr>
        <w:t xml:space="preserve"> </w:t>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00605568" w:rsidRPr="005E6831">
        <w:rPr>
          <w:rFonts w:ascii="Times New Roman" w:eastAsia="SimSun" w:hAnsi="Times New Roman" w:cs="Times New Roman"/>
          <w:sz w:val="24"/>
          <w:szCs w:val="24"/>
        </w:rPr>
        <w:fldChar w:fldCharType="end"/>
      </w:r>
      <w:r w:rsidR="001D17A8" w:rsidRPr="005E6831">
        <w:rPr>
          <w:rFonts w:ascii="Times New Roman" w:eastAsia="SimSun" w:hAnsi="Times New Roman" w:cs="Times New Roman"/>
          <w:sz w:val="24"/>
          <w:szCs w:val="24"/>
        </w:rPr>
        <w:t>71</w:t>
      </w:r>
    </w:p>
    <w:p w14:paraId="06385137" w14:textId="16B40798" w:rsidR="0006408C" w:rsidRPr="005E6831" w:rsidRDefault="00605568" w:rsidP="008A50F9">
      <w:pPr>
        <w:spacing w:after="0" w:line="360" w:lineRule="auto"/>
        <w:rPr>
          <w:rStyle w:val="Hyperlink"/>
          <w:rFonts w:ascii="Times New Roman" w:eastAsia="SimSu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Pr="005E6831">
        <w:rPr>
          <w:rFonts w:ascii="Times New Roman" w:eastAsia="SimSun" w:hAnsi="Times New Roman" w:cs="Times New Roman"/>
          <w:sz w:val="24"/>
          <w:szCs w:val="24"/>
        </w:rPr>
        <w:instrText xml:space="preserve"> HYPERLINK  \l "Table42" </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 xml:space="preserve">Table 4.2 Unstandardized Factor Loadings with Bias-Corrected 95 % Confidence </w:t>
      </w:r>
    </w:p>
    <w:p w14:paraId="179C0553" w14:textId="3F0C9645" w:rsidR="00740CC0" w:rsidRPr="005E6831" w:rsidRDefault="00740CC0" w:rsidP="008A50F9">
      <w:pPr>
        <w:spacing w:after="0" w:line="360" w:lineRule="auto"/>
        <w:rPr>
          <w:rFonts w:ascii="Times New Roman" w:hAnsi="Times New Roman" w:cs="Times New Roman"/>
          <w:sz w:val="24"/>
          <w:szCs w:val="24"/>
        </w:rPr>
      </w:pPr>
      <w:r w:rsidRPr="005E6831">
        <w:rPr>
          <w:rStyle w:val="Hyperlink"/>
          <w:rFonts w:ascii="Times New Roman" w:eastAsia="SimSun" w:hAnsi="Times New Roman" w:cs="Times New Roman"/>
          <w:color w:val="auto"/>
          <w:sz w:val="24"/>
          <w:szCs w:val="24"/>
          <w:u w:val="none"/>
        </w:rPr>
        <w:t>Intervals (N=235)</w:t>
      </w:r>
      <w:r w:rsidRPr="005E6831">
        <w:rPr>
          <w:rStyle w:val="Hyperlink"/>
          <w:rFonts w:ascii="Times New Roman" w:hAnsi="Times New Roman" w:cs="Times New Roman"/>
          <w:color w:val="auto"/>
          <w:sz w:val="24"/>
          <w:szCs w:val="24"/>
          <w:u w:val="none"/>
        </w:rPr>
        <w:t xml:space="preserve"> </w:t>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00605568" w:rsidRPr="005E6831">
        <w:rPr>
          <w:rFonts w:ascii="Times New Roman" w:eastAsia="SimSun" w:hAnsi="Times New Roman" w:cs="Times New Roman"/>
          <w:sz w:val="24"/>
          <w:szCs w:val="24"/>
        </w:rPr>
        <w:fldChar w:fldCharType="end"/>
      </w:r>
      <w:r w:rsidR="001D17A8" w:rsidRPr="005E6831">
        <w:rPr>
          <w:rFonts w:ascii="Times New Roman" w:eastAsia="SimSun" w:hAnsi="Times New Roman" w:cs="Times New Roman"/>
          <w:sz w:val="24"/>
          <w:szCs w:val="24"/>
        </w:rPr>
        <w:t>72</w:t>
      </w:r>
    </w:p>
    <w:p w14:paraId="307EFE52" w14:textId="7C50447F" w:rsidR="0006408C" w:rsidRPr="005E6831" w:rsidRDefault="00605568" w:rsidP="008A50F9">
      <w:pPr>
        <w:spacing w:after="0" w:line="360" w:lineRule="auto"/>
        <w:rPr>
          <w:rStyle w:val="Hyperlink"/>
          <w:rFonts w:ascii="Times New Roman" w:eastAsia="SimSu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Pr="005E6831">
        <w:rPr>
          <w:rFonts w:ascii="Times New Roman" w:eastAsia="SimSun" w:hAnsi="Times New Roman" w:cs="Times New Roman"/>
          <w:sz w:val="24"/>
          <w:szCs w:val="24"/>
        </w:rPr>
        <w:instrText xml:space="preserve"> HYPERLINK  \l "Table43" </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 xml:space="preserve">Table 4.3 Standardized Factor Loadings with Bias-Corrected 95 % Confidence Intervals </w:t>
      </w:r>
    </w:p>
    <w:p w14:paraId="245DA131" w14:textId="190E2F73" w:rsidR="00740CC0" w:rsidRPr="005E6831" w:rsidRDefault="00740CC0" w:rsidP="008A50F9">
      <w:pPr>
        <w:spacing w:after="0" w:line="360" w:lineRule="auto"/>
        <w:rPr>
          <w:rFonts w:ascii="Times New Roman" w:hAnsi="Times New Roman" w:cs="Times New Roman"/>
          <w:sz w:val="24"/>
          <w:szCs w:val="24"/>
        </w:rPr>
      </w:pPr>
      <w:r w:rsidRPr="005E6831">
        <w:rPr>
          <w:rStyle w:val="Hyperlink"/>
          <w:rFonts w:ascii="Times New Roman" w:eastAsia="SimSun" w:hAnsi="Times New Roman" w:cs="Times New Roman"/>
          <w:color w:val="auto"/>
          <w:sz w:val="24"/>
          <w:szCs w:val="24"/>
          <w:u w:val="none"/>
        </w:rPr>
        <w:t>(N=235)</w:t>
      </w:r>
      <w:r w:rsidRPr="005E6831">
        <w:rPr>
          <w:rStyle w:val="Hyperlink"/>
          <w:rFonts w:ascii="Times New Roman" w:hAnsi="Times New Roman" w:cs="Times New Roman"/>
          <w:color w:val="auto"/>
          <w:sz w:val="24"/>
          <w:szCs w:val="24"/>
          <w:u w:val="none"/>
        </w:rPr>
        <w:t xml:space="preserve"> </w:t>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00605568" w:rsidRPr="005E6831">
        <w:rPr>
          <w:rFonts w:ascii="Times New Roman" w:eastAsia="SimSun" w:hAnsi="Times New Roman" w:cs="Times New Roman"/>
          <w:sz w:val="24"/>
          <w:szCs w:val="24"/>
        </w:rPr>
        <w:fldChar w:fldCharType="end"/>
      </w:r>
      <w:r w:rsidR="001D17A8" w:rsidRPr="005E6831">
        <w:rPr>
          <w:rFonts w:ascii="Times New Roman" w:eastAsia="SimSun" w:hAnsi="Times New Roman" w:cs="Times New Roman"/>
          <w:sz w:val="24"/>
          <w:szCs w:val="24"/>
        </w:rPr>
        <w:t>73</w:t>
      </w:r>
    </w:p>
    <w:p w14:paraId="5488AEAB" w14:textId="07C0C8C9" w:rsidR="00740CC0" w:rsidRPr="005E6831" w:rsidRDefault="00605568" w:rsidP="008A50F9">
      <w:pPr>
        <w:spacing w:after="0" w:line="360" w:lineRule="auto"/>
        <w:rPr>
          <w:rStyle w:val="Hyperlink"/>
          <w:rFonts w:ascii="Times New Roma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00D55022" w:rsidRPr="005E6831">
        <w:rPr>
          <w:rFonts w:ascii="Times New Roman" w:eastAsia="SimSun" w:hAnsi="Times New Roman" w:cs="Times New Roman"/>
          <w:sz w:val="24"/>
          <w:szCs w:val="24"/>
        </w:rPr>
        <w:instrText>HYPERLINK  \l "Table44"</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Table 4.4 Global Fit Indices of Final Best-Fitting Model (N=235)</w:t>
      </w:r>
      <w:r w:rsidR="00740CC0" w:rsidRPr="005E6831">
        <w:rPr>
          <w:rStyle w:val="Hyperlink"/>
          <w:rFonts w:ascii="Times New Roman" w:hAnsi="Times New Roman" w:cs="Times New Roman"/>
          <w:color w:val="auto"/>
          <w:sz w:val="24"/>
          <w:szCs w:val="24"/>
          <w:u w:val="none"/>
        </w:rPr>
        <w:t xml:space="preserve"> </w:t>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D55022" w:rsidRPr="005E6831">
        <w:rPr>
          <w:rFonts w:ascii="Times New Roman" w:eastAsia="SimSun" w:hAnsi="Times New Roman" w:cs="Times New Roman"/>
          <w:sz w:val="24"/>
          <w:szCs w:val="24"/>
        </w:rPr>
        <w:t>77</w:t>
      </w:r>
    </w:p>
    <w:p w14:paraId="6F6417FC" w14:textId="77777777" w:rsidR="00740CC0" w:rsidRPr="005E6831" w:rsidRDefault="00740CC0" w:rsidP="008A50F9">
      <w:pPr>
        <w:spacing w:after="0" w:line="360" w:lineRule="auto"/>
        <w:rPr>
          <w:rStyle w:val="Hyperlink"/>
          <w:rFonts w:ascii="Times New Roman" w:eastAsia="SimSun" w:hAnsi="Times New Roman" w:cs="Times New Roman"/>
          <w:color w:val="auto"/>
          <w:sz w:val="24"/>
          <w:szCs w:val="24"/>
          <w:u w:val="none"/>
        </w:rPr>
      </w:pPr>
      <w:r w:rsidRPr="005E6831">
        <w:rPr>
          <w:rStyle w:val="Hyperlink"/>
          <w:rFonts w:ascii="Times New Roman" w:eastAsia="SimSun" w:hAnsi="Times New Roman" w:cs="Times New Roman"/>
          <w:color w:val="auto"/>
          <w:sz w:val="24"/>
          <w:szCs w:val="24"/>
          <w:u w:val="none"/>
        </w:rPr>
        <w:t xml:space="preserve">Table 4.5 ML Unstandardized and Standardized Factor Loadings of the 20 Indicator </w:t>
      </w:r>
    </w:p>
    <w:p w14:paraId="15FD0FDC" w14:textId="6CD5528E" w:rsidR="00740CC0" w:rsidRPr="005E6831" w:rsidRDefault="00740CC0" w:rsidP="008A50F9">
      <w:pPr>
        <w:spacing w:after="0" w:line="360" w:lineRule="auto"/>
        <w:rPr>
          <w:rStyle w:val="Hyperlink"/>
          <w:rFonts w:ascii="Times New Roman" w:hAnsi="Times New Roman" w:cs="Times New Roman"/>
          <w:color w:val="auto"/>
          <w:sz w:val="24"/>
          <w:szCs w:val="24"/>
          <w:u w:val="none"/>
        </w:rPr>
      </w:pPr>
      <w:r w:rsidRPr="005E6831">
        <w:rPr>
          <w:rStyle w:val="Hyperlink"/>
          <w:rFonts w:ascii="Times New Roman" w:eastAsia="SimSun" w:hAnsi="Times New Roman" w:cs="Times New Roman"/>
          <w:color w:val="auto"/>
          <w:sz w:val="24"/>
          <w:szCs w:val="24"/>
          <w:u w:val="none"/>
        </w:rPr>
        <w:t>Variables (N=235)</w:t>
      </w:r>
      <w:r w:rsidRPr="005E6831">
        <w:rPr>
          <w:rStyle w:val="Hyperlink"/>
          <w:rFonts w:ascii="Times New Roman" w:hAnsi="Times New Roman" w:cs="Times New Roman"/>
          <w:color w:val="auto"/>
          <w:sz w:val="24"/>
          <w:szCs w:val="24"/>
          <w:u w:val="none"/>
        </w:rPr>
        <w:t xml:space="preserve"> </w:t>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00D55022" w:rsidRPr="005E6831">
        <w:rPr>
          <w:rFonts w:ascii="Times New Roman" w:eastAsia="SimSun" w:hAnsi="Times New Roman" w:cs="Times New Roman"/>
          <w:sz w:val="24"/>
          <w:szCs w:val="24"/>
        </w:rPr>
        <w:t>81</w:t>
      </w:r>
    </w:p>
    <w:p w14:paraId="39449654" w14:textId="2CA5B475" w:rsidR="00740CC0" w:rsidRPr="005E6831" w:rsidRDefault="00605568" w:rsidP="008A50F9">
      <w:pPr>
        <w:spacing w:after="0" w:line="360" w:lineRule="auto"/>
        <w:rPr>
          <w:rFonts w:ascii="Times New Roman" w:hAnsi="Times New Roman" w:cs="Times New Roman"/>
          <w:sz w:val="24"/>
          <w:szCs w:val="24"/>
        </w:rPr>
      </w:pPr>
      <w:r w:rsidRPr="005E6831">
        <w:rPr>
          <w:rFonts w:ascii="Times New Roman" w:eastAsia="SimSun" w:hAnsi="Times New Roman" w:cs="Times New Roman"/>
          <w:sz w:val="24"/>
          <w:szCs w:val="24"/>
        </w:rPr>
        <w:fldChar w:fldCharType="end"/>
      </w:r>
      <w:hyperlink w:anchor="Table46" w:history="1">
        <w:r w:rsidR="00740CC0" w:rsidRPr="005E6831">
          <w:rPr>
            <w:rStyle w:val="Hyperlink"/>
            <w:rFonts w:ascii="Times New Roman" w:eastAsia="SimSun" w:hAnsi="Times New Roman" w:cs="Times New Roman"/>
            <w:color w:val="auto"/>
            <w:sz w:val="24"/>
            <w:szCs w:val="24"/>
            <w:u w:val="none"/>
          </w:rPr>
          <w:t>Table 4.6 Pearson Bivariate Correlations between OEHE Subscales and Reeve’s (2013) Engagement</w:t>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r w:rsidR="00740CC0" w:rsidRPr="005E6831">
          <w:rPr>
            <w:rStyle w:val="Hyperlink"/>
            <w:rFonts w:ascii="Times New Roman" w:hAnsi="Times New Roman" w:cs="Times New Roman"/>
            <w:color w:val="auto"/>
            <w:sz w:val="24"/>
            <w:szCs w:val="24"/>
            <w:u w:val="dotted"/>
          </w:rPr>
          <w:tab/>
        </w:r>
      </w:hyperlink>
      <w:r w:rsidR="00D55022" w:rsidRPr="005E6831">
        <w:rPr>
          <w:rFonts w:ascii="Times New Roman" w:eastAsia="SimSun" w:hAnsi="Times New Roman" w:cs="Times New Roman"/>
          <w:sz w:val="24"/>
          <w:szCs w:val="24"/>
        </w:rPr>
        <w:t>83</w:t>
      </w:r>
    </w:p>
    <w:p w14:paraId="4F14ACB6" w14:textId="24D3B57F" w:rsidR="00740CC0" w:rsidRPr="005E6831" w:rsidRDefault="00605568" w:rsidP="008A50F9">
      <w:pPr>
        <w:spacing w:after="0" w:line="360" w:lineRule="auto"/>
        <w:rPr>
          <w:rStyle w:val="Hyperlink"/>
          <w:rFonts w:ascii="Times New Roman" w:eastAsia="SimSu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Pr="005E6831">
        <w:rPr>
          <w:rFonts w:ascii="Times New Roman" w:eastAsia="SimSun" w:hAnsi="Times New Roman" w:cs="Times New Roman"/>
          <w:sz w:val="24"/>
          <w:szCs w:val="24"/>
        </w:rPr>
        <w:instrText xml:space="preserve"> HYPERLINK  \l "Table47" </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Table 4.7 Pearson Bivariate Correlations between OEHE Subscales and EBI-FA Measure</w:t>
      </w:r>
    </w:p>
    <w:p w14:paraId="6D57A291" w14:textId="2723F5DA" w:rsidR="00740CC0" w:rsidRPr="005E6831" w:rsidRDefault="00740CC0" w:rsidP="008A50F9">
      <w:pPr>
        <w:spacing w:after="0" w:line="360" w:lineRule="auto"/>
        <w:rPr>
          <w:rFonts w:ascii="Times New Roman" w:hAnsi="Times New Roman" w:cs="Times New Roman"/>
          <w:sz w:val="24"/>
          <w:szCs w:val="24"/>
        </w:rPr>
      </w:pP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Pr="005E6831">
        <w:rPr>
          <w:rStyle w:val="Hyperlink"/>
          <w:rFonts w:ascii="Times New Roman" w:hAnsi="Times New Roman" w:cs="Times New Roman"/>
          <w:color w:val="auto"/>
          <w:sz w:val="24"/>
          <w:szCs w:val="24"/>
          <w:u w:val="dotted"/>
        </w:rPr>
        <w:tab/>
      </w:r>
      <w:r w:rsidR="00605568" w:rsidRPr="005E6831">
        <w:rPr>
          <w:rFonts w:ascii="Times New Roman" w:eastAsia="SimSun" w:hAnsi="Times New Roman" w:cs="Times New Roman"/>
          <w:sz w:val="24"/>
          <w:szCs w:val="24"/>
          <w:u w:val="dotted"/>
        </w:rPr>
        <w:fldChar w:fldCharType="end"/>
      </w:r>
      <w:r w:rsidR="00D55022" w:rsidRPr="005E6831">
        <w:rPr>
          <w:rFonts w:ascii="Times New Roman" w:eastAsia="SimSun" w:hAnsi="Times New Roman" w:cs="Times New Roman"/>
          <w:sz w:val="24"/>
          <w:szCs w:val="24"/>
        </w:rPr>
        <w:t>84</w:t>
      </w:r>
    </w:p>
    <w:p w14:paraId="2E27D500" w14:textId="4A4E7BB7" w:rsidR="008A50F9" w:rsidRPr="005E6831" w:rsidRDefault="00605568" w:rsidP="008A50F9">
      <w:pPr>
        <w:spacing w:after="0" w:line="360" w:lineRule="auto"/>
        <w:rPr>
          <w:rStyle w:val="Hyperlink"/>
          <w:rFonts w:ascii="Times New Roman" w:eastAsia="SimSun" w:hAnsi="Times New Roman" w:cs="Times New Roman"/>
          <w:color w:val="auto"/>
          <w:sz w:val="24"/>
          <w:szCs w:val="24"/>
          <w:u w:val="none"/>
        </w:rPr>
      </w:pPr>
      <w:r w:rsidRPr="005E6831">
        <w:rPr>
          <w:rFonts w:ascii="Times New Roman" w:eastAsia="SimSun" w:hAnsi="Times New Roman" w:cs="Times New Roman"/>
          <w:sz w:val="24"/>
          <w:szCs w:val="24"/>
        </w:rPr>
        <w:fldChar w:fldCharType="begin"/>
      </w:r>
      <w:r w:rsidRPr="005E6831">
        <w:rPr>
          <w:rFonts w:ascii="Times New Roman" w:eastAsia="SimSun" w:hAnsi="Times New Roman" w:cs="Times New Roman"/>
          <w:sz w:val="24"/>
          <w:szCs w:val="24"/>
        </w:rPr>
        <w:instrText xml:space="preserve"> HYPERLINK  \l "Table48" </w:instrText>
      </w:r>
      <w:r w:rsidRPr="005E6831">
        <w:rPr>
          <w:rFonts w:ascii="Times New Roman" w:eastAsia="SimSun" w:hAnsi="Times New Roman" w:cs="Times New Roman"/>
          <w:sz w:val="24"/>
          <w:szCs w:val="24"/>
        </w:rPr>
        <w:fldChar w:fldCharType="separate"/>
      </w:r>
      <w:r w:rsidR="00740CC0" w:rsidRPr="005E6831">
        <w:rPr>
          <w:rStyle w:val="Hyperlink"/>
          <w:rFonts w:ascii="Times New Roman" w:eastAsia="SimSun" w:hAnsi="Times New Roman" w:cs="Times New Roman"/>
          <w:color w:val="auto"/>
          <w:sz w:val="24"/>
          <w:szCs w:val="24"/>
          <w:u w:val="none"/>
        </w:rPr>
        <w:t>Table 4.8</w:t>
      </w:r>
      <w:r w:rsidR="008A50F9" w:rsidRPr="005E6831">
        <w:rPr>
          <w:rStyle w:val="Hyperlink"/>
          <w:rFonts w:ascii="Times New Roman" w:eastAsia="SimSun" w:hAnsi="Times New Roman" w:cs="Times New Roman"/>
          <w:color w:val="auto"/>
          <w:sz w:val="24"/>
          <w:szCs w:val="24"/>
          <w:u w:val="none"/>
        </w:rPr>
        <w:t xml:space="preserve"> </w:t>
      </w:r>
      <w:r w:rsidR="00740CC0" w:rsidRPr="005E6831">
        <w:rPr>
          <w:rStyle w:val="Hyperlink"/>
          <w:rFonts w:ascii="Times New Roman" w:eastAsia="SimSun" w:hAnsi="Times New Roman" w:cs="Times New Roman"/>
          <w:color w:val="auto"/>
          <w:sz w:val="24"/>
          <w:szCs w:val="24"/>
          <w:u w:val="none"/>
        </w:rPr>
        <w:t xml:space="preserve">Pearson Bivariate Correlations between OEHE Subscales and Task Value </w:t>
      </w:r>
    </w:p>
    <w:p w14:paraId="66BAB012" w14:textId="498C9154" w:rsidR="00740CC0" w:rsidRPr="005E6831" w:rsidRDefault="00740CC0" w:rsidP="008A50F9">
      <w:pPr>
        <w:spacing w:after="0" w:line="360" w:lineRule="auto"/>
        <w:rPr>
          <w:rFonts w:ascii="Times New Roman" w:hAnsi="Times New Roman" w:cs="Times New Roman"/>
          <w:sz w:val="24"/>
          <w:szCs w:val="24"/>
        </w:rPr>
      </w:pPr>
      <w:r w:rsidRPr="005E6831">
        <w:rPr>
          <w:rStyle w:val="Hyperlink"/>
          <w:rFonts w:ascii="Times New Roman" w:eastAsia="SimSun" w:hAnsi="Times New Roman" w:cs="Times New Roman"/>
          <w:color w:val="auto"/>
          <w:sz w:val="24"/>
          <w:szCs w:val="24"/>
          <w:u w:val="none"/>
        </w:rPr>
        <w:t>Measure</w:t>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8A50F9" w:rsidRPr="005E6831">
        <w:rPr>
          <w:rStyle w:val="Hyperlink"/>
          <w:rFonts w:ascii="Times New Roman" w:hAnsi="Times New Roman" w:cs="Times New Roman"/>
          <w:color w:val="auto"/>
          <w:sz w:val="24"/>
          <w:szCs w:val="24"/>
          <w:u w:val="dotted"/>
        </w:rPr>
        <w:tab/>
      </w:r>
      <w:r w:rsidR="00605568" w:rsidRPr="005E6831">
        <w:rPr>
          <w:rFonts w:ascii="Times New Roman" w:eastAsia="SimSun" w:hAnsi="Times New Roman" w:cs="Times New Roman"/>
          <w:sz w:val="24"/>
          <w:szCs w:val="24"/>
        </w:rPr>
        <w:fldChar w:fldCharType="end"/>
      </w:r>
      <w:r w:rsidR="00D55022" w:rsidRPr="005E6831">
        <w:rPr>
          <w:rFonts w:ascii="Times New Roman" w:eastAsia="SimSun" w:hAnsi="Times New Roman" w:cs="Times New Roman"/>
          <w:sz w:val="24"/>
          <w:szCs w:val="24"/>
        </w:rPr>
        <w:t>85</w:t>
      </w:r>
      <w:r w:rsidR="008A50F9" w:rsidRPr="005E6831">
        <w:rPr>
          <w:rFonts w:ascii="Times New Roman" w:hAnsi="Times New Roman" w:cs="Times New Roman"/>
          <w:sz w:val="24"/>
          <w:szCs w:val="24"/>
        </w:rPr>
        <w:t xml:space="preserve"> </w:t>
      </w:r>
    </w:p>
    <w:p w14:paraId="77A5A3EB" w14:textId="6C17F1F1" w:rsidR="008A50F9" w:rsidRPr="005E6831" w:rsidRDefault="00576522" w:rsidP="008A50F9">
      <w:pPr>
        <w:spacing w:after="0" w:line="360" w:lineRule="auto"/>
        <w:rPr>
          <w:rFonts w:ascii="Times New Roman" w:hAnsi="Times New Roman" w:cs="Times New Roman"/>
          <w:sz w:val="24"/>
          <w:szCs w:val="24"/>
        </w:rPr>
      </w:pPr>
      <w:hyperlink w:anchor="Table49" w:history="1">
        <w:r w:rsidR="008A50F9" w:rsidRPr="005E6831">
          <w:rPr>
            <w:rStyle w:val="Hyperlink"/>
            <w:rFonts w:ascii="Times New Roman" w:eastAsia="SimSun" w:hAnsi="Times New Roman" w:cs="Times New Roman"/>
            <w:color w:val="auto"/>
            <w:sz w:val="24"/>
            <w:szCs w:val="24"/>
            <w:u w:val="none"/>
          </w:rPr>
          <w:t>Table 4.9 Descriptive and Reliability Statistics of the 20 OEHE Items (Final) (N=235)</w:t>
        </w:r>
        <w:r w:rsidR="008A50F9" w:rsidRPr="005E6831">
          <w:rPr>
            <w:rStyle w:val="Hyperlink"/>
            <w:rFonts w:ascii="Times New Roman" w:hAnsi="Times New Roman" w:cs="Times New Roman"/>
            <w:color w:val="auto"/>
            <w:sz w:val="24"/>
            <w:szCs w:val="24"/>
            <w:u w:val="none"/>
          </w:rPr>
          <w:t xml:space="preserve"> </w:t>
        </w:r>
        <w:r w:rsidR="008A50F9" w:rsidRPr="005E6831">
          <w:rPr>
            <w:rStyle w:val="Hyperlink"/>
            <w:rFonts w:ascii="Times New Roman" w:hAnsi="Times New Roman" w:cs="Times New Roman"/>
            <w:color w:val="auto"/>
            <w:sz w:val="24"/>
            <w:szCs w:val="24"/>
            <w:u w:val="dotted"/>
          </w:rPr>
          <w:tab/>
        </w:r>
      </w:hyperlink>
      <w:r w:rsidR="00D55022" w:rsidRPr="005E6831">
        <w:rPr>
          <w:rFonts w:ascii="Times New Roman" w:eastAsia="SimSun" w:hAnsi="Times New Roman" w:cs="Times New Roman"/>
          <w:sz w:val="24"/>
          <w:szCs w:val="24"/>
        </w:rPr>
        <w:t>86</w:t>
      </w:r>
    </w:p>
    <w:p w14:paraId="3BE85408" w14:textId="77777777" w:rsidR="001D17A8" w:rsidRPr="005E6831" w:rsidRDefault="001D17A8" w:rsidP="001B6517">
      <w:pPr>
        <w:pStyle w:val="Heading1"/>
        <w:sectPr w:rsidR="001D17A8" w:rsidRPr="005E6831" w:rsidSect="00A8289B">
          <w:pgSz w:w="12240" w:h="15840"/>
          <w:pgMar w:top="1440" w:right="1440" w:bottom="1440" w:left="1440" w:header="720" w:footer="720" w:gutter="0"/>
          <w:pgNumType w:fmt="lowerRoman"/>
          <w:cols w:space="720"/>
          <w:docGrid w:linePitch="360"/>
        </w:sectPr>
      </w:pPr>
    </w:p>
    <w:p w14:paraId="11AAA103" w14:textId="77777777" w:rsidR="00951E13" w:rsidRDefault="00C4711F" w:rsidP="001B6517">
      <w:pPr>
        <w:pStyle w:val="Heading1"/>
      </w:pPr>
      <w:bookmarkStart w:id="7" w:name="_Toc102489423"/>
      <w:r w:rsidRPr="0032506F">
        <w:lastRenderedPageBreak/>
        <w:t>List of Figures</w:t>
      </w:r>
      <w:bookmarkEnd w:id="7"/>
    </w:p>
    <w:p w14:paraId="45B7E33D" w14:textId="77777777" w:rsidR="005C6905" w:rsidRDefault="005C6905" w:rsidP="005C6905"/>
    <w:p w14:paraId="26C9FA9A" w14:textId="1AE16F3C" w:rsidR="002775C5" w:rsidRPr="00B355CF" w:rsidRDefault="00576522" w:rsidP="002775C5">
      <w:pPr>
        <w:spacing w:after="0" w:line="360" w:lineRule="auto"/>
        <w:rPr>
          <w:rStyle w:val="Hyperlink"/>
          <w:rFonts w:ascii="Times New Roman" w:eastAsia="SimSun" w:hAnsi="Times New Roman" w:cs="Times New Roman"/>
          <w:color w:val="auto"/>
          <w:sz w:val="24"/>
          <w:szCs w:val="24"/>
          <w:u w:val="none"/>
        </w:rPr>
      </w:pPr>
      <w:hyperlink w:anchor="figure31" w:history="1">
        <w:r w:rsidR="002775C5" w:rsidRPr="00B355CF">
          <w:rPr>
            <w:rStyle w:val="Hyperlink"/>
            <w:rFonts w:ascii="Times New Roman" w:eastAsia="SimSun" w:hAnsi="Times New Roman" w:cs="Times New Roman"/>
            <w:color w:val="auto"/>
            <w:sz w:val="24"/>
            <w:szCs w:val="24"/>
            <w:u w:val="none"/>
          </w:rPr>
          <w:t>Figure 3.1 Four Stages and Their Corresponding Steps to Be Followed during the Scale Development</w:t>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hyperlink>
      <w:r w:rsidR="00B355CF">
        <w:rPr>
          <w:rStyle w:val="Hyperlink"/>
          <w:rFonts w:ascii="Times New Roman" w:eastAsia="SimSun" w:hAnsi="Times New Roman" w:cs="Times New Roman"/>
          <w:color w:val="auto"/>
          <w:sz w:val="24"/>
          <w:szCs w:val="24"/>
          <w:u w:val="none"/>
        </w:rPr>
        <w:t>41</w:t>
      </w:r>
    </w:p>
    <w:p w14:paraId="3C6A33C2" w14:textId="077F0898" w:rsidR="002775C5" w:rsidRPr="00B355CF" w:rsidRDefault="00576522" w:rsidP="002775C5">
      <w:pPr>
        <w:spacing w:after="0" w:line="360" w:lineRule="auto"/>
        <w:rPr>
          <w:rStyle w:val="Hyperlink"/>
          <w:rFonts w:ascii="Times New Roman" w:eastAsia="SimSun" w:hAnsi="Times New Roman" w:cs="Times New Roman"/>
          <w:color w:val="auto"/>
          <w:sz w:val="24"/>
          <w:szCs w:val="24"/>
          <w:u w:val="none"/>
        </w:rPr>
      </w:pPr>
      <w:hyperlink w:anchor="Figure41" w:history="1">
        <w:r w:rsidR="002775C5" w:rsidRPr="00B355CF">
          <w:rPr>
            <w:rStyle w:val="Hyperlink"/>
            <w:rFonts w:ascii="Times New Roman" w:eastAsia="SimSun" w:hAnsi="Times New Roman" w:cs="Times New Roman"/>
            <w:color w:val="auto"/>
            <w:sz w:val="24"/>
            <w:szCs w:val="24"/>
            <w:u w:val="none"/>
          </w:rPr>
          <w:t>Figure  4.1 Final Best-Fitting Model with 20 Indicator Variables (N=235)</w:t>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r w:rsidR="002775C5" w:rsidRPr="00B355CF">
          <w:rPr>
            <w:rStyle w:val="Hyperlink"/>
            <w:rFonts w:ascii="Times New Roman" w:eastAsia="SimSun" w:hAnsi="Times New Roman" w:cs="Times New Roman"/>
            <w:color w:val="auto"/>
            <w:sz w:val="24"/>
            <w:szCs w:val="24"/>
            <w:u w:val="dotted"/>
          </w:rPr>
          <w:tab/>
        </w:r>
      </w:hyperlink>
      <w:r w:rsidR="00B355CF">
        <w:rPr>
          <w:rStyle w:val="Hyperlink"/>
          <w:rFonts w:ascii="Times New Roman" w:eastAsia="SimSun" w:hAnsi="Times New Roman" w:cs="Times New Roman"/>
          <w:color w:val="auto"/>
          <w:sz w:val="24"/>
          <w:szCs w:val="24"/>
          <w:u w:val="none"/>
        </w:rPr>
        <w:t>76</w:t>
      </w:r>
    </w:p>
    <w:p w14:paraId="56BE6FB3" w14:textId="77777777" w:rsidR="00306A8F" w:rsidRDefault="00306A8F" w:rsidP="005C6905"/>
    <w:p w14:paraId="766769F7" w14:textId="4DD746A8" w:rsidR="002775C5" w:rsidRPr="005C6905" w:rsidRDefault="002775C5" w:rsidP="005C6905">
      <w:pPr>
        <w:sectPr w:rsidR="002775C5" w:rsidRPr="005C6905" w:rsidSect="00A8289B">
          <w:pgSz w:w="12240" w:h="15840"/>
          <w:pgMar w:top="1440" w:right="1440" w:bottom="1440" w:left="1440" w:header="720" w:footer="720" w:gutter="0"/>
          <w:pgNumType w:fmt="lowerRoman"/>
          <w:cols w:space="720"/>
          <w:docGrid w:linePitch="360"/>
        </w:sectPr>
      </w:pPr>
    </w:p>
    <w:p w14:paraId="0C989032" w14:textId="3A9E8CB6" w:rsidR="001B6517" w:rsidRPr="0032506F" w:rsidRDefault="001B6517" w:rsidP="001B6517">
      <w:pPr>
        <w:pStyle w:val="Heading1"/>
      </w:pPr>
      <w:bookmarkStart w:id="8" w:name="_Toc102489424"/>
      <w:r w:rsidRPr="0032506F">
        <w:lastRenderedPageBreak/>
        <w:t>Abstract</w:t>
      </w:r>
      <w:bookmarkEnd w:id="8"/>
    </w:p>
    <w:p w14:paraId="03AEE081" w14:textId="34007FD2" w:rsidR="00CC2DAB" w:rsidRPr="0032506F" w:rsidRDefault="00F50032" w:rsidP="00D41C74">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r>
      <w:r w:rsidR="00B83E67" w:rsidRPr="0032506F">
        <w:rPr>
          <w:rFonts w:ascii="Times New Roman" w:hAnsi="Times New Roman" w:cs="Times New Roman"/>
          <w:sz w:val="24"/>
          <w:szCs w:val="24"/>
        </w:rPr>
        <w:t xml:space="preserve">Student engagement in online learning environments is of particular importance to successful learning experiences due to the unique features of online learning environments (e.g., physical </w:t>
      </w:r>
      <w:r w:rsidR="00D41C74" w:rsidRPr="0032506F">
        <w:rPr>
          <w:rFonts w:ascii="Times New Roman" w:hAnsi="Times New Roman" w:cs="Times New Roman"/>
          <w:sz w:val="24"/>
          <w:szCs w:val="24"/>
        </w:rPr>
        <w:t>distance, sense of isolation from peers and instructors). Reliable and valid assessment of student engagement is vitally important for</w:t>
      </w:r>
      <w:r w:rsidR="00D73F19" w:rsidRPr="0032506F">
        <w:rPr>
          <w:rFonts w:ascii="Times New Roman" w:hAnsi="Times New Roman" w:cs="Times New Roman"/>
          <w:sz w:val="24"/>
          <w:szCs w:val="24"/>
        </w:rPr>
        <w:t xml:space="preserve"> making evidence-based decisions </w:t>
      </w:r>
      <w:r w:rsidR="00D87925" w:rsidRPr="0032506F">
        <w:rPr>
          <w:rFonts w:ascii="Times New Roman" w:hAnsi="Times New Roman" w:cs="Times New Roman"/>
          <w:sz w:val="24"/>
          <w:szCs w:val="24"/>
        </w:rPr>
        <w:t>for</w:t>
      </w:r>
      <w:r w:rsidR="00D73F19" w:rsidRPr="0032506F">
        <w:rPr>
          <w:rFonts w:ascii="Times New Roman" w:hAnsi="Times New Roman" w:cs="Times New Roman"/>
          <w:sz w:val="24"/>
          <w:szCs w:val="24"/>
        </w:rPr>
        <w:t xml:space="preserve"> online learning environments. Addressing this need</w:t>
      </w:r>
      <w:r w:rsidR="00AE1F61" w:rsidRPr="0032506F">
        <w:rPr>
          <w:rFonts w:ascii="Times New Roman" w:hAnsi="Times New Roman" w:cs="Times New Roman"/>
          <w:sz w:val="24"/>
          <w:szCs w:val="24"/>
        </w:rPr>
        <w:t xml:space="preserve"> and the limitations of the existing measures</w:t>
      </w:r>
      <w:r w:rsidR="00D73F19" w:rsidRPr="0032506F">
        <w:rPr>
          <w:rFonts w:ascii="Times New Roman" w:hAnsi="Times New Roman" w:cs="Times New Roman"/>
          <w:sz w:val="24"/>
          <w:szCs w:val="24"/>
        </w:rPr>
        <w:t xml:space="preserve">, </w:t>
      </w:r>
      <w:r w:rsidR="00D61F14" w:rsidRPr="0032506F">
        <w:rPr>
          <w:rFonts w:ascii="Times New Roman" w:hAnsi="Times New Roman" w:cs="Times New Roman"/>
          <w:sz w:val="24"/>
          <w:szCs w:val="24"/>
        </w:rPr>
        <w:t xml:space="preserve">this study presents a tool </w:t>
      </w:r>
      <w:r w:rsidR="00897B49" w:rsidRPr="0032506F">
        <w:rPr>
          <w:rFonts w:ascii="Times New Roman" w:hAnsi="Times New Roman" w:cs="Times New Roman"/>
          <w:sz w:val="24"/>
          <w:szCs w:val="24"/>
        </w:rPr>
        <w:t>to assess</w:t>
      </w:r>
      <w:r w:rsidR="00D61F14" w:rsidRPr="0032506F">
        <w:rPr>
          <w:rFonts w:ascii="Times New Roman" w:hAnsi="Times New Roman" w:cs="Times New Roman"/>
          <w:sz w:val="24"/>
          <w:szCs w:val="24"/>
        </w:rPr>
        <w:t xml:space="preserve"> student engagement</w:t>
      </w:r>
      <w:r w:rsidR="00DD4247" w:rsidRPr="0032506F">
        <w:rPr>
          <w:rFonts w:ascii="Times New Roman" w:hAnsi="Times New Roman" w:cs="Times New Roman"/>
          <w:sz w:val="24"/>
          <w:szCs w:val="24"/>
        </w:rPr>
        <w:t xml:space="preserve"> in online learning environments</w:t>
      </w:r>
      <w:r w:rsidR="003F1AD2" w:rsidRPr="0032506F">
        <w:rPr>
          <w:rFonts w:ascii="Times New Roman" w:hAnsi="Times New Roman" w:cs="Times New Roman"/>
          <w:sz w:val="24"/>
          <w:szCs w:val="24"/>
        </w:rPr>
        <w:t>, the Online Engagement in Higher Education (OEHE),</w:t>
      </w:r>
      <w:r w:rsidR="00D61F14" w:rsidRPr="0032506F">
        <w:rPr>
          <w:rFonts w:ascii="Times New Roman" w:hAnsi="Times New Roman" w:cs="Times New Roman"/>
          <w:sz w:val="24"/>
          <w:szCs w:val="24"/>
        </w:rPr>
        <w:t xml:space="preserve"> </w:t>
      </w:r>
      <w:r w:rsidR="001314A3" w:rsidRPr="0032506F">
        <w:rPr>
          <w:rFonts w:ascii="Times New Roman" w:hAnsi="Times New Roman" w:cs="Times New Roman"/>
          <w:sz w:val="24"/>
          <w:szCs w:val="24"/>
        </w:rPr>
        <w:t xml:space="preserve">which has been validated </w:t>
      </w:r>
      <w:r w:rsidR="00D61F14" w:rsidRPr="0032506F">
        <w:rPr>
          <w:rFonts w:ascii="Times New Roman" w:hAnsi="Times New Roman" w:cs="Times New Roman"/>
          <w:sz w:val="24"/>
          <w:szCs w:val="24"/>
        </w:rPr>
        <w:t>through a series of confirmatory factor analys</w:t>
      </w:r>
      <w:r w:rsidR="00CC2DAB" w:rsidRPr="0032506F">
        <w:rPr>
          <w:rFonts w:ascii="Times New Roman" w:hAnsi="Times New Roman" w:cs="Times New Roman"/>
          <w:sz w:val="24"/>
          <w:szCs w:val="24"/>
        </w:rPr>
        <w:t xml:space="preserve">es, </w:t>
      </w:r>
      <w:r w:rsidR="000F54EB" w:rsidRPr="0032506F">
        <w:rPr>
          <w:rFonts w:ascii="Times New Roman" w:hAnsi="Times New Roman" w:cs="Times New Roman"/>
          <w:sz w:val="24"/>
          <w:szCs w:val="24"/>
        </w:rPr>
        <w:t>as well as additional</w:t>
      </w:r>
      <w:r w:rsidR="00CC2DAB" w:rsidRPr="0032506F">
        <w:rPr>
          <w:rFonts w:ascii="Times New Roman" w:hAnsi="Times New Roman" w:cs="Times New Roman"/>
          <w:sz w:val="24"/>
          <w:szCs w:val="24"/>
        </w:rPr>
        <w:t xml:space="preserve"> validity </w:t>
      </w:r>
      <w:r w:rsidR="00A36DC5" w:rsidRPr="0032506F">
        <w:rPr>
          <w:rFonts w:ascii="Times New Roman" w:hAnsi="Times New Roman" w:cs="Times New Roman"/>
          <w:sz w:val="24"/>
          <w:szCs w:val="24"/>
        </w:rPr>
        <w:t>analyses</w:t>
      </w:r>
      <w:r w:rsidR="00CC2DAB" w:rsidRPr="0032506F">
        <w:rPr>
          <w:rFonts w:ascii="Times New Roman" w:hAnsi="Times New Roman" w:cs="Times New Roman"/>
          <w:sz w:val="24"/>
          <w:szCs w:val="24"/>
        </w:rPr>
        <w:t xml:space="preserve">, and internal consistency reliability </w:t>
      </w:r>
      <w:r w:rsidR="00F60417" w:rsidRPr="0032506F">
        <w:rPr>
          <w:rFonts w:ascii="Times New Roman" w:hAnsi="Times New Roman" w:cs="Times New Roman"/>
          <w:sz w:val="24"/>
          <w:szCs w:val="24"/>
        </w:rPr>
        <w:t>analysis</w:t>
      </w:r>
      <w:r w:rsidR="00CC2DAB" w:rsidRPr="0032506F">
        <w:rPr>
          <w:rFonts w:ascii="Times New Roman" w:hAnsi="Times New Roman" w:cs="Times New Roman"/>
          <w:sz w:val="24"/>
          <w:szCs w:val="24"/>
        </w:rPr>
        <w:t xml:space="preserve">. </w:t>
      </w:r>
      <w:r w:rsidR="000D5ACB" w:rsidRPr="0032506F">
        <w:rPr>
          <w:rFonts w:ascii="Times New Roman" w:hAnsi="Times New Roman" w:cs="Times New Roman"/>
          <w:sz w:val="24"/>
          <w:szCs w:val="24"/>
        </w:rPr>
        <w:t xml:space="preserve">Using </w:t>
      </w:r>
      <w:r w:rsidR="0036092C" w:rsidRPr="0032506F">
        <w:rPr>
          <w:rFonts w:ascii="Times New Roman" w:hAnsi="Times New Roman" w:cs="Times New Roman"/>
          <w:sz w:val="24"/>
          <w:szCs w:val="24"/>
        </w:rPr>
        <w:t>data from 235 undergraduate and graduate students</w:t>
      </w:r>
      <w:r w:rsidR="006A66DC" w:rsidRPr="0032506F">
        <w:rPr>
          <w:rFonts w:ascii="Times New Roman" w:hAnsi="Times New Roman" w:cs="Times New Roman"/>
          <w:sz w:val="24"/>
          <w:szCs w:val="24"/>
        </w:rPr>
        <w:t>,</w:t>
      </w:r>
      <w:r w:rsidR="0036092C" w:rsidRPr="0032506F">
        <w:rPr>
          <w:rFonts w:ascii="Times New Roman" w:hAnsi="Times New Roman" w:cs="Times New Roman"/>
          <w:sz w:val="24"/>
          <w:szCs w:val="24"/>
        </w:rPr>
        <w:t xml:space="preserve"> </w:t>
      </w:r>
      <w:r w:rsidR="006A66DC" w:rsidRPr="0032506F">
        <w:rPr>
          <w:rFonts w:ascii="Times New Roman" w:hAnsi="Times New Roman" w:cs="Times New Roman"/>
          <w:sz w:val="24"/>
          <w:szCs w:val="24"/>
        </w:rPr>
        <w:t xml:space="preserve">who took </w:t>
      </w:r>
      <w:r w:rsidR="0036092C" w:rsidRPr="0032506F">
        <w:rPr>
          <w:rFonts w:ascii="Times New Roman" w:hAnsi="Times New Roman" w:cs="Times New Roman"/>
          <w:sz w:val="24"/>
          <w:szCs w:val="24"/>
        </w:rPr>
        <w:t>at least one online course during the time of data collection in Fall 2021, a</w:t>
      </w:r>
      <w:r w:rsidR="00CC2DAB" w:rsidRPr="0032506F">
        <w:rPr>
          <w:rFonts w:ascii="Times New Roman" w:hAnsi="Times New Roman" w:cs="Times New Roman"/>
          <w:sz w:val="24"/>
          <w:szCs w:val="24"/>
        </w:rPr>
        <w:t xml:space="preserve"> hypothesized three-factor model of online student engagement based on </w:t>
      </w:r>
      <w:r w:rsidR="0036092C" w:rsidRPr="0032506F">
        <w:rPr>
          <w:rFonts w:ascii="Times New Roman" w:hAnsi="Times New Roman" w:cs="Times New Roman"/>
          <w:sz w:val="24"/>
          <w:szCs w:val="24"/>
        </w:rPr>
        <w:t xml:space="preserve">Fredricks et al.’s (2004) </w:t>
      </w:r>
      <w:r w:rsidR="006A66DC" w:rsidRPr="0032506F">
        <w:rPr>
          <w:rFonts w:ascii="Times New Roman" w:hAnsi="Times New Roman" w:cs="Times New Roman"/>
          <w:sz w:val="24"/>
          <w:szCs w:val="24"/>
        </w:rPr>
        <w:t xml:space="preserve">engagement framework focusing on </w:t>
      </w:r>
      <w:r w:rsidR="00CC2DAB" w:rsidRPr="0032506F">
        <w:rPr>
          <w:rFonts w:ascii="Times New Roman" w:hAnsi="Times New Roman" w:cs="Times New Roman"/>
          <w:sz w:val="24"/>
          <w:szCs w:val="24"/>
        </w:rPr>
        <w:t>three core dimensions of behavioral, emotional, and cognitive engagement</w:t>
      </w:r>
      <w:r w:rsidR="00465C99" w:rsidRPr="0032506F">
        <w:rPr>
          <w:rFonts w:ascii="Times New Roman" w:hAnsi="Times New Roman" w:cs="Times New Roman"/>
          <w:sz w:val="24"/>
          <w:szCs w:val="24"/>
        </w:rPr>
        <w:t xml:space="preserve"> was adequately confirmed in the context of CF</w:t>
      </w:r>
      <w:r w:rsidR="00EE446D" w:rsidRPr="0032506F">
        <w:rPr>
          <w:rFonts w:ascii="Times New Roman" w:hAnsi="Times New Roman" w:cs="Times New Roman"/>
          <w:sz w:val="24"/>
          <w:szCs w:val="24"/>
        </w:rPr>
        <w:t>A</w:t>
      </w:r>
      <w:r w:rsidR="003F1AD2" w:rsidRPr="0032506F">
        <w:rPr>
          <w:rFonts w:ascii="Times New Roman" w:hAnsi="Times New Roman" w:cs="Times New Roman"/>
          <w:sz w:val="24"/>
          <w:szCs w:val="24"/>
        </w:rPr>
        <w:t>. The OEHE</w:t>
      </w:r>
      <w:r w:rsidR="00AC6FA3" w:rsidRPr="0032506F">
        <w:rPr>
          <w:rFonts w:ascii="Times New Roman" w:hAnsi="Times New Roman" w:cs="Times New Roman"/>
          <w:sz w:val="24"/>
          <w:szCs w:val="24"/>
        </w:rPr>
        <w:t xml:space="preserve"> </w:t>
      </w:r>
      <w:r w:rsidR="00A821C2" w:rsidRPr="0032506F">
        <w:rPr>
          <w:rFonts w:ascii="Times New Roman" w:hAnsi="Times New Roman" w:cs="Times New Roman"/>
          <w:sz w:val="24"/>
          <w:szCs w:val="24"/>
        </w:rPr>
        <w:t>was also shown to have reasonable evidence of convergent</w:t>
      </w:r>
      <w:r w:rsidR="0022088A" w:rsidRPr="0032506F">
        <w:rPr>
          <w:rFonts w:ascii="Times New Roman" w:hAnsi="Times New Roman" w:cs="Times New Roman"/>
          <w:sz w:val="24"/>
          <w:szCs w:val="24"/>
        </w:rPr>
        <w:t xml:space="preserve"> validity</w:t>
      </w:r>
      <w:r w:rsidR="00A821C2" w:rsidRPr="0032506F">
        <w:rPr>
          <w:rFonts w:ascii="Times New Roman" w:hAnsi="Times New Roman" w:cs="Times New Roman"/>
          <w:sz w:val="24"/>
          <w:szCs w:val="24"/>
        </w:rPr>
        <w:t xml:space="preserve"> and criterion validity</w:t>
      </w:r>
      <w:r w:rsidR="003E20AA" w:rsidRPr="0032506F">
        <w:rPr>
          <w:rFonts w:ascii="Times New Roman" w:hAnsi="Times New Roman" w:cs="Times New Roman"/>
          <w:sz w:val="24"/>
          <w:szCs w:val="24"/>
        </w:rPr>
        <w:t>, and</w:t>
      </w:r>
      <w:r w:rsidR="00A821C2" w:rsidRPr="0032506F">
        <w:rPr>
          <w:rFonts w:ascii="Times New Roman" w:hAnsi="Times New Roman" w:cs="Times New Roman"/>
          <w:sz w:val="24"/>
          <w:szCs w:val="24"/>
        </w:rPr>
        <w:t xml:space="preserve"> strong evidence of discriminant validity</w:t>
      </w:r>
      <w:r w:rsidR="003E20AA" w:rsidRPr="0032506F">
        <w:rPr>
          <w:rFonts w:ascii="Times New Roman" w:hAnsi="Times New Roman" w:cs="Times New Roman"/>
          <w:sz w:val="24"/>
          <w:szCs w:val="24"/>
        </w:rPr>
        <w:t xml:space="preserve"> through Pearson correlations</w:t>
      </w:r>
      <w:r w:rsidR="00A821C2" w:rsidRPr="0032506F">
        <w:rPr>
          <w:rFonts w:ascii="Times New Roman" w:hAnsi="Times New Roman" w:cs="Times New Roman"/>
          <w:sz w:val="24"/>
          <w:szCs w:val="24"/>
        </w:rPr>
        <w:t>.</w:t>
      </w:r>
      <w:r w:rsidR="0022088A" w:rsidRPr="0032506F">
        <w:rPr>
          <w:rFonts w:ascii="Times New Roman" w:hAnsi="Times New Roman" w:cs="Times New Roman"/>
          <w:sz w:val="24"/>
          <w:szCs w:val="24"/>
        </w:rPr>
        <w:t xml:space="preserve"> The OEHE subscales and the </w:t>
      </w:r>
      <w:r w:rsidR="00660056" w:rsidRPr="0032506F">
        <w:rPr>
          <w:rFonts w:ascii="Times New Roman" w:hAnsi="Times New Roman" w:cs="Times New Roman"/>
          <w:sz w:val="24"/>
          <w:szCs w:val="24"/>
        </w:rPr>
        <w:t>final validated</w:t>
      </w:r>
      <w:r w:rsidR="0022088A" w:rsidRPr="0032506F">
        <w:rPr>
          <w:rFonts w:ascii="Times New Roman" w:hAnsi="Times New Roman" w:cs="Times New Roman"/>
          <w:sz w:val="24"/>
          <w:szCs w:val="24"/>
        </w:rPr>
        <w:t xml:space="preserve"> instrument with 20 items </w:t>
      </w:r>
      <w:r w:rsidR="00033240" w:rsidRPr="0032506F">
        <w:rPr>
          <w:rFonts w:ascii="Times New Roman" w:hAnsi="Times New Roman" w:cs="Times New Roman"/>
          <w:sz w:val="24"/>
          <w:szCs w:val="24"/>
        </w:rPr>
        <w:t xml:space="preserve">also </w:t>
      </w:r>
      <w:r w:rsidR="0022088A" w:rsidRPr="0032506F">
        <w:rPr>
          <w:rFonts w:ascii="Times New Roman" w:hAnsi="Times New Roman" w:cs="Times New Roman"/>
          <w:sz w:val="24"/>
          <w:szCs w:val="24"/>
        </w:rPr>
        <w:t xml:space="preserve">were found to have adequate </w:t>
      </w:r>
      <w:r w:rsidR="00D23F25" w:rsidRPr="0032506F">
        <w:rPr>
          <w:rFonts w:ascii="Times New Roman" w:hAnsi="Times New Roman" w:cs="Times New Roman"/>
          <w:sz w:val="24"/>
          <w:szCs w:val="24"/>
        </w:rPr>
        <w:t>or</w:t>
      </w:r>
      <w:r w:rsidR="0022088A" w:rsidRPr="0032506F">
        <w:rPr>
          <w:rFonts w:ascii="Times New Roman" w:hAnsi="Times New Roman" w:cs="Times New Roman"/>
          <w:sz w:val="24"/>
          <w:szCs w:val="24"/>
        </w:rPr>
        <w:t xml:space="preserve"> very high internal </w:t>
      </w:r>
      <w:r w:rsidR="00B04C97" w:rsidRPr="0032506F">
        <w:rPr>
          <w:rFonts w:ascii="Times New Roman" w:hAnsi="Times New Roman" w:cs="Times New Roman"/>
          <w:sz w:val="24"/>
          <w:szCs w:val="24"/>
        </w:rPr>
        <w:t xml:space="preserve">consistency reliability. Implications </w:t>
      </w:r>
      <w:r w:rsidR="00FC79CC" w:rsidRPr="0032506F">
        <w:rPr>
          <w:rFonts w:ascii="Times New Roman" w:hAnsi="Times New Roman" w:cs="Times New Roman"/>
          <w:sz w:val="24"/>
          <w:szCs w:val="24"/>
        </w:rPr>
        <w:t>for</w:t>
      </w:r>
      <w:r w:rsidR="00B04C97" w:rsidRPr="0032506F">
        <w:rPr>
          <w:rFonts w:ascii="Times New Roman" w:hAnsi="Times New Roman" w:cs="Times New Roman"/>
          <w:sz w:val="24"/>
          <w:szCs w:val="24"/>
        </w:rPr>
        <w:t xml:space="preserve"> the OEHE instrument development and validation and </w:t>
      </w:r>
      <w:r w:rsidR="007537C0" w:rsidRPr="0032506F">
        <w:rPr>
          <w:rFonts w:ascii="Times New Roman" w:hAnsi="Times New Roman" w:cs="Times New Roman"/>
          <w:sz w:val="24"/>
          <w:szCs w:val="24"/>
        </w:rPr>
        <w:t xml:space="preserve">recommendations for future studies are discussed to provide insights for online engagement researchers, practitioners, and </w:t>
      </w:r>
      <w:r w:rsidR="00FC79CC" w:rsidRPr="0032506F">
        <w:rPr>
          <w:rFonts w:ascii="Times New Roman" w:hAnsi="Times New Roman" w:cs="Times New Roman"/>
          <w:sz w:val="24"/>
          <w:szCs w:val="24"/>
        </w:rPr>
        <w:t xml:space="preserve">other </w:t>
      </w:r>
      <w:r w:rsidR="007537C0" w:rsidRPr="0032506F">
        <w:rPr>
          <w:rFonts w:ascii="Times New Roman" w:hAnsi="Times New Roman" w:cs="Times New Roman"/>
          <w:sz w:val="24"/>
          <w:szCs w:val="24"/>
        </w:rPr>
        <w:t xml:space="preserve">stakeholders in online education. </w:t>
      </w:r>
      <w:r w:rsidR="00A821C2" w:rsidRPr="0032506F">
        <w:rPr>
          <w:rFonts w:ascii="Times New Roman" w:hAnsi="Times New Roman" w:cs="Times New Roman"/>
          <w:sz w:val="24"/>
          <w:szCs w:val="24"/>
        </w:rPr>
        <w:t xml:space="preserve"> </w:t>
      </w:r>
      <w:r w:rsidR="003F1AD2" w:rsidRPr="0032506F">
        <w:rPr>
          <w:rFonts w:ascii="Times New Roman" w:hAnsi="Times New Roman" w:cs="Times New Roman"/>
          <w:sz w:val="24"/>
          <w:szCs w:val="24"/>
        </w:rPr>
        <w:t xml:space="preserve"> </w:t>
      </w:r>
      <w:r w:rsidR="00EE446D" w:rsidRPr="0032506F">
        <w:rPr>
          <w:rFonts w:ascii="Times New Roman" w:hAnsi="Times New Roman" w:cs="Times New Roman"/>
          <w:sz w:val="24"/>
          <w:szCs w:val="24"/>
        </w:rPr>
        <w:t xml:space="preserve"> </w:t>
      </w:r>
      <w:r w:rsidR="00CC2DAB" w:rsidRPr="0032506F">
        <w:rPr>
          <w:rFonts w:ascii="Times New Roman" w:hAnsi="Times New Roman" w:cs="Times New Roman"/>
          <w:sz w:val="24"/>
          <w:szCs w:val="24"/>
        </w:rPr>
        <w:t xml:space="preserve">  </w:t>
      </w:r>
    </w:p>
    <w:p w14:paraId="55D42F0B" w14:textId="77777777" w:rsidR="00752769" w:rsidRPr="0032506F" w:rsidRDefault="00752769" w:rsidP="004E2807">
      <w:pPr>
        <w:spacing w:after="0" w:line="480" w:lineRule="auto"/>
        <w:rPr>
          <w:rFonts w:ascii="Times New Roman" w:eastAsia="Times New Roman" w:hAnsi="Times New Roman" w:cs="Times New Roman"/>
          <w:i/>
          <w:sz w:val="24"/>
          <w:szCs w:val="28"/>
          <w:lang w:bidi="en-US"/>
        </w:rPr>
      </w:pPr>
    </w:p>
    <w:p w14:paraId="01F97558" w14:textId="3E541815" w:rsidR="00C4711F" w:rsidRPr="0032506F" w:rsidRDefault="004E2807" w:rsidP="004E2807">
      <w:pPr>
        <w:spacing w:after="0" w:line="480" w:lineRule="auto"/>
        <w:rPr>
          <w:rFonts w:ascii="Times New Roman" w:eastAsia="Times New Roman" w:hAnsi="Times New Roman" w:cs="Times New Roman"/>
          <w:sz w:val="24"/>
          <w:szCs w:val="28"/>
          <w:lang w:bidi="en-US"/>
        </w:rPr>
        <w:sectPr w:rsidR="00C4711F" w:rsidRPr="0032506F" w:rsidSect="00A8289B">
          <w:pgSz w:w="12240" w:h="15840"/>
          <w:pgMar w:top="1440" w:right="1440" w:bottom="1440" w:left="1440" w:header="720" w:footer="720" w:gutter="0"/>
          <w:pgNumType w:fmt="lowerRoman"/>
          <w:cols w:space="720"/>
          <w:docGrid w:linePitch="360"/>
        </w:sectPr>
      </w:pPr>
      <w:r w:rsidRPr="0032506F">
        <w:rPr>
          <w:rFonts w:ascii="Times New Roman" w:eastAsia="Times New Roman" w:hAnsi="Times New Roman" w:cs="Times New Roman"/>
          <w:i/>
          <w:sz w:val="24"/>
          <w:szCs w:val="28"/>
          <w:lang w:bidi="en-US"/>
        </w:rPr>
        <w:t xml:space="preserve">Keywords: </w:t>
      </w:r>
      <w:r w:rsidR="00E25334" w:rsidRPr="0032506F">
        <w:rPr>
          <w:rFonts w:ascii="Times New Roman" w:eastAsia="Times New Roman" w:hAnsi="Times New Roman" w:cs="Times New Roman"/>
          <w:sz w:val="24"/>
          <w:szCs w:val="28"/>
          <w:lang w:bidi="en-US"/>
        </w:rPr>
        <w:t xml:space="preserve">behavioral engagement, </w:t>
      </w:r>
      <w:r w:rsidR="00A639CE" w:rsidRPr="0032506F">
        <w:rPr>
          <w:rFonts w:ascii="Times New Roman" w:eastAsia="Times New Roman" w:hAnsi="Times New Roman" w:cs="Times New Roman"/>
          <w:sz w:val="24"/>
          <w:szCs w:val="28"/>
          <w:lang w:bidi="en-US"/>
        </w:rPr>
        <w:t xml:space="preserve">cognitive engagement, </w:t>
      </w:r>
      <w:r w:rsidR="00E25334" w:rsidRPr="0032506F">
        <w:rPr>
          <w:rFonts w:ascii="Times New Roman" w:eastAsia="Times New Roman" w:hAnsi="Times New Roman" w:cs="Times New Roman"/>
          <w:sz w:val="24"/>
          <w:szCs w:val="28"/>
          <w:lang w:bidi="en-US"/>
        </w:rPr>
        <w:t>emotional engagement, instrument development</w:t>
      </w:r>
      <w:r w:rsidR="00A639CE" w:rsidRPr="0032506F">
        <w:rPr>
          <w:rFonts w:ascii="Times New Roman" w:eastAsia="Times New Roman" w:hAnsi="Times New Roman" w:cs="Times New Roman"/>
          <w:sz w:val="24"/>
          <w:szCs w:val="28"/>
          <w:lang w:bidi="en-US"/>
        </w:rPr>
        <w:t>, online student engagement</w:t>
      </w:r>
      <w:r w:rsidR="00E25334" w:rsidRPr="0032506F">
        <w:rPr>
          <w:rFonts w:ascii="Times New Roman" w:eastAsia="Times New Roman" w:hAnsi="Times New Roman" w:cs="Times New Roman"/>
          <w:sz w:val="24"/>
          <w:szCs w:val="28"/>
          <w:lang w:bidi="en-US"/>
        </w:rPr>
        <w:t>.</w:t>
      </w:r>
    </w:p>
    <w:p w14:paraId="5C7C7F6C" w14:textId="0C487707" w:rsidR="00155D6A" w:rsidRPr="0032506F" w:rsidRDefault="00155D6A" w:rsidP="00C30B08">
      <w:pPr>
        <w:pStyle w:val="Heading1"/>
      </w:pPr>
      <w:bookmarkStart w:id="9" w:name="_Toc102489425"/>
      <w:r w:rsidRPr="0032506F">
        <w:lastRenderedPageBreak/>
        <w:t>Chapter 1: Introduction</w:t>
      </w:r>
      <w:bookmarkEnd w:id="9"/>
    </w:p>
    <w:p w14:paraId="2F312D33" w14:textId="77777777" w:rsidR="00155D6A" w:rsidRPr="0032506F" w:rsidRDefault="00155D6A" w:rsidP="00155D6A">
      <w:pPr>
        <w:pStyle w:val="Heading2"/>
      </w:pPr>
      <w:bookmarkStart w:id="10" w:name="_Toc102489426"/>
      <w:r w:rsidRPr="0032506F">
        <w:t>Background of the Study</w:t>
      </w:r>
      <w:bookmarkEnd w:id="10"/>
    </w:p>
    <w:p w14:paraId="0C9FC4A3" w14:textId="0EDDC616" w:rsidR="00155D6A" w:rsidRPr="0032506F" w:rsidRDefault="00155D6A" w:rsidP="00155D6A">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color w:val="000000"/>
          <w:sz w:val="24"/>
          <w:szCs w:val="24"/>
        </w:rPr>
        <w:t xml:space="preserve">Online courses and online learning have </w:t>
      </w:r>
      <w:r w:rsidR="006571EE" w:rsidRPr="0032506F">
        <w:rPr>
          <w:rFonts w:ascii="Times New Roman" w:eastAsia="Calibri" w:hAnsi="Times New Roman" w:cs="Times New Roman"/>
          <w:color w:val="000000"/>
          <w:sz w:val="24"/>
          <w:szCs w:val="24"/>
        </w:rPr>
        <w:t>steadily become</w:t>
      </w:r>
      <w:r w:rsidRPr="0032506F">
        <w:rPr>
          <w:rFonts w:ascii="Times New Roman" w:eastAsia="Calibri" w:hAnsi="Times New Roman" w:cs="Times New Roman"/>
          <w:color w:val="000000"/>
          <w:sz w:val="24"/>
          <w:szCs w:val="24"/>
        </w:rPr>
        <w:t xml:space="preserve"> more popular and widespread in higher education for the last couple of decades (Allen et al., 2016; Ferrer et al., 202</w:t>
      </w:r>
      <w:r w:rsidR="00EC394E" w:rsidRPr="0032506F">
        <w:rPr>
          <w:rFonts w:ascii="Times New Roman" w:eastAsia="Calibri" w:hAnsi="Times New Roman" w:cs="Times New Roman"/>
          <w:color w:val="000000"/>
          <w:sz w:val="24"/>
          <w:szCs w:val="24"/>
        </w:rPr>
        <w:t>0</w:t>
      </w:r>
      <w:r w:rsidRPr="0032506F">
        <w:rPr>
          <w:rFonts w:ascii="Times New Roman" w:eastAsia="Calibri" w:hAnsi="Times New Roman" w:cs="Times New Roman"/>
          <w:color w:val="000000"/>
          <w:sz w:val="24"/>
          <w:szCs w:val="24"/>
        </w:rPr>
        <w:t>; Hsu et al., 2019; Martin et al., 2019</w:t>
      </w:r>
      <w:r w:rsidR="00695124" w:rsidRPr="0032506F">
        <w:rPr>
          <w:rFonts w:ascii="Times New Roman" w:eastAsia="Calibri" w:hAnsi="Times New Roman" w:cs="Times New Roman"/>
          <w:color w:val="000000"/>
          <w:sz w:val="24"/>
          <w:szCs w:val="24"/>
        </w:rPr>
        <w:t xml:space="preserve">; </w:t>
      </w:r>
      <w:r w:rsidR="00FC6E86" w:rsidRPr="0032506F">
        <w:rPr>
          <w:rFonts w:ascii="Times New Roman" w:eastAsia="Calibri" w:hAnsi="Times New Roman" w:cs="Times New Roman"/>
          <w:color w:val="000000"/>
          <w:sz w:val="24"/>
          <w:szCs w:val="24"/>
        </w:rPr>
        <w:t>Martin, Stamper, &amp; Flowers, 2020</w:t>
      </w:r>
      <w:r w:rsidRPr="0032506F">
        <w:rPr>
          <w:rFonts w:ascii="Times New Roman" w:eastAsia="Calibri" w:hAnsi="Times New Roman" w:cs="Times New Roman"/>
          <w:color w:val="000000"/>
          <w:sz w:val="24"/>
          <w:szCs w:val="24"/>
        </w:rPr>
        <w:t xml:space="preserve">). The number of college students enrolled in higher education institutions who took at least one online distance course in Fall 2015 was over six million, </w:t>
      </w:r>
      <w:r w:rsidR="00B053BE" w:rsidRPr="0032506F">
        <w:rPr>
          <w:rFonts w:ascii="Times New Roman" w:eastAsia="Calibri" w:hAnsi="Times New Roman" w:cs="Times New Roman"/>
          <w:color w:val="000000"/>
          <w:sz w:val="24"/>
          <w:szCs w:val="24"/>
        </w:rPr>
        <w:t>up</w:t>
      </w:r>
      <w:r w:rsidRPr="0032506F">
        <w:rPr>
          <w:rFonts w:ascii="Times New Roman" w:eastAsia="Calibri" w:hAnsi="Times New Roman" w:cs="Times New Roman"/>
          <w:color w:val="000000"/>
          <w:sz w:val="24"/>
          <w:szCs w:val="24"/>
        </w:rPr>
        <w:t xml:space="preserve"> </w:t>
      </w:r>
      <w:r w:rsidR="00B053BE" w:rsidRPr="0032506F">
        <w:rPr>
          <w:rFonts w:ascii="Times New Roman" w:eastAsia="Calibri" w:hAnsi="Times New Roman" w:cs="Times New Roman"/>
          <w:color w:val="000000"/>
          <w:sz w:val="24"/>
          <w:szCs w:val="24"/>
        </w:rPr>
        <w:t>from just</w:t>
      </w:r>
      <w:r w:rsidRPr="0032506F">
        <w:rPr>
          <w:rFonts w:ascii="Times New Roman" w:eastAsia="Calibri" w:hAnsi="Times New Roman" w:cs="Times New Roman"/>
          <w:color w:val="000000"/>
          <w:sz w:val="24"/>
          <w:szCs w:val="24"/>
        </w:rPr>
        <w:t xml:space="preserve"> 1,602,970 in Fall 2002 (Allen &amp; Seaman, 2013, 2017). </w:t>
      </w:r>
      <w:r w:rsidR="00EF485A" w:rsidRPr="0032506F">
        <w:rPr>
          <w:rFonts w:ascii="Times New Roman" w:eastAsia="Calibri" w:hAnsi="Times New Roman" w:cs="Times New Roman"/>
          <w:color w:val="000000"/>
          <w:sz w:val="24"/>
          <w:szCs w:val="24"/>
        </w:rPr>
        <w:t xml:space="preserve">The terms </w:t>
      </w:r>
      <w:r w:rsidR="00EF485A" w:rsidRPr="0032506F">
        <w:rPr>
          <w:rFonts w:ascii="Times New Roman" w:eastAsia="Calibri" w:hAnsi="Times New Roman" w:cs="Times New Roman"/>
          <w:bCs/>
          <w:i/>
          <w:iCs/>
          <w:color w:val="000000"/>
          <w:sz w:val="24"/>
          <w:szCs w:val="24"/>
        </w:rPr>
        <w:t>o</w:t>
      </w:r>
      <w:r w:rsidRPr="0032506F">
        <w:rPr>
          <w:rFonts w:ascii="Times New Roman" w:eastAsia="Calibri" w:hAnsi="Times New Roman" w:cs="Times New Roman"/>
          <w:bCs/>
          <w:i/>
          <w:iCs/>
          <w:color w:val="000000"/>
          <w:sz w:val="24"/>
          <w:szCs w:val="24"/>
        </w:rPr>
        <w:t>nline education</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online learning</w:t>
      </w:r>
      <w:r w:rsidRPr="0032506F">
        <w:rPr>
          <w:rFonts w:ascii="Times New Roman" w:eastAsia="Calibri" w:hAnsi="Times New Roman" w:cs="Times New Roman"/>
          <w:bCs/>
          <w:color w:val="000000"/>
          <w:sz w:val="24"/>
          <w:szCs w:val="24"/>
        </w:rPr>
        <w:t xml:space="preserve"> are used interchangeably today. Online education can be simply defined as any kind or form of learning and instruction taking place with the use of the Internet and web-based technologies (Picciano, 2019). </w:t>
      </w:r>
      <w:bookmarkStart w:id="11" w:name="_Hlk94803902"/>
      <w:r w:rsidRPr="0032506F">
        <w:rPr>
          <w:rFonts w:ascii="Times New Roman" w:eastAsia="Calibri" w:hAnsi="Times New Roman" w:cs="Times New Roman"/>
          <w:bCs/>
          <w:color w:val="000000"/>
          <w:sz w:val="24"/>
          <w:szCs w:val="24"/>
        </w:rPr>
        <w:t xml:space="preserve">Online courses delivered to students at a distance through technology-mediated web-based learning environments can provide a wide range of advantages and benefits for students such as convenience, accessibility, and flexibility (Borup et al., 2011, 2012; Caskurlu et al., 2021; Picciano, 2019). </w:t>
      </w:r>
    </w:p>
    <w:bookmarkEnd w:id="11"/>
    <w:p w14:paraId="68476326" w14:textId="0FF2DC36" w:rsidR="00155D6A" w:rsidRPr="0032506F" w:rsidRDefault="00155D6A" w:rsidP="00155D6A">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Despite such affordances of online education, however, challenges </w:t>
      </w:r>
      <w:r w:rsidR="00A17C74" w:rsidRPr="0032506F">
        <w:rPr>
          <w:rFonts w:ascii="Times New Roman" w:eastAsia="Calibri" w:hAnsi="Times New Roman" w:cs="Times New Roman"/>
          <w:bCs/>
          <w:color w:val="000000"/>
          <w:sz w:val="24"/>
          <w:szCs w:val="24"/>
        </w:rPr>
        <w:t>remain</w:t>
      </w:r>
      <w:r w:rsidRPr="0032506F">
        <w:rPr>
          <w:rFonts w:ascii="Times New Roman" w:eastAsia="Calibri" w:hAnsi="Times New Roman" w:cs="Times New Roman"/>
          <w:bCs/>
          <w:color w:val="000000"/>
          <w:sz w:val="24"/>
          <w:szCs w:val="24"/>
        </w:rPr>
        <w:t xml:space="preserve">. </w:t>
      </w:r>
      <w:r w:rsidR="00566788" w:rsidRPr="0032506F">
        <w:rPr>
          <w:rFonts w:ascii="Times New Roman" w:eastAsia="Calibri" w:hAnsi="Times New Roman" w:cs="Times New Roman"/>
          <w:bCs/>
          <w:color w:val="000000"/>
          <w:sz w:val="24"/>
          <w:szCs w:val="24"/>
        </w:rPr>
        <w:t>L</w:t>
      </w:r>
      <w:r w:rsidRPr="0032506F">
        <w:rPr>
          <w:rFonts w:ascii="Times New Roman" w:eastAsia="Calibri" w:hAnsi="Times New Roman" w:cs="Times New Roman"/>
          <w:bCs/>
          <w:color w:val="000000"/>
          <w:sz w:val="24"/>
          <w:szCs w:val="24"/>
        </w:rPr>
        <w:t>ack of face-to-face and real-time interactions with peers and instructors</w:t>
      </w:r>
      <w:r w:rsidR="001B4C6F" w:rsidRPr="0032506F">
        <w:rPr>
          <w:rFonts w:ascii="Times New Roman" w:eastAsia="Calibri" w:hAnsi="Times New Roman" w:cs="Times New Roman"/>
          <w:bCs/>
          <w:color w:val="000000"/>
          <w:sz w:val="24"/>
          <w:szCs w:val="24"/>
        </w:rPr>
        <w:t xml:space="preserve"> in online learning environments </w:t>
      </w:r>
      <w:r w:rsidRPr="0032506F">
        <w:rPr>
          <w:rFonts w:ascii="Times New Roman" w:eastAsia="Calibri" w:hAnsi="Times New Roman" w:cs="Times New Roman"/>
          <w:bCs/>
          <w:color w:val="000000"/>
          <w:sz w:val="24"/>
          <w:szCs w:val="24"/>
        </w:rPr>
        <w:t>lead</w:t>
      </w:r>
      <w:r w:rsidR="001B4C6F" w:rsidRPr="0032506F">
        <w:rPr>
          <w:rFonts w:ascii="Times New Roman" w:eastAsia="Calibri" w:hAnsi="Times New Roman" w:cs="Times New Roman"/>
          <w:bCs/>
          <w:color w:val="000000"/>
          <w:sz w:val="24"/>
          <w:szCs w:val="24"/>
        </w:rPr>
        <w:t>s</w:t>
      </w:r>
      <w:r w:rsidRPr="0032506F">
        <w:rPr>
          <w:rFonts w:ascii="Times New Roman" w:eastAsia="Calibri" w:hAnsi="Times New Roman" w:cs="Times New Roman"/>
          <w:bCs/>
          <w:color w:val="000000"/>
          <w:sz w:val="24"/>
          <w:szCs w:val="24"/>
        </w:rPr>
        <w:t xml:space="preserve"> to feelings of isolation and disconnectedness over time</w:t>
      </w:r>
      <w:r w:rsidR="002627FD"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(Dixson, 2015; </w:t>
      </w:r>
      <w:bookmarkStart w:id="12" w:name="_Hlk94696000"/>
      <w:r w:rsidRPr="0032506F">
        <w:rPr>
          <w:rFonts w:ascii="Times New Roman" w:eastAsia="Calibri" w:hAnsi="Times New Roman" w:cs="Times New Roman"/>
          <w:bCs/>
          <w:color w:val="000000"/>
          <w:sz w:val="24"/>
          <w:szCs w:val="24"/>
        </w:rPr>
        <w:t>Hoi &amp; Le Hang, 2021</w:t>
      </w:r>
      <w:bookmarkEnd w:id="12"/>
      <w:r w:rsidRPr="0032506F">
        <w:rPr>
          <w:rFonts w:ascii="Times New Roman" w:eastAsia="Calibri" w:hAnsi="Times New Roman" w:cs="Times New Roman"/>
          <w:bCs/>
          <w:color w:val="000000"/>
          <w:sz w:val="24"/>
          <w:szCs w:val="24"/>
        </w:rPr>
        <w:t>;</w:t>
      </w:r>
      <w:r w:rsidR="002727B1"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Sherblom, 2010).</w:t>
      </w:r>
      <w:r w:rsidRPr="0032506F">
        <w:rPr>
          <w:rFonts w:ascii="Times New Roman" w:eastAsia="Calibri" w:hAnsi="Times New Roman" w:cs="Times New Roman"/>
          <w:color w:val="000000"/>
          <w:sz w:val="24"/>
          <w:szCs w:val="24"/>
        </w:rPr>
        <w:t xml:space="preserve"> </w:t>
      </w:r>
      <w:r w:rsidR="00455DDF" w:rsidRPr="0032506F">
        <w:rPr>
          <w:rFonts w:ascii="Times New Roman" w:eastAsia="Calibri" w:hAnsi="Times New Roman" w:cs="Times New Roman"/>
          <w:color w:val="000000"/>
          <w:sz w:val="24"/>
          <w:szCs w:val="24"/>
        </w:rPr>
        <w:t xml:space="preserve">This aspect and other </w:t>
      </w:r>
      <w:r w:rsidRPr="0032506F">
        <w:rPr>
          <w:rFonts w:ascii="Times New Roman" w:eastAsia="Calibri" w:hAnsi="Times New Roman" w:cs="Times New Roman"/>
          <w:bCs/>
          <w:color w:val="000000"/>
          <w:sz w:val="24"/>
          <w:szCs w:val="24"/>
        </w:rPr>
        <w:t xml:space="preserve">inherent challenges of online education may negatively influence students’ online learning experiences </w:t>
      </w:r>
      <w:r w:rsidR="00BB2794" w:rsidRPr="0032506F">
        <w:rPr>
          <w:rFonts w:ascii="Times New Roman" w:eastAsia="Calibri" w:hAnsi="Times New Roman" w:cs="Times New Roman"/>
          <w:bCs/>
          <w:color w:val="000000"/>
          <w:sz w:val="24"/>
          <w:szCs w:val="24"/>
        </w:rPr>
        <w:t>including</w:t>
      </w:r>
      <w:r w:rsidRPr="0032506F">
        <w:rPr>
          <w:rFonts w:ascii="Times New Roman" w:eastAsia="Calibri" w:hAnsi="Times New Roman" w:cs="Times New Roman"/>
          <w:bCs/>
          <w:color w:val="000000"/>
          <w:sz w:val="24"/>
          <w:szCs w:val="24"/>
        </w:rPr>
        <w:t xml:space="preserve"> student engagement (Kucuk &amp; Richardson, 2019). Although the number of students </w:t>
      </w:r>
      <w:r w:rsidR="006A458E" w:rsidRPr="0032506F">
        <w:rPr>
          <w:rFonts w:ascii="Times New Roman" w:eastAsia="Calibri" w:hAnsi="Times New Roman" w:cs="Times New Roman"/>
          <w:bCs/>
          <w:color w:val="000000"/>
          <w:sz w:val="24"/>
          <w:szCs w:val="24"/>
        </w:rPr>
        <w:t>enrolling</w:t>
      </w:r>
      <w:r w:rsidRPr="0032506F">
        <w:rPr>
          <w:rFonts w:ascii="Times New Roman" w:eastAsia="Calibri" w:hAnsi="Times New Roman" w:cs="Times New Roman"/>
          <w:bCs/>
          <w:color w:val="000000"/>
          <w:sz w:val="24"/>
          <w:szCs w:val="24"/>
        </w:rPr>
        <w:t xml:space="preserve"> in online programs</w:t>
      </w:r>
      <w:r w:rsidR="00C7464F" w:rsidRPr="0032506F">
        <w:rPr>
          <w:rFonts w:ascii="Times New Roman" w:eastAsia="Calibri" w:hAnsi="Times New Roman" w:cs="Times New Roman"/>
          <w:bCs/>
          <w:color w:val="000000"/>
          <w:sz w:val="24"/>
          <w:szCs w:val="24"/>
        </w:rPr>
        <w:t xml:space="preserve"> or taking online courses as part of their higher education</w:t>
      </w:r>
      <w:r w:rsidRPr="0032506F">
        <w:rPr>
          <w:rFonts w:ascii="Times New Roman" w:eastAsia="Calibri" w:hAnsi="Times New Roman" w:cs="Times New Roman"/>
          <w:bCs/>
          <w:color w:val="000000"/>
          <w:sz w:val="24"/>
          <w:szCs w:val="24"/>
        </w:rPr>
        <w:t xml:space="preserve"> is </w:t>
      </w:r>
      <w:r w:rsidR="006A41F6" w:rsidRPr="0032506F">
        <w:rPr>
          <w:rFonts w:ascii="Times New Roman" w:eastAsia="Calibri" w:hAnsi="Times New Roman" w:cs="Times New Roman"/>
          <w:bCs/>
          <w:color w:val="000000"/>
          <w:sz w:val="24"/>
          <w:szCs w:val="24"/>
        </w:rPr>
        <w:t>steadily increasing</w:t>
      </w:r>
      <w:r w:rsidRPr="0032506F">
        <w:rPr>
          <w:rFonts w:ascii="Times New Roman" w:eastAsia="Calibri" w:hAnsi="Times New Roman" w:cs="Times New Roman"/>
          <w:bCs/>
          <w:color w:val="000000"/>
          <w:sz w:val="24"/>
          <w:szCs w:val="24"/>
        </w:rPr>
        <w:t xml:space="preserve"> (Henrie et al., 2015; Hoi &amp; Le Hang, 2021) and more and more higher education institutions have been offering online courses (Caskurlu et al., 2021), lack of student engagement  remains an important concern in online education (</w:t>
      </w:r>
      <w:r w:rsidR="00FA5725" w:rsidRPr="0032506F">
        <w:rPr>
          <w:rFonts w:ascii="Times New Roman" w:eastAsia="Calibri" w:hAnsi="Times New Roman" w:cs="Times New Roman"/>
          <w:bCs/>
          <w:color w:val="000000"/>
          <w:sz w:val="24"/>
          <w:szCs w:val="24"/>
        </w:rPr>
        <w:t xml:space="preserve">Bolliger &amp; Martin, 2018; </w:t>
      </w:r>
      <w:r w:rsidRPr="0032506F">
        <w:rPr>
          <w:rFonts w:ascii="Times New Roman" w:eastAsia="Calibri" w:hAnsi="Times New Roman" w:cs="Times New Roman"/>
          <w:bCs/>
          <w:color w:val="000000"/>
          <w:sz w:val="24"/>
          <w:szCs w:val="24"/>
        </w:rPr>
        <w:t xml:space="preserve">Martin et al., 2021). Accurately identifying students’ </w:t>
      </w:r>
      <w:r w:rsidRPr="0032506F">
        <w:rPr>
          <w:rFonts w:ascii="Times New Roman" w:eastAsia="Calibri" w:hAnsi="Times New Roman" w:cs="Times New Roman"/>
          <w:bCs/>
          <w:color w:val="000000"/>
          <w:sz w:val="24"/>
          <w:szCs w:val="24"/>
        </w:rPr>
        <w:lastRenderedPageBreak/>
        <w:t xml:space="preserve">level of engagement in online learning environments is thus an important issue </w:t>
      </w:r>
      <w:r w:rsidR="000F7BE3" w:rsidRPr="0032506F">
        <w:rPr>
          <w:rFonts w:ascii="Times New Roman" w:eastAsia="Calibri" w:hAnsi="Times New Roman" w:cs="Times New Roman"/>
          <w:bCs/>
          <w:color w:val="000000"/>
          <w:sz w:val="24"/>
          <w:szCs w:val="24"/>
        </w:rPr>
        <w:t>for consideration</w:t>
      </w:r>
      <w:r w:rsidRPr="0032506F">
        <w:rPr>
          <w:rFonts w:ascii="Times New Roman" w:eastAsia="Calibri" w:hAnsi="Times New Roman" w:cs="Times New Roman"/>
          <w:bCs/>
          <w:color w:val="000000"/>
          <w:sz w:val="24"/>
          <w:szCs w:val="24"/>
        </w:rPr>
        <w:t xml:space="preserve"> by all stakeholders in online education </w:t>
      </w:r>
      <w:r w:rsidR="00093E7F" w:rsidRPr="0032506F">
        <w:rPr>
          <w:rFonts w:ascii="Times New Roman" w:eastAsia="Calibri" w:hAnsi="Times New Roman" w:cs="Times New Roman"/>
          <w:bCs/>
          <w:color w:val="000000"/>
          <w:sz w:val="24"/>
          <w:szCs w:val="24"/>
        </w:rPr>
        <w:t xml:space="preserve">to ensure </w:t>
      </w:r>
      <w:r w:rsidRPr="0032506F">
        <w:rPr>
          <w:rFonts w:ascii="Times New Roman" w:eastAsia="Calibri" w:hAnsi="Times New Roman" w:cs="Times New Roman"/>
          <w:bCs/>
          <w:color w:val="000000"/>
          <w:sz w:val="24"/>
          <w:szCs w:val="24"/>
        </w:rPr>
        <w:t xml:space="preserve">students are optimally involved and engaged in their online learning experiences (Henrie et al., 2015; Hoi &amp; Le Hang, 2021; Martin et al., 2021). Accurate assessment of online student engagement </w:t>
      </w:r>
      <w:r w:rsidR="000A7B98" w:rsidRPr="0032506F">
        <w:rPr>
          <w:rFonts w:ascii="Times New Roman" w:eastAsia="Calibri" w:hAnsi="Times New Roman" w:cs="Times New Roman"/>
          <w:bCs/>
          <w:color w:val="000000"/>
          <w:sz w:val="24"/>
          <w:szCs w:val="24"/>
        </w:rPr>
        <w:t>requires</w:t>
      </w:r>
      <w:r w:rsidRPr="0032506F">
        <w:rPr>
          <w:rFonts w:ascii="Times New Roman" w:eastAsia="Calibri" w:hAnsi="Times New Roman" w:cs="Times New Roman"/>
          <w:bCs/>
          <w:color w:val="000000"/>
          <w:sz w:val="24"/>
          <w:szCs w:val="24"/>
        </w:rPr>
        <w:t xml:space="preserve"> a clear and consistent understanding of what student engagement is and how it manifests in online learning environments (Ferrer et al., 202</w:t>
      </w:r>
      <w:r w:rsidR="00EC394E" w:rsidRPr="0032506F">
        <w:rPr>
          <w:rFonts w:ascii="Times New Roman" w:eastAsia="Calibri" w:hAnsi="Times New Roman" w:cs="Times New Roman"/>
          <w:bCs/>
          <w:color w:val="000000"/>
          <w:sz w:val="24"/>
          <w:szCs w:val="24"/>
        </w:rPr>
        <w:t>0</w:t>
      </w:r>
      <w:r w:rsidRPr="0032506F">
        <w:rPr>
          <w:rFonts w:ascii="Times New Roman" w:eastAsia="Calibri" w:hAnsi="Times New Roman" w:cs="Times New Roman"/>
          <w:bCs/>
          <w:color w:val="000000"/>
          <w:sz w:val="24"/>
          <w:szCs w:val="24"/>
        </w:rPr>
        <w:t xml:space="preserve">; Hoi &amp; Le Hang, 2021). Based on Fredricks et al.’s (2004) three-dimensional conceptualization of engagement, student engagement is defined in this study as the extent to which students </w:t>
      </w:r>
      <w:r w:rsidRPr="0032506F">
        <w:rPr>
          <w:rFonts w:ascii="Times New Roman" w:eastAsia="Calibri" w:hAnsi="Times New Roman" w:cs="Times New Roman"/>
          <w:bCs/>
          <w:i/>
          <w:iCs/>
          <w:color w:val="000000"/>
          <w:sz w:val="24"/>
          <w:szCs w:val="24"/>
        </w:rPr>
        <w:t>behaviorally</w:t>
      </w:r>
      <w:r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i/>
          <w:iCs/>
          <w:color w:val="000000"/>
          <w:sz w:val="24"/>
          <w:szCs w:val="24"/>
        </w:rPr>
        <w:t>emotionally</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cognitively</w:t>
      </w:r>
      <w:r w:rsidRPr="0032506F">
        <w:rPr>
          <w:rFonts w:ascii="Times New Roman" w:eastAsia="Calibri" w:hAnsi="Times New Roman" w:cs="Times New Roman"/>
          <w:bCs/>
          <w:color w:val="000000"/>
          <w:sz w:val="24"/>
          <w:szCs w:val="24"/>
        </w:rPr>
        <w:t xml:space="preserve"> engage with their online learning process.</w:t>
      </w:r>
    </w:p>
    <w:p w14:paraId="15B3A304" w14:textId="21074CEA"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Student engagement is one of the most significant conditions that need to be fulfilled and maintained adequately to achieve desirable learning outcomes</w:t>
      </w:r>
      <w:r w:rsidR="00BE00A6" w:rsidRPr="0032506F">
        <w:rPr>
          <w:rFonts w:ascii="Times New Roman" w:eastAsia="Calibri" w:hAnsi="Times New Roman" w:cs="Times New Roman"/>
          <w:color w:val="000000"/>
          <w:sz w:val="24"/>
          <w:szCs w:val="24"/>
        </w:rPr>
        <w:t xml:space="preserve"> in online learning environments </w:t>
      </w:r>
      <w:r w:rsidRPr="0032506F">
        <w:rPr>
          <w:rFonts w:ascii="Times New Roman" w:eastAsia="Calibri" w:hAnsi="Times New Roman" w:cs="Times New Roman"/>
          <w:color w:val="000000"/>
          <w:sz w:val="24"/>
          <w:szCs w:val="24"/>
        </w:rPr>
        <w:t>(Dixson, 2015;</w:t>
      </w:r>
      <w:r w:rsidR="003E380F"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Kucuk &amp; Richardson, 2019; Meyer, 2014; Oncu &amp; Cakir, 2011; Revere &amp; Kovach, 2011). </w:t>
      </w:r>
      <w:proofErr w:type="gramStart"/>
      <w:r w:rsidRPr="0032506F">
        <w:rPr>
          <w:rFonts w:ascii="Times New Roman" w:eastAsia="Calibri" w:hAnsi="Times New Roman" w:cs="Times New Roman"/>
          <w:color w:val="000000"/>
          <w:sz w:val="24"/>
          <w:szCs w:val="24"/>
        </w:rPr>
        <w:t>Similar to</w:t>
      </w:r>
      <w:proofErr w:type="gramEnd"/>
      <w:r w:rsidRPr="0032506F">
        <w:rPr>
          <w:rFonts w:ascii="Times New Roman" w:eastAsia="Calibri" w:hAnsi="Times New Roman" w:cs="Times New Roman"/>
          <w:color w:val="000000"/>
          <w:sz w:val="24"/>
          <w:szCs w:val="24"/>
        </w:rPr>
        <w:t xml:space="preserve"> student engagement in traditional face-to-face classrooms of K-12 and higher education (Fredricks et al., 2004; Kuh, 2016; Redmond et al., 2018), student engagement in online learning environments has been associated with several educational outcomes, such as</w:t>
      </w:r>
      <w:r w:rsidR="003E380F"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student satisfaction, </w:t>
      </w:r>
      <w:r w:rsidR="00C03908" w:rsidRPr="0032506F">
        <w:rPr>
          <w:rFonts w:ascii="Times New Roman" w:eastAsia="Calibri" w:hAnsi="Times New Roman" w:cs="Times New Roman"/>
          <w:color w:val="000000"/>
          <w:sz w:val="24"/>
          <w:szCs w:val="24"/>
        </w:rPr>
        <w:t>academic performance, and persistence</w:t>
      </w:r>
      <w:r w:rsidR="004E002E" w:rsidRPr="0032506F">
        <w:rPr>
          <w:rFonts w:ascii="Times New Roman" w:eastAsia="Calibri" w:hAnsi="Times New Roman" w:cs="Times New Roman"/>
          <w:color w:val="000000"/>
          <w:sz w:val="24"/>
          <w:szCs w:val="24"/>
        </w:rPr>
        <w:t xml:space="preserve"> (Bolliger &amp; Martin, 2018; </w:t>
      </w:r>
      <w:r w:rsidR="00382692" w:rsidRPr="0032506F">
        <w:rPr>
          <w:rFonts w:ascii="Times New Roman" w:eastAsia="Calibri" w:hAnsi="Times New Roman" w:cs="Times New Roman"/>
          <w:color w:val="000000"/>
          <w:sz w:val="24"/>
          <w:szCs w:val="24"/>
        </w:rPr>
        <w:t>Meyer, 2014),</w:t>
      </w:r>
      <w:r w:rsidR="00BE00A6" w:rsidRPr="0032506F">
        <w:rPr>
          <w:rFonts w:ascii="Times New Roman" w:eastAsia="Calibri" w:hAnsi="Times New Roman" w:cs="Times New Roman"/>
          <w:color w:val="000000"/>
          <w:sz w:val="24"/>
          <w:szCs w:val="24"/>
        </w:rPr>
        <w:t xml:space="preserve"> </w:t>
      </w:r>
      <w:r w:rsidR="00382692" w:rsidRPr="0032506F">
        <w:rPr>
          <w:rFonts w:ascii="Times New Roman" w:eastAsia="Calibri" w:hAnsi="Times New Roman" w:cs="Times New Roman"/>
          <w:color w:val="000000"/>
          <w:sz w:val="24"/>
          <w:szCs w:val="24"/>
        </w:rPr>
        <w:t xml:space="preserve">and </w:t>
      </w:r>
      <w:r w:rsidRPr="0032506F">
        <w:rPr>
          <w:rFonts w:ascii="Times New Roman" w:eastAsia="Calibri" w:hAnsi="Times New Roman" w:cs="Times New Roman"/>
          <w:color w:val="000000"/>
          <w:sz w:val="24"/>
          <w:szCs w:val="24"/>
        </w:rPr>
        <w:t>student retention</w:t>
      </w:r>
      <w:r w:rsidR="00BE00A6" w:rsidRPr="0032506F">
        <w:rPr>
          <w:rFonts w:ascii="Times New Roman" w:eastAsia="Calibri" w:hAnsi="Times New Roman" w:cs="Times New Roman"/>
          <w:color w:val="000000"/>
          <w:sz w:val="24"/>
          <w:szCs w:val="24"/>
        </w:rPr>
        <w:t xml:space="preserve"> (Vayre &amp; Vonthron, 2017). </w:t>
      </w:r>
    </w:p>
    <w:p w14:paraId="27818DBF" w14:textId="241D975A" w:rsidR="00155D6A" w:rsidRPr="0032506F" w:rsidRDefault="0050632B"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H</w:t>
      </w:r>
      <w:r w:rsidR="00155D6A" w:rsidRPr="0032506F">
        <w:rPr>
          <w:rFonts w:ascii="Times New Roman" w:eastAsia="Calibri" w:hAnsi="Times New Roman" w:cs="Times New Roman"/>
          <w:color w:val="000000"/>
          <w:sz w:val="24"/>
          <w:szCs w:val="24"/>
        </w:rPr>
        <w:t xml:space="preserve">igher attrition rates in online programs  compared to their traditional face-to-face counterparts in higher education </w:t>
      </w:r>
      <w:r w:rsidR="00394AE4" w:rsidRPr="0032506F">
        <w:rPr>
          <w:rFonts w:ascii="Times New Roman" w:eastAsia="Calibri" w:hAnsi="Times New Roman" w:cs="Times New Roman"/>
          <w:color w:val="000000"/>
          <w:sz w:val="24"/>
          <w:szCs w:val="24"/>
        </w:rPr>
        <w:t xml:space="preserve">connect </w:t>
      </w:r>
      <w:r w:rsidR="00155D6A" w:rsidRPr="0032506F">
        <w:rPr>
          <w:rFonts w:ascii="Times New Roman" w:eastAsia="Calibri" w:hAnsi="Times New Roman" w:cs="Times New Roman"/>
          <w:color w:val="000000"/>
          <w:sz w:val="24"/>
          <w:szCs w:val="24"/>
        </w:rPr>
        <w:t xml:space="preserve">online student engagement with the significant issue of student retention (Boston &amp; Ice, 2011; Hoi &amp; Le Hang, 2021; Meyer, 2014). </w:t>
      </w:r>
      <w:r w:rsidR="00ED1517" w:rsidRPr="0032506F">
        <w:rPr>
          <w:rFonts w:ascii="Times New Roman" w:eastAsia="Calibri" w:hAnsi="Times New Roman" w:cs="Times New Roman"/>
          <w:color w:val="000000"/>
          <w:sz w:val="24"/>
          <w:szCs w:val="24"/>
        </w:rPr>
        <w:t>With</w:t>
      </w:r>
      <w:r w:rsidR="00155D6A" w:rsidRPr="0032506F">
        <w:rPr>
          <w:rFonts w:ascii="Times New Roman" w:eastAsia="Calibri" w:hAnsi="Times New Roman" w:cs="Times New Roman"/>
          <w:color w:val="000000"/>
          <w:sz w:val="24"/>
          <w:szCs w:val="24"/>
        </w:rPr>
        <w:t xml:space="preserve"> fewer opportunities to interact with the course instructor and peers and lack of physical and social contact and cues, student engagement is considered much more critical to student retention and student success in online courses compared to face-to-face courses (Bigatel &amp; Williams, 2015; </w:t>
      </w:r>
      <w:r w:rsidR="00155D6A" w:rsidRPr="0032506F">
        <w:rPr>
          <w:rFonts w:ascii="Times New Roman" w:eastAsia="Calibri" w:hAnsi="Times New Roman" w:cs="Times New Roman"/>
          <w:color w:val="000000"/>
          <w:sz w:val="24"/>
          <w:szCs w:val="24"/>
        </w:rPr>
        <w:lastRenderedPageBreak/>
        <w:t xml:space="preserve">Meyer, 2014). </w:t>
      </w:r>
      <w:r w:rsidR="00090CD6" w:rsidRPr="0032506F">
        <w:rPr>
          <w:rFonts w:ascii="Times New Roman" w:eastAsia="Calibri" w:hAnsi="Times New Roman" w:cs="Times New Roman"/>
          <w:color w:val="000000"/>
          <w:sz w:val="24"/>
          <w:szCs w:val="24"/>
        </w:rPr>
        <w:t>This is particularly so for</w:t>
      </w:r>
      <w:r w:rsidR="00155D6A" w:rsidRPr="0032506F">
        <w:rPr>
          <w:rFonts w:ascii="Times New Roman" w:eastAsia="Calibri" w:hAnsi="Times New Roman" w:cs="Times New Roman"/>
          <w:color w:val="000000"/>
          <w:sz w:val="24"/>
          <w:szCs w:val="24"/>
        </w:rPr>
        <w:t xml:space="preserve"> non-traditional or part-time students with various life commitments (e.g., parenting, full-time employment) who prefer online education due to its accessibility and flexibility (Meyer, 2014; Redmond et al., 2018; Stone et al., 2019). If those non-traditional online students can remain actively engaged and enrolled in their online courses and programs, they can successfully complete their higher education and get their college or more advanced degrees through online education (Bigatel &amp; Williams, 2015; Meyer, 2014; Stone et al, 2019). </w:t>
      </w:r>
    </w:p>
    <w:p w14:paraId="3027A231" w14:textId="1E442074"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In addition to non-traditional students, student engagement may be particularly important, if not vital, to underrepresented or marginalized student populations (e.g., underrepresented ethnic minorities) who may </w:t>
      </w:r>
      <w:r w:rsidR="00BE273E" w:rsidRPr="0032506F">
        <w:rPr>
          <w:rFonts w:ascii="Times New Roman" w:eastAsia="Calibri" w:hAnsi="Times New Roman" w:cs="Times New Roman"/>
          <w:color w:val="000000"/>
          <w:sz w:val="24"/>
          <w:szCs w:val="24"/>
        </w:rPr>
        <w:t>confront</w:t>
      </w:r>
      <w:r w:rsidRPr="0032506F">
        <w:rPr>
          <w:rFonts w:ascii="Times New Roman" w:eastAsia="Calibri" w:hAnsi="Times New Roman" w:cs="Times New Roman"/>
          <w:color w:val="000000"/>
          <w:sz w:val="24"/>
          <w:szCs w:val="24"/>
        </w:rPr>
        <w:t xml:space="preserve"> more serious challenges and obstacles (e.g., </w:t>
      </w:r>
      <w:r w:rsidR="003C0910" w:rsidRPr="0032506F">
        <w:rPr>
          <w:rFonts w:ascii="Times New Roman" w:eastAsia="Calibri" w:hAnsi="Times New Roman" w:cs="Times New Roman"/>
          <w:color w:val="000000"/>
          <w:sz w:val="24"/>
          <w:szCs w:val="24"/>
        </w:rPr>
        <w:t xml:space="preserve">systemic barriers, </w:t>
      </w:r>
      <w:r w:rsidRPr="0032506F">
        <w:rPr>
          <w:rFonts w:ascii="Times New Roman" w:eastAsia="Calibri" w:hAnsi="Times New Roman" w:cs="Times New Roman"/>
          <w:color w:val="000000"/>
          <w:sz w:val="24"/>
          <w:szCs w:val="24"/>
        </w:rPr>
        <w:t>microaggression, racial bias) to remaining actively engaged and enrolled in their online courses and completing their higher education programs successfully (Salvo et al., 2019). For example, African American male students are particularly considered to be among at-risk students in terms of attrition in online educatio</w:t>
      </w:r>
      <w:r w:rsidR="00A36170" w:rsidRPr="0032506F">
        <w:rPr>
          <w:rFonts w:ascii="Times New Roman" w:eastAsia="Calibri" w:hAnsi="Times New Roman" w:cs="Times New Roman"/>
          <w:color w:val="000000"/>
          <w:sz w:val="24"/>
          <w:szCs w:val="24"/>
        </w:rPr>
        <w:t>n, with</w:t>
      </w:r>
      <w:r w:rsidR="007F10C6"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lack of technology skills and technical support and accessibility problems in online courses</w:t>
      </w:r>
      <w:r w:rsidR="009661CC" w:rsidRPr="0032506F">
        <w:rPr>
          <w:rFonts w:ascii="Times New Roman" w:eastAsia="Calibri" w:hAnsi="Times New Roman" w:cs="Times New Roman"/>
          <w:color w:val="000000"/>
          <w:sz w:val="24"/>
          <w:szCs w:val="24"/>
        </w:rPr>
        <w:t xml:space="preserve"> cited as </w:t>
      </w:r>
      <w:r w:rsidRPr="0032506F">
        <w:rPr>
          <w:rFonts w:ascii="Times New Roman" w:eastAsia="Calibri" w:hAnsi="Times New Roman" w:cs="Times New Roman"/>
          <w:color w:val="000000"/>
          <w:sz w:val="24"/>
          <w:szCs w:val="24"/>
        </w:rPr>
        <w:t xml:space="preserve">some major reasons for </w:t>
      </w:r>
      <w:r w:rsidR="009661CC" w:rsidRPr="0032506F">
        <w:rPr>
          <w:rFonts w:ascii="Times New Roman" w:eastAsia="Calibri" w:hAnsi="Times New Roman" w:cs="Times New Roman"/>
          <w:color w:val="000000"/>
          <w:sz w:val="24"/>
          <w:szCs w:val="24"/>
        </w:rPr>
        <w:t>this</w:t>
      </w:r>
      <w:r w:rsidRPr="0032506F">
        <w:rPr>
          <w:rFonts w:ascii="Times New Roman" w:eastAsia="Calibri" w:hAnsi="Times New Roman" w:cs="Times New Roman"/>
          <w:color w:val="000000"/>
          <w:sz w:val="24"/>
          <w:szCs w:val="24"/>
        </w:rPr>
        <w:t xml:space="preserve"> (Salvo et al., 2019)</w:t>
      </w:r>
      <w:r w:rsidR="00E35BA8"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w:t>
      </w:r>
      <w:proofErr w:type="gramStart"/>
      <w:r w:rsidR="0027212D" w:rsidRPr="0032506F">
        <w:rPr>
          <w:rFonts w:ascii="Times New Roman" w:eastAsia="Calibri" w:hAnsi="Times New Roman" w:cs="Times New Roman"/>
          <w:color w:val="000000"/>
          <w:sz w:val="24"/>
          <w:szCs w:val="24"/>
        </w:rPr>
        <w:t>In light of</w:t>
      </w:r>
      <w:proofErr w:type="gramEnd"/>
      <w:r w:rsidR="0027212D" w:rsidRPr="0032506F">
        <w:rPr>
          <w:rFonts w:ascii="Times New Roman" w:eastAsia="Calibri" w:hAnsi="Times New Roman" w:cs="Times New Roman"/>
          <w:color w:val="000000"/>
          <w:sz w:val="24"/>
          <w:szCs w:val="24"/>
        </w:rPr>
        <w:t xml:space="preserve"> </w:t>
      </w:r>
      <w:r w:rsidR="00716683" w:rsidRPr="0032506F">
        <w:rPr>
          <w:rFonts w:ascii="Times New Roman" w:eastAsia="Calibri" w:hAnsi="Times New Roman" w:cs="Times New Roman"/>
          <w:color w:val="000000"/>
          <w:sz w:val="24"/>
          <w:szCs w:val="24"/>
        </w:rPr>
        <w:t>Chen et al.’s (2010)</w:t>
      </w:r>
      <w:r w:rsidRPr="0032506F">
        <w:rPr>
          <w:rFonts w:ascii="Times New Roman" w:eastAsia="Calibri" w:hAnsi="Times New Roman" w:cs="Times New Roman"/>
          <w:color w:val="000000"/>
          <w:sz w:val="24"/>
          <w:szCs w:val="24"/>
        </w:rPr>
        <w:t xml:space="preserve"> research indicating marginalized or underrepresented student populations are more likely to prefer online courses, keeping </w:t>
      </w:r>
      <w:r w:rsidR="00CF52D6" w:rsidRPr="0032506F">
        <w:rPr>
          <w:rFonts w:ascii="Times New Roman" w:eastAsia="Calibri" w:hAnsi="Times New Roman" w:cs="Times New Roman"/>
          <w:color w:val="000000"/>
          <w:sz w:val="24"/>
          <w:szCs w:val="24"/>
        </w:rPr>
        <w:t xml:space="preserve">students </w:t>
      </w:r>
      <w:r w:rsidRPr="0032506F">
        <w:rPr>
          <w:rFonts w:ascii="Times New Roman" w:eastAsia="Calibri" w:hAnsi="Times New Roman" w:cs="Times New Roman"/>
          <w:color w:val="000000"/>
          <w:sz w:val="24"/>
          <w:szCs w:val="24"/>
        </w:rPr>
        <w:t xml:space="preserve">engaged in their online courses and enrolled in their programs is </w:t>
      </w:r>
      <w:r w:rsidR="001D462E" w:rsidRPr="0032506F">
        <w:rPr>
          <w:rFonts w:ascii="Times New Roman" w:eastAsia="Calibri" w:hAnsi="Times New Roman" w:cs="Times New Roman"/>
          <w:color w:val="000000"/>
          <w:sz w:val="24"/>
          <w:szCs w:val="24"/>
        </w:rPr>
        <w:t>particularly important</w:t>
      </w:r>
      <w:r w:rsidR="00C17C94" w:rsidRPr="0032506F">
        <w:rPr>
          <w:rFonts w:ascii="Times New Roman" w:eastAsia="Calibri" w:hAnsi="Times New Roman" w:cs="Times New Roman"/>
          <w:color w:val="000000"/>
          <w:sz w:val="24"/>
          <w:szCs w:val="24"/>
        </w:rPr>
        <w:t xml:space="preserve"> so that they can successfully complete </w:t>
      </w:r>
      <w:r w:rsidRPr="0032506F">
        <w:rPr>
          <w:rFonts w:ascii="Times New Roman" w:eastAsia="Calibri" w:hAnsi="Times New Roman" w:cs="Times New Roman"/>
          <w:color w:val="000000"/>
          <w:sz w:val="24"/>
          <w:szCs w:val="24"/>
        </w:rPr>
        <w:t xml:space="preserve">online courses and programs in higher education.   </w:t>
      </w:r>
    </w:p>
    <w:p w14:paraId="7B86086A" w14:textId="77777777" w:rsidR="00155D6A" w:rsidRPr="0032506F" w:rsidRDefault="00155D6A" w:rsidP="00155D6A">
      <w:pPr>
        <w:pStyle w:val="Heading3"/>
      </w:pPr>
      <w:bookmarkStart w:id="13" w:name="_Toc102489427"/>
      <w:r w:rsidRPr="0032506F">
        <w:t>Student Engagement and Quality of Online Education</w:t>
      </w:r>
      <w:bookmarkEnd w:id="13"/>
    </w:p>
    <w:p w14:paraId="5FFDC9CF" w14:textId="71CEAE77"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With the ever-increasing demand for and popularity of online higher education, quality issues associated with online learning experiences and online teaching practices emerge because online learning has unique requirements and characteristics different from traditional education </w:t>
      </w:r>
      <w:r w:rsidRPr="0032506F">
        <w:rPr>
          <w:rFonts w:ascii="Times New Roman" w:eastAsia="Calibri" w:hAnsi="Times New Roman" w:cs="Times New Roman"/>
          <w:color w:val="000000"/>
          <w:sz w:val="24"/>
          <w:szCs w:val="24"/>
        </w:rPr>
        <w:lastRenderedPageBreak/>
        <w:t>(Dixson, 2010; Kozan &amp; Richardson, 2014; Kucuk &amp; Richardson, 2019; Redmond et al., 2018). Higher education institutions have been offering more and more online courses, programs, and degrees (Caskurlu et al., 2021) and they are exp</w:t>
      </w:r>
      <w:r w:rsidR="00C44B3D" w:rsidRPr="0032506F">
        <w:rPr>
          <w:rFonts w:ascii="Times New Roman" w:eastAsia="Calibri" w:hAnsi="Times New Roman" w:cs="Times New Roman"/>
          <w:color w:val="000000"/>
          <w:sz w:val="24"/>
          <w:szCs w:val="24"/>
        </w:rPr>
        <w:t>a</w:t>
      </w:r>
      <w:r w:rsidRPr="0032506F">
        <w:rPr>
          <w:rFonts w:ascii="Times New Roman" w:eastAsia="Calibri" w:hAnsi="Times New Roman" w:cs="Times New Roman"/>
          <w:color w:val="000000"/>
          <w:sz w:val="24"/>
          <w:szCs w:val="24"/>
        </w:rPr>
        <w:t xml:space="preserve">nding their efforts to assure the quality of their online courses and programs, viewing online education as a significant component of their long-term strategies in this rapidly growing and highly competitive sector of higher education (Kozan &amp; Richardson, 2014; Kucuk &amp; Richardson, 2019). </w:t>
      </w:r>
    </w:p>
    <w:p w14:paraId="2633FB6B" w14:textId="180B11B4"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Keeping online students actively involved, on task, and engaged with their online learning experiences (e.g., interactions with peers) is one of the significant factors that influence the quality of online education and online student success (Dixson, 2015; Kucuk &amp; Richardson, 2019; Revere &amp; Kovach, 2011). In other words, student engagement is seen as </w:t>
      </w:r>
      <w:r w:rsidR="00941959" w:rsidRPr="0032506F">
        <w:rPr>
          <w:rFonts w:ascii="Times New Roman" w:eastAsia="Calibri" w:hAnsi="Times New Roman" w:cs="Times New Roman"/>
          <w:color w:val="000000"/>
          <w:sz w:val="24"/>
          <w:szCs w:val="24"/>
        </w:rPr>
        <w:t xml:space="preserve">one of the important factors influencing </w:t>
      </w:r>
      <w:r w:rsidRPr="0032506F">
        <w:rPr>
          <w:rFonts w:ascii="Times New Roman" w:eastAsia="Calibri" w:hAnsi="Times New Roman" w:cs="Times New Roman"/>
          <w:color w:val="000000"/>
          <w:sz w:val="24"/>
          <w:szCs w:val="24"/>
        </w:rPr>
        <w:t>students’ online learning experiences (Robinson &amp; Hullinger, 2008). Similarly, engagement in learning is often regarded as one of the most important standards of quality of overall university education (Coates, 2005; Redmond et al., 2018). As such, accurately measuring and thoroughly understanding the extent to which online students are behaviorally, emotionally, and cognitively engaged in their learning process is of paramount importance</w:t>
      </w:r>
      <w:r w:rsidR="00F72E25" w:rsidRPr="0032506F">
        <w:rPr>
          <w:rFonts w:ascii="Times New Roman" w:eastAsia="Calibri" w:hAnsi="Times New Roman" w:cs="Times New Roman"/>
          <w:color w:val="000000"/>
          <w:sz w:val="24"/>
          <w:szCs w:val="24"/>
        </w:rPr>
        <w:t xml:space="preserve"> </w:t>
      </w:r>
      <w:r w:rsidR="00064B86" w:rsidRPr="0032506F">
        <w:rPr>
          <w:rFonts w:ascii="Times New Roman" w:eastAsia="Calibri" w:hAnsi="Times New Roman" w:cs="Times New Roman"/>
          <w:color w:val="000000"/>
          <w:sz w:val="24"/>
          <w:szCs w:val="24"/>
        </w:rPr>
        <w:t xml:space="preserve">not only </w:t>
      </w:r>
      <w:r w:rsidRPr="0032506F">
        <w:rPr>
          <w:rFonts w:ascii="Times New Roman" w:eastAsia="Calibri" w:hAnsi="Times New Roman" w:cs="Times New Roman"/>
          <w:color w:val="000000"/>
          <w:sz w:val="24"/>
          <w:szCs w:val="24"/>
        </w:rPr>
        <w:t>to online learning researchers but also</w:t>
      </w:r>
      <w:r w:rsidR="00F72E25" w:rsidRPr="0032506F">
        <w:rPr>
          <w:rFonts w:ascii="Times New Roman" w:eastAsia="Calibri" w:hAnsi="Times New Roman" w:cs="Times New Roman"/>
          <w:color w:val="000000"/>
          <w:sz w:val="24"/>
          <w:szCs w:val="24"/>
        </w:rPr>
        <w:t xml:space="preserve"> to</w:t>
      </w:r>
      <w:r w:rsidRPr="0032506F">
        <w:rPr>
          <w:rFonts w:ascii="Times New Roman" w:eastAsia="Calibri" w:hAnsi="Times New Roman" w:cs="Times New Roman"/>
          <w:color w:val="000000"/>
          <w:sz w:val="24"/>
          <w:szCs w:val="24"/>
        </w:rPr>
        <w:t xml:space="preserve"> online educators, instructional designers, and higher education institutions because results of engagement assessments can be used as empirical evidence to make informed decisions regarding the quality of online education (Dixson, 2015; Meyer, 2014). Accordingly, the stakeholders of online education can design and implement evidence-based interventions to improve student engagement as a pliable state sensitive to contextual variations and changes (</w:t>
      </w:r>
      <w:r w:rsidRPr="0032506F">
        <w:rPr>
          <w:rFonts w:ascii="Times New Roman" w:eastAsia="Calibri" w:hAnsi="Times New Roman" w:cs="Times New Roman"/>
          <w:bCs/>
          <w:color w:val="000000"/>
          <w:sz w:val="24"/>
          <w:szCs w:val="24"/>
        </w:rPr>
        <w:t xml:space="preserve">Fredricks, Wang et al., </w:t>
      </w:r>
      <w:r w:rsidRPr="0032506F">
        <w:rPr>
          <w:rFonts w:ascii="Times New Roman" w:eastAsia="Calibri" w:hAnsi="Times New Roman" w:cs="Times New Roman"/>
          <w:color w:val="000000"/>
          <w:sz w:val="24"/>
          <w:szCs w:val="24"/>
        </w:rPr>
        <w:t xml:space="preserve">2016; Manwaring et al., 2017), to increase the quality of learning experiences, and to enhance the retention rate, which in turn leads to successful online student graduations (Meyer, 2014). Further, accurate and useful </w:t>
      </w:r>
      <w:r w:rsidRPr="0032506F">
        <w:rPr>
          <w:rFonts w:ascii="Times New Roman" w:eastAsia="Calibri" w:hAnsi="Times New Roman" w:cs="Times New Roman"/>
          <w:color w:val="000000"/>
          <w:sz w:val="24"/>
          <w:szCs w:val="24"/>
        </w:rPr>
        <w:lastRenderedPageBreak/>
        <w:t xml:space="preserve">assessments are much needed by all stakeholders in higher education, both traditional and online, to ensure accountability and to demonstrate empirical evidence of the effectiveness of courses and programs (Robinson &amp; Hullinger, 2008; Sriram, 2014). </w:t>
      </w:r>
    </w:p>
    <w:p w14:paraId="3340FCF5" w14:textId="77777777" w:rsidR="00155D6A" w:rsidRPr="0032506F" w:rsidRDefault="00155D6A" w:rsidP="00155D6A">
      <w:pPr>
        <w:pStyle w:val="Heading2"/>
      </w:pPr>
      <w:bookmarkStart w:id="14" w:name="_Toc102489428"/>
      <w:r w:rsidRPr="0032506F">
        <w:t>Problem Statement</w:t>
      </w:r>
      <w:bookmarkEnd w:id="14"/>
    </w:p>
    <w:p w14:paraId="5F35089C" w14:textId="6552D245" w:rsidR="00155D6A" w:rsidRPr="0032506F" w:rsidRDefault="00155D6A" w:rsidP="00155D6A">
      <w:pPr>
        <w:spacing w:after="0" w:line="480" w:lineRule="auto"/>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color w:val="000000"/>
          <w:sz w:val="24"/>
          <w:szCs w:val="24"/>
        </w:rPr>
        <w:tab/>
        <w:t xml:space="preserve">Although student engagement is </w:t>
      </w:r>
      <w:r w:rsidR="00FB2038" w:rsidRPr="0032506F">
        <w:rPr>
          <w:rFonts w:ascii="Times New Roman" w:eastAsia="Times New Roman" w:hAnsi="Times New Roman" w:cs="Times New Roman"/>
          <w:color w:val="000000"/>
          <w:sz w:val="24"/>
          <w:szCs w:val="24"/>
        </w:rPr>
        <w:t>a key factor</w:t>
      </w:r>
      <w:r w:rsidRPr="0032506F">
        <w:rPr>
          <w:rFonts w:ascii="Times New Roman" w:eastAsia="Times New Roman" w:hAnsi="Times New Roman" w:cs="Times New Roman"/>
          <w:color w:val="000000"/>
          <w:sz w:val="24"/>
          <w:szCs w:val="24"/>
        </w:rPr>
        <w:t xml:space="preserve"> </w:t>
      </w:r>
      <w:r w:rsidR="007E28FC" w:rsidRPr="0032506F">
        <w:rPr>
          <w:rFonts w:ascii="Times New Roman" w:eastAsia="Times New Roman" w:hAnsi="Times New Roman" w:cs="Times New Roman"/>
          <w:color w:val="000000"/>
          <w:sz w:val="24"/>
          <w:szCs w:val="24"/>
        </w:rPr>
        <w:t xml:space="preserve">in </w:t>
      </w:r>
      <w:r w:rsidRPr="0032506F">
        <w:rPr>
          <w:rFonts w:ascii="Times New Roman" w:eastAsia="Times New Roman" w:hAnsi="Times New Roman" w:cs="Times New Roman"/>
          <w:color w:val="000000"/>
          <w:sz w:val="24"/>
          <w:szCs w:val="24"/>
        </w:rPr>
        <w:t xml:space="preserve">online learning </w:t>
      </w:r>
      <w:r w:rsidR="008001A6" w:rsidRPr="0032506F">
        <w:rPr>
          <w:rFonts w:ascii="Times New Roman" w:eastAsia="Times New Roman" w:hAnsi="Times New Roman" w:cs="Times New Roman"/>
          <w:color w:val="000000"/>
          <w:sz w:val="24"/>
          <w:szCs w:val="24"/>
        </w:rPr>
        <w:t>and</w:t>
      </w:r>
      <w:r w:rsidRPr="0032506F">
        <w:rPr>
          <w:rFonts w:ascii="Times New Roman" w:eastAsia="Times New Roman" w:hAnsi="Times New Roman" w:cs="Times New Roman"/>
          <w:color w:val="000000"/>
          <w:sz w:val="24"/>
          <w:szCs w:val="24"/>
        </w:rPr>
        <w:t xml:space="preserve"> is associated with a variety of positive student outcomes</w:t>
      </w:r>
      <w:r w:rsidR="00B11A0B" w:rsidRPr="0032506F">
        <w:rPr>
          <w:rFonts w:ascii="Times New Roman" w:eastAsia="Times New Roman" w:hAnsi="Times New Roman" w:cs="Times New Roman"/>
          <w:color w:val="000000"/>
          <w:sz w:val="24"/>
          <w:szCs w:val="24"/>
        </w:rPr>
        <w:t xml:space="preserve"> including student satisfaction and academic performance </w:t>
      </w:r>
      <w:r w:rsidRPr="0032506F">
        <w:rPr>
          <w:rFonts w:ascii="Times New Roman" w:eastAsia="Times New Roman" w:hAnsi="Times New Roman" w:cs="Times New Roman"/>
          <w:color w:val="000000"/>
          <w:sz w:val="24"/>
          <w:szCs w:val="24"/>
        </w:rPr>
        <w:t>(Bolliger &amp; Martin, 2018; Dixson, 2015;</w:t>
      </w:r>
      <w:r w:rsidR="00B11A0B" w:rsidRPr="0032506F">
        <w:rPr>
          <w:rFonts w:ascii="Times New Roman" w:eastAsia="Times New Roman" w:hAnsi="Times New Roman" w:cs="Times New Roman"/>
          <w:color w:val="000000"/>
          <w:sz w:val="24"/>
          <w:szCs w:val="24"/>
        </w:rPr>
        <w:t xml:space="preserve"> </w:t>
      </w:r>
      <w:r w:rsidRPr="0032506F">
        <w:rPr>
          <w:rFonts w:ascii="Times New Roman" w:eastAsia="Times New Roman" w:hAnsi="Times New Roman" w:cs="Times New Roman"/>
          <w:color w:val="000000"/>
          <w:sz w:val="24"/>
          <w:szCs w:val="24"/>
        </w:rPr>
        <w:t>Kucuk &amp; Richardson, 2019</w:t>
      </w:r>
      <w:r w:rsidR="00B11A0B" w:rsidRPr="0032506F">
        <w:rPr>
          <w:rFonts w:ascii="Times New Roman" w:eastAsia="Times New Roman" w:hAnsi="Times New Roman" w:cs="Times New Roman"/>
          <w:color w:val="000000"/>
          <w:sz w:val="24"/>
          <w:szCs w:val="24"/>
        </w:rPr>
        <w:t>)</w:t>
      </w:r>
      <w:r w:rsidRPr="0032506F">
        <w:rPr>
          <w:rFonts w:ascii="Times New Roman" w:eastAsia="Times New Roman" w:hAnsi="Times New Roman" w:cs="Times New Roman"/>
          <w:color w:val="000000"/>
          <w:sz w:val="24"/>
          <w:szCs w:val="24"/>
        </w:rPr>
        <w:t xml:space="preserve">, research specifically examining student engagement in online learning environments is still new and therefore quite limited (Dixson, 2015; Kucuk &amp; Richardson, 2019; </w:t>
      </w:r>
      <w:r w:rsidRPr="0032506F">
        <w:rPr>
          <w:rFonts w:ascii="Times New Roman" w:eastAsia="Times New Roman" w:hAnsi="Times New Roman" w:cs="Times New Roman"/>
          <w:bCs/>
          <w:color w:val="000000"/>
          <w:sz w:val="24"/>
          <w:szCs w:val="24"/>
        </w:rPr>
        <w:t xml:space="preserve">Paulsen &amp; McCormick, 2020; Vayre &amp; Vonthron, 2017). Researchers have extensively studied this elusive and complex construct in traditional classrooms, using different conceptualizations and measures with mostly multidimensional operationalizations of the construct (Appleton et al., 2008; Deng et al., 2020; Fredricks &amp; McColskey, 2012; Hoi &amp; Le Hang, 2021; Kuh, 2003, 2009, 2016). One of the most </w:t>
      </w:r>
      <w:r w:rsidR="00231CE1" w:rsidRPr="0032506F">
        <w:rPr>
          <w:rFonts w:ascii="Times New Roman" w:eastAsia="Times New Roman" w:hAnsi="Times New Roman" w:cs="Times New Roman"/>
          <w:bCs/>
          <w:color w:val="000000"/>
          <w:sz w:val="24"/>
          <w:szCs w:val="24"/>
        </w:rPr>
        <w:t>common</w:t>
      </w:r>
      <w:r w:rsidRPr="0032506F">
        <w:rPr>
          <w:rFonts w:ascii="Times New Roman" w:eastAsia="Times New Roman" w:hAnsi="Times New Roman" w:cs="Times New Roman"/>
          <w:bCs/>
          <w:color w:val="000000"/>
          <w:sz w:val="24"/>
          <w:szCs w:val="24"/>
        </w:rPr>
        <w:t xml:space="preserve"> conceptualizations and operationalizations used by engagement researchers is Fredricks et al.’s (2004) tripartite conceptualization as behavioral engagement (i.e., involvement and participation in learning tasks and activities), emotional engagement (i.e., </w:t>
      </w:r>
      <w:proofErr w:type="gramStart"/>
      <w:r w:rsidRPr="0032506F">
        <w:rPr>
          <w:rFonts w:ascii="Times New Roman" w:eastAsia="Times New Roman" w:hAnsi="Times New Roman" w:cs="Times New Roman"/>
          <w:bCs/>
          <w:color w:val="000000"/>
          <w:sz w:val="24"/>
          <w:szCs w:val="24"/>
        </w:rPr>
        <w:t>positive</w:t>
      </w:r>
      <w:proofErr w:type="gramEnd"/>
      <w:r w:rsidRPr="0032506F">
        <w:rPr>
          <w:rFonts w:ascii="Times New Roman" w:eastAsia="Times New Roman" w:hAnsi="Times New Roman" w:cs="Times New Roman"/>
          <w:bCs/>
          <w:color w:val="000000"/>
          <w:sz w:val="24"/>
          <w:szCs w:val="24"/>
        </w:rPr>
        <w:t xml:space="preserve"> and negative reactions to learning experiences), and cognitive engagement (i.e., use of cognitive and metacognitive strategies and psychological investment in learning) (Henrie et al., 2015). </w:t>
      </w:r>
      <w:r w:rsidR="003250D7" w:rsidRPr="0032506F">
        <w:rPr>
          <w:rFonts w:ascii="Times New Roman" w:eastAsia="Times New Roman" w:hAnsi="Times New Roman" w:cs="Times New Roman"/>
          <w:bCs/>
          <w:color w:val="000000"/>
          <w:sz w:val="24"/>
          <w:szCs w:val="24"/>
        </w:rPr>
        <w:t>In considering this multidimensional construct in online learning environments,</w:t>
      </w:r>
      <w:r w:rsidR="00C774A2" w:rsidRPr="0032506F">
        <w:rPr>
          <w:rFonts w:ascii="Times New Roman" w:eastAsia="Times New Roman" w:hAnsi="Times New Roman" w:cs="Times New Roman"/>
          <w:bCs/>
          <w:color w:val="000000"/>
          <w:sz w:val="24"/>
          <w:szCs w:val="24"/>
        </w:rPr>
        <w:t xml:space="preserve"> </w:t>
      </w:r>
      <w:r w:rsidR="00876585" w:rsidRPr="0032506F">
        <w:rPr>
          <w:rFonts w:ascii="Times New Roman" w:eastAsia="Times New Roman" w:hAnsi="Times New Roman" w:cs="Times New Roman"/>
          <w:bCs/>
          <w:color w:val="000000"/>
          <w:sz w:val="24"/>
          <w:szCs w:val="24"/>
        </w:rPr>
        <w:t>three issues warrant</w:t>
      </w:r>
      <w:r w:rsidR="002E2CC6" w:rsidRPr="0032506F">
        <w:rPr>
          <w:rFonts w:ascii="Times New Roman" w:eastAsia="Times New Roman" w:hAnsi="Times New Roman" w:cs="Times New Roman"/>
          <w:bCs/>
          <w:color w:val="000000"/>
          <w:sz w:val="24"/>
          <w:szCs w:val="24"/>
        </w:rPr>
        <w:t>ing</w:t>
      </w:r>
      <w:r w:rsidR="00876585" w:rsidRPr="0032506F">
        <w:rPr>
          <w:rFonts w:ascii="Times New Roman" w:eastAsia="Times New Roman" w:hAnsi="Times New Roman" w:cs="Times New Roman"/>
          <w:bCs/>
          <w:color w:val="000000"/>
          <w:sz w:val="24"/>
          <w:szCs w:val="24"/>
        </w:rPr>
        <w:t xml:space="preserve"> </w:t>
      </w:r>
      <w:r w:rsidR="00C42907" w:rsidRPr="0032506F">
        <w:rPr>
          <w:rFonts w:ascii="Times New Roman" w:eastAsia="Times New Roman" w:hAnsi="Times New Roman" w:cs="Times New Roman"/>
          <w:bCs/>
          <w:color w:val="000000"/>
          <w:sz w:val="24"/>
          <w:szCs w:val="24"/>
        </w:rPr>
        <w:t>empirical examination</w:t>
      </w:r>
      <w:r w:rsidR="002E2CC6" w:rsidRPr="0032506F">
        <w:rPr>
          <w:rFonts w:ascii="Times New Roman" w:eastAsia="Times New Roman" w:hAnsi="Times New Roman" w:cs="Times New Roman"/>
          <w:bCs/>
          <w:color w:val="000000"/>
          <w:sz w:val="24"/>
          <w:szCs w:val="24"/>
        </w:rPr>
        <w:t xml:space="preserve"> have been identified</w:t>
      </w:r>
      <w:r w:rsidR="00C42907" w:rsidRPr="0032506F">
        <w:rPr>
          <w:rFonts w:ascii="Times New Roman" w:eastAsia="Times New Roman" w:hAnsi="Times New Roman" w:cs="Times New Roman"/>
          <w:bCs/>
          <w:color w:val="000000"/>
          <w:sz w:val="24"/>
          <w:szCs w:val="24"/>
        </w:rPr>
        <w:t xml:space="preserve">. </w:t>
      </w:r>
    </w:p>
    <w:p w14:paraId="6639FB2C" w14:textId="19BB2D10" w:rsidR="00F3741D"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The first major issue is that there is no</w:t>
      </w:r>
      <w:r w:rsidR="00D51165" w:rsidRPr="0032506F">
        <w:rPr>
          <w:rFonts w:ascii="Times New Roman" w:eastAsia="Times New Roman" w:hAnsi="Times New Roman" w:cs="Times New Roman"/>
          <w:bCs/>
          <w:color w:val="000000"/>
          <w:sz w:val="24"/>
          <w:szCs w:val="24"/>
        </w:rPr>
        <w:t>t</w:t>
      </w:r>
      <w:r w:rsidRPr="0032506F">
        <w:rPr>
          <w:rFonts w:ascii="Times New Roman" w:eastAsia="Times New Roman" w:hAnsi="Times New Roman" w:cs="Times New Roman"/>
          <w:bCs/>
          <w:color w:val="000000"/>
          <w:sz w:val="24"/>
          <w:szCs w:val="24"/>
        </w:rPr>
        <w:t xml:space="preserve"> sufficient empirical work and systematic scale development and validation evidence showing whether and how Fredricks et al.’s (2004) three-dimensional </w:t>
      </w:r>
      <w:r w:rsidR="00395CB6" w:rsidRPr="0032506F">
        <w:rPr>
          <w:rFonts w:ascii="Times New Roman" w:eastAsia="Times New Roman" w:hAnsi="Times New Roman" w:cs="Times New Roman"/>
          <w:bCs/>
          <w:color w:val="000000"/>
          <w:sz w:val="24"/>
          <w:szCs w:val="24"/>
        </w:rPr>
        <w:t>conception</w:t>
      </w:r>
      <w:r w:rsidRPr="0032506F">
        <w:rPr>
          <w:rFonts w:ascii="Times New Roman" w:eastAsia="Times New Roman" w:hAnsi="Times New Roman" w:cs="Times New Roman"/>
          <w:bCs/>
          <w:color w:val="000000"/>
          <w:sz w:val="24"/>
          <w:szCs w:val="24"/>
        </w:rPr>
        <w:t xml:space="preserve"> of student engagement </w:t>
      </w:r>
      <w:r w:rsidR="00D62922" w:rsidRPr="0032506F">
        <w:rPr>
          <w:rFonts w:ascii="Times New Roman" w:eastAsia="Times New Roman" w:hAnsi="Times New Roman" w:cs="Times New Roman"/>
          <w:bCs/>
          <w:color w:val="000000"/>
          <w:sz w:val="24"/>
          <w:szCs w:val="24"/>
        </w:rPr>
        <w:t>applies</w:t>
      </w:r>
      <w:r w:rsidRPr="0032506F">
        <w:rPr>
          <w:rFonts w:ascii="Times New Roman" w:eastAsia="Times New Roman" w:hAnsi="Times New Roman" w:cs="Times New Roman"/>
          <w:bCs/>
          <w:color w:val="000000"/>
          <w:sz w:val="24"/>
          <w:szCs w:val="24"/>
        </w:rPr>
        <w:t xml:space="preserve"> to online learning </w:t>
      </w:r>
      <w:r w:rsidR="00907649" w:rsidRPr="0032506F">
        <w:rPr>
          <w:rFonts w:ascii="Times New Roman" w:eastAsia="Times New Roman" w:hAnsi="Times New Roman" w:cs="Times New Roman"/>
          <w:bCs/>
          <w:color w:val="000000"/>
          <w:sz w:val="24"/>
          <w:szCs w:val="24"/>
        </w:rPr>
        <w:t xml:space="preserve">to explain how student </w:t>
      </w:r>
      <w:r w:rsidR="00907649" w:rsidRPr="0032506F">
        <w:rPr>
          <w:rFonts w:ascii="Times New Roman" w:eastAsia="Times New Roman" w:hAnsi="Times New Roman" w:cs="Times New Roman"/>
          <w:bCs/>
          <w:color w:val="000000"/>
          <w:sz w:val="24"/>
          <w:szCs w:val="24"/>
        </w:rPr>
        <w:lastRenderedPageBreak/>
        <w:t xml:space="preserve">engagement works in </w:t>
      </w:r>
      <w:r w:rsidR="0001120C" w:rsidRPr="0032506F">
        <w:rPr>
          <w:rFonts w:ascii="Times New Roman" w:eastAsia="Times New Roman" w:hAnsi="Times New Roman" w:cs="Times New Roman"/>
          <w:bCs/>
          <w:color w:val="000000"/>
          <w:sz w:val="24"/>
          <w:szCs w:val="24"/>
        </w:rPr>
        <w:t>online learning environments</w:t>
      </w:r>
      <w:r w:rsidRPr="0032506F">
        <w:rPr>
          <w:rFonts w:ascii="Times New Roman" w:eastAsia="Times New Roman" w:hAnsi="Times New Roman" w:cs="Times New Roman"/>
          <w:bCs/>
          <w:color w:val="000000"/>
          <w:sz w:val="24"/>
          <w:szCs w:val="24"/>
        </w:rPr>
        <w:t>. Although</w:t>
      </w:r>
      <w:r w:rsidR="00BD7BB7"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extensively studied in traditional face-to-face learning environments (e.g., Fredricks et al., 2005; Fredricks &amp; McColskey, 2012; Reeve, 2013; Reeve &amp; Tseng, 2011), only a few studies have used this tripartite view of engagement to measure online student engagement, with multiple indicators of each sub-dimension being applied to online learning environments of higher education (e.g., Kucuk &amp; Richardson, 2019; Park &amp; Yun, 2018). The issue of limitation is that researchers who have measured these three dimensions of student engagement in online learning environments have attempted to create a scale for their specific research purposes without systematic scale development and validation work. For example, Sun and Rueda (2012) adapted certain items from Fredricks et al.’s (2005) validated engagement scale and aimed to measure three types of engagement of university students in an online learning context via a new scale. Although they did some exploratory factor analytic work, they provided no confirmatory evidence for the construct validity of their scale. Similarly, Park and Yun (2018) adapted items from Sun and Rueda’s (2012) measure to assess the three types of engagement of undergraduate and graduate students in the online learning context without doing any systematic instrument validation work to confirm the construct validity of their engagement scale. Most recently, Kucuk and Richardson (2019) modified Reeve’s (2013)</w:t>
      </w:r>
      <w:r w:rsidR="0014532A"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17-item engagement scale, which included the three dimensions of Fredricks et al.’s (2004) engagement as well as agentic engagement as a fourth dimension (see Reeve, 2013). They reported modifying the wording of each item to fit them to the online learning context and stated that they did not need to validate the scale again on the grounds that the meaning of the items remained the same (Kucuk &amp; Richardson, 2019). Although Reeve (2013) had provided reliability and validity evidence for the original scale, there was no validity evidence specifically for the online version of the scale used by Kucuk and </w:t>
      </w:r>
      <w:r w:rsidRPr="0032506F">
        <w:rPr>
          <w:rFonts w:ascii="Times New Roman" w:eastAsia="Times New Roman" w:hAnsi="Times New Roman" w:cs="Times New Roman"/>
          <w:bCs/>
          <w:color w:val="000000"/>
          <w:sz w:val="24"/>
          <w:szCs w:val="24"/>
        </w:rPr>
        <w:lastRenderedPageBreak/>
        <w:t>Richardson (2019)</w:t>
      </w:r>
      <w:r w:rsidR="00AD15E2" w:rsidRPr="0032506F">
        <w:rPr>
          <w:rFonts w:ascii="Times New Roman" w:eastAsia="Times New Roman" w:hAnsi="Times New Roman" w:cs="Times New Roman"/>
          <w:bCs/>
          <w:color w:val="000000"/>
          <w:sz w:val="24"/>
          <w:szCs w:val="24"/>
        </w:rPr>
        <w:t>,</w:t>
      </w:r>
      <w:r w:rsidRPr="0032506F">
        <w:rPr>
          <w:rFonts w:ascii="Times New Roman" w:eastAsia="Times New Roman" w:hAnsi="Times New Roman" w:cs="Times New Roman"/>
          <w:bCs/>
          <w:color w:val="000000"/>
          <w:sz w:val="24"/>
          <w:szCs w:val="24"/>
        </w:rPr>
        <w:t xml:space="preserve"> who reported no factorial or construct validity work special to their online student engagement measure.</w:t>
      </w:r>
      <w:r w:rsidR="00854640" w:rsidRPr="0032506F">
        <w:rPr>
          <w:rFonts w:ascii="Times New Roman" w:eastAsia="Times New Roman" w:hAnsi="Times New Roman" w:cs="Times New Roman"/>
          <w:bCs/>
          <w:color w:val="000000"/>
          <w:sz w:val="24"/>
          <w:szCs w:val="24"/>
        </w:rPr>
        <w:t xml:space="preserve"> Such</w:t>
      </w:r>
      <w:r w:rsidR="00001ACB" w:rsidRPr="0032506F">
        <w:rPr>
          <w:rFonts w:ascii="Times New Roman" w:eastAsia="Times New Roman" w:hAnsi="Times New Roman" w:cs="Times New Roman"/>
          <w:bCs/>
          <w:color w:val="000000"/>
          <w:sz w:val="24"/>
          <w:szCs w:val="24"/>
        </w:rPr>
        <w:t xml:space="preserve"> uses of modified or </w:t>
      </w:r>
      <w:r w:rsidR="0027587C" w:rsidRPr="0032506F">
        <w:rPr>
          <w:rFonts w:ascii="Times New Roman" w:eastAsia="Times New Roman" w:hAnsi="Times New Roman" w:cs="Times New Roman"/>
          <w:bCs/>
          <w:color w:val="000000"/>
          <w:sz w:val="24"/>
          <w:szCs w:val="24"/>
        </w:rPr>
        <w:t>ad hoc</w:t>
      </w:r>
      <w:r w:rsidR="00001ACB" w:rsidRPr="0032506F">
        <w:rPr>
          <w:rFonts w:ascii="Times New Roman" w:eastAsia="Times New Roman" w:hAnsi="Times New Roman" w:cs="Times New Roman"/>
          <w:bCs/>
          <w:color w:val="000000"/>
          <w:sz w:val="24"/>
          <w:szCs w:val="24"/>
        </w:rPr>
        <w:t xml:space="preserve"> scales</w:t>
      </w:r>
      <w:r w:rsidR="00F64B28" w:rsidRPr="0032506F">
        <w:rPr>
          <w:rFonts w:ascii="Times New Roman" w:eastAsia="Times New Roman" w:hAnsi="Times New Roman" w:cs="Times New Roman"/>
          <w:bCs/>
          <w:color w:val="000000"/>
          <w:sz w:val="24"/>
          <w:szCs w:val="24"/>
        </w:rPr>
        <w:t xml:space="preserve"> to measure</w:t>
      </w:r>
      <w:r w:rsidR="0027587C" w:rsidRPr="0032506F">
        <w:rPr>
          <w:rFonts w:ascii="Times New Roman" w:eastAsia="Times New Roman" w:hAnsi="Times New Roman" w:cs="Times New Roman"/>
          <w:bCs/>
          <w:color w:val="000000"/>
          <w:sz w:val="24"/>
          <w:szCs w:val="24"/>
        </w:rPr>
        <w:t xml:space="preserve"> online</w:t>
      </w:r>
      <w:r w:rsidR="00F64B28" w:rsidRPr="0032506F">
        <w:rPr>
          <w:rFonts w:ascii="Times New Roman" w:eastAsia="Times New Roman" w:hAnsi="Times New Roman" w:cs="Times New Roman"/>
          <w:bCs/>
          <w:color w:val="000000"/>
          <w:sz w:val="24"/>
          <w:szCs w:val="24"/>
        </w:rPr>
        <w:t xml:space="preserve"> engagement</w:t>
      </w:r>
      <w:r w:rsidR="00001ACB" w:rsidRPr="0032506F">
        <w:rPr>
          <w:rFonts w:ascii="Times New Roman" w:eastAsia="Times New Roman" w:hAnsi="Times New Roman" w:cs="Times New Roman"/>
          <w:bCs/>
          <w:color w:val="000000"/>
          <w:sz w:val="24"/>
          <w:szCs w:val="24"/>
        </w:rPr>
        <w:t xml:space="preserve"> are quite common in the existing</w:t>
      </w:r>
      <w:r w:rsidR="00F64B28" w:rsidRPr="0032506F">
        <w:rPr>
          <w:rFonts w:ascii="Times New Roman" w:eastAsia="Times New Roman" w:hAnsi="Times New Roman" w:cs="Times New Roman"/>
          <w:bCs/>
          <w:color w:val="000000"/>
          <w:sz w:val="24"/>
          <w:szCs w:val="24"/>
        </w:rPr>
        <w:t xml:space="preserve"> </w:t>
      </w:r>
      <w:r w:rsidR="00001ACB" w:rsidRPr="0032506F">
        <w:rPr>
          <w:rFonts w:ascii="Times New Roman" w:eastAsia="Times New Roman" w:hAnsi="Times New Roman" w:cs="Times New Roman"/>
          <w:bCs/>
          <w:color w:val="000000"/>
          <w:sz w:val="24"/>
          <w:szCs w:val="24"/>
        </w:rPr>
        <w:t>literature</w:t>
      </w:r>
      <w:r w:rsidR="0027587C" w:rsidRPr="0032506F">
        <w:rPr>
          <w:rFonts w:ascii="Times New Roman" w:eastAsia="Times New Roman" w:hAnsi="Times New Roman" w:cs="Times New Roman"/>
          <w:bCs/>
          <w:color w:val="000000"/>
          <w:sz w:val="24"/>
          <w:szCs w:val="24"/>
        </w:rPr>
        <w:t xml:space="preserve"> </w:t>
      </w:r>
      <w:r w:rsidR="006D4C62" w:rsidRPr="0032506F">
        <w:rPr>
          <w:rFonts w:ascii="Times New Roman" w:eastAsia="Times New Roman" w:hAnsi="Times New Roman" w:cs="Times New Roman"/>
          <w:bCs/>
          <w:color w:val="000000"/>
          <w:sz w:val="24"/>
          <w:szCs w:val="24"/>
        </w:rPr>
        <w:t>(e.g., Ferrer et al., 202</w:t>
      </w:r>
      <w:r w:rsidR="00EC394E" w:rsidRPr="0032506F">
        <w:rPr>
          <w:rFonts w:ascii="Times New Roman" w:eastAsia="Times New Roman" w:hAnsi="Times New Roman" w:cs="Times New Roman"/>
          <w:bCs/>
          <w:color w:val="000000"/>
          <w:sz w:val="24"/>
          <w:szCs w:val="24"/>
        </w:rPr>
        <w:t>0</w:t>
      </w:r>
      <w:r w:rsidR="006D4C62" w:rsidRPr="0032506F">
        <w:rPr>
          <w:rFonts w:ascii="Times New Roman" w:eastAsia="Times New Roman" w:hAnsi="Times New Roman" w:cs="Times New Roman"/>
          <w:bCs/>
          <w:color w:val="000000"/>
          <w:sz w:val="24"/>
          <w:szCs w:val="24"/>
        </w:rPr>
        <w:t xml:space="preserve">).  </w:t>
      </w:r>
    </w:p>
    <w:p w14:paraId="10983F10" w14:textId="45B5626B" w:rsidR="00155D6A"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Given that online education is different from traditional education in terms of the characteristics of online learning and online learners (Kucuk &amp; Richardson, 2019) and that engaging in online learning environments has its own challenges and complexities (Ferrer et al., 202</w:t>
      </w:r>
      <w:r w:rsidR="00EC394E" w:rsidRPr="0032506F">
        <w:rPr>
          <w:rFonts w:ascii="Times New Roman" w:eastAsia="Times New Roman" w:hAnsi="Times New Roman" w:cs="Times New Roman"/>
          <w:bCs/>
          <w:color w:val="000000"/>
          <w:sz w:val="24"/>
          <w:szCs w:val="24"/>
        </w:rPr>
        <w:t>0</w:t>
      </w:r>
      <w:r w:rsidRPr="0032506F">
        <w:rPr>
          <w:rFonts w:ascii="Times New Roman" w:eastAsia="Times New Roman" w:hAnsi="Times New Roman" w:cs="Times New Roman"/>
          <w:bCs/>
          <w:color w:val="000000"/>
          <w:sz w:val="24"/>
          <w:szCs w:val="24"/>
        </w:rPr>
        <w:t>),</w:t>
      </w:r>
      <w:r w:rsidR="00F3741D"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more systematic scale development and validation stud</w:t>
      </w:r>
      <w:r w:rsidR="00F3741D" w:rsidRPr="0032506F">
        <w:rPr>
          <w:rFonts w:ascii="Times New Roman" w:eastAsia="Times New Roman" w:hAnsi="Times New Roman" w:cs="Times New Roman"/>
          <w:bCs/>
          <w:color w:val="000000"/>
          <w:sz w:val="24"/>
          <w:szCs w:val="24"/>
        </w:rPr>
        <w:t>ies</w:t>
      </w:r>
      <w:r w:rsidRPr="0032506F">
        <w:rPr>
          <w:rFonts w:ascii="Times New Roman" w:eastAsia="Times New Roman" w:hAnsi="Times New Roman" w:cs="Times New Roman"/>
          <w:bCs/>
          <w:color w:val="000000"/>
          <w:sz w:val="24"/>
          <w:szCs w:val="24"/>
        </w:rPr>
        <w:t xml:space="preserve"> need to be conducted </w:t>
      </w:r>
      <w:r w:rsidR="00F3741D" w:rsidRPr="0032506F">
        <w:rPr>
          <w:rFonts w:ascii="Times New Roman" w:eastAsia="Times New Roman" w:hAnsi="Times New Roman" w:cs="Times New Roman"/>
          <w:bCs/>
          <w:color w:val="000000"/>
          <w:sz w:val="24"/>
          <w:szCs w:val="24"/>
        </w:rPr>
        <w:t xml:space="preserve">to test </w:t>
      </w:r>
      <w:r w:rsidRPr="0032506F">
        <w:rPr>
          <w:rFonts w:ascii="Times New Roman" w:eastAsia="Times New Roman" w:hAnsi="Times New Roman" w:cs="Times New Roman"/>
          <w:bCs/>
          <w:color w:val="000000"/>
          <w:sz w:val="24"/>
          <w:szCs w:val="24"/>
        </w:rPr>
        <w:t>the tenability of Fredricks et al.’s (2004) three-dimensional conception of student engagement in online learning environments</w:t>
      </w:r>
      <w:r w:rsidR="00152D27" w:rsidRPr="0032506F">
        <w:rPr>
          <w:rFonts w:ascii="Times New Roman" w:eastAsia="Times New Roman" w:hAnsi="Times New Roman" w:cs="Times New Roman"/>
          <w:bCs/>
          <w:color w:val="000000"/>
          <w:sz w:val="24"/>
          <w:szCs w:val="24"/>
        </w:rPr>
        <w:t xml:space="preserve">. It would be wrong to </w:t>
      </w:r>
      <w:r w:rsidRPr="0032506F">
        <w:rPr>
          <w:rFonts w:ascii="Times New Roman" w:eastAsia="Times New Roman" w:hAnsi="Times New Roman" w:cs="Times New Roman"/>
          <w:bCs/>
          <w:color w:val="000000"/>
          <w:sz w:val="24"/>
          <w:szCs w:val="24"/>
        </w:rPr>
        <w:t>simply assume that “engagement theories established in relation to the traditional on-campus classroom translate to the online learning environment” (Ferrer et al., 202</w:t>
      </w:r>
      <w:r w:rsidR="00EC394E" w:rsidRPr="0032506F">
        <w:rPr>
          <w:rFonts w:ascii="Times New Roman" w:eastAsia="Times New Roman" w:hAnsi="Times New Roman" w:cs="Times New Roman"/>
          <w:bCs/>
          <w:color w:val="000000"/>
          <w:sz w:val="24"/>
          <w:szCs w:val="24"/>
        </w:rPr>
        <w:t>0</w:t>
      </w:r>
      <w:r w:rsidRPr="0032506F">
        <w:rPr>
          <w:rFonts w:ascii="Times New Roman" w:eastAsia="Times New Roman" w:hAnsi="Times New Roman" w:cs="Times New Roman"/>
          <w:bCs/>
          <w:color w:val="000000"/>
          <w:sz w:val="24"/>
          <w:szCs w:val="24"/>
        </w:rPr>
        <w:t xml:space="preserve">, p.319). </w:t>
      </w:r>
      <w:r w:rsidR="00553C88" w:rsidRPr="0032506F">
        <w:rPr>
          <w:rFonts w:ascii="Times New Roman" w:eastAsia="Times New Roman" w:hAnsi="Times New Roman" w:cs="Times New Roman"/>
          <w:bCs/>
          <w:color w:val="000000"/>
          <w:sz w:val="24"/>
          <w:szCs w:val="24"/>
        </w:rPr>
        <w:t>T</w:t>
      </w:r>
      <w:r w:rsidR="00F3741D" w:rsidRPr="0032506F">
        <w:rPr>
          <w:rFonts w:ascii="Times New Roman" w:eastAsia="Times New Roman" w:hAnsi="Times New Roman" w:cs="Times New Roman"/>
          <w:bCs/>
          <w:color w:val="000000"/>
          <w:sz w:val="24"/>
          <w:szCs w:val="24"/>
        </w:rPr>
        <w:t xml:space="preserve">here have been a few </w:t>
      </w:r>
      <w:proofErr w:type="gramStart"/>
      <w:r w:rsidR="00F3741D" w:rsidRPr="0032506F">
        <w:rPr>
          <w:rFonts w:ascii="Times New Roman" w:eastAsia="Times New Roman" w:hAnsi="Times New Roman" w:cs="Times New Roman"/>
          <w:bCs/>
          <w:color w:val="000000"/>
          <w:sz w:val="24"/>
          <w:szCs w:val="24"/>
        </w:rPr>
        <w:t>scale</w:t>
      </w:r>
      <w:proofErr w:type="gramEnd"/>
      <w:r w:rsidR="00F3741D" w:rsidRPr="0032506F">
        <w:rPr>
          <w:rFonts w:ascii="Times New Roman" w:eastAsia="Times New Roman" w:hAnsi="Times New Roman" w:cs="Times New Roman"/>
          <w:bCs/>
          <w:color w:val="000000"/>
          <w:sz w:val="24"/>
          <w:szCs w:val="24"/>
        </w:rPr>
        <w:t xml:space="preserve"> development and validation studies test</w:t>
      </w:r>
      <w:r w:rsidR="003D7921" w:rsidRPr="0032506F">
        <w:rPr>
          <w:rFonts w:ascii="Times New Roman" w:eastAsia="Times New Roman" w:hAnsi="Times New Roman" w:cs="Times New Roman"/>
          <w:bCs/>
          <w:color w:val="000000"/>
          <w:sz w:val="24"/>
          <w:szCs w:val="24"/>
        </w:rPr>
        <w:t>ing</w:t>
      </w:r>
      <w:r w:rsidR="00F3741D" w:rsidRPr="0032506F">
        <w:rPr>
          <w:rFonts w:ascii="Times New Roman" w:eastAsia="Times New Roman" w:hAnsi="Times New Roman" w:cs="Times New Roman"/>
          <w:bCs/>
          <w:color w:val="000000"/>
          <w:sz w:val="24"/>
          <w:szCs w:val="24"/>
        </w:rPr>
        <w:t xml:space="preserve"> the </w:t>
      </w:r>
      <w:r w:rsidR="00D0190A" w:rsidRPr="0032506F">
        <w:rPr>
          <w:rFonts w:ascii="Times New Roman" w:eastAsia="Times New Roman" w:hAnsi="Times New Roman" w:cs="Times New Roman"/>
          <w:bCs/>
          <w:color w:val="000000"/>
          <w:sz w:val="24"/>
          <w:szCs w:val="24"/>
        </w:rPr>
        <w:t>tenability of behavioral, emotional, and cognitive</w:t>
      </w:r>
      <w:r w:rsidR="00F3741D" w:rsidRPr="0032506F">
        <w:rPr>
          <w:rFonts w:ascii="Times New Roman" w:eastAsia="Times New Roman" w:hAnsi="Times New Roman" w:cs="Times New Roman"/>
          <w:bCs/>
          <w:color w:val="000000"/>
          <w:sz w:val="24"/>
          <w:szCs w:val="24"/>
        </w:rPr>
        <w:t xml:space="preserve"> dimensions of engagement </w:t>
      </w:r>
      <w:r w:rsidR="00D0190A" w:rsidRPr="0032506F">
        <w:rPr>
          <w:rFonts w:ascii="Times New Roman" w:eastAsia="Times New Roman" w:hAnsi="Times New Roman" w:cs="Times New Roman"/>
          <w:bCs/>
          <w:color w:val="000000"/>
          <w:sz w:val="24"/>
          <w:szCs w:val="24"/>
        </w:rPr>
        <w:t>with</w:t>
      </w:r>
      <w:r w:rsidR="00F3741D" w:rsidRPr="0032506F">
        <w:rPr>
          <w:rFonts w:ascii="Times New Roman" w:eastAsia="Times New Roman" w:hAnsi="Times New Roman" w:cs="Times New Roman"/>
          <w:bCs/>
          <w:color w:val="000000"/>
          <w:sz w:val="24"/>
          <w:szCs w:val="24"/>
        </w:rPr>
        <w:t>in online learning environments</w:t>
      </w:r>
      <w:r w:rsidR="003D7921" w:rsidRPr="0032506F">
        <w:rPr>
          <w:rFonts w:ascii="Times New Roman" w:eastAsia="Times New Roman" w:hAnsi="Times New Roman" w:cs="Times New Roman"/>
          <w:bCs/>
          <w:color w:val="000000"/>
          <w:sz w:val="24"/>
          <w:szCs w:val="24"/>
        </w:rPr>
        <w:t xml:space="preserve">. However, </w:t>
      </w:r>
      <w:r w:rsidR="001A3993" w:rsidRPr="0032506F">
        <w:rPr>
          <w:rFonts w:ascii="Times New Roman" w:eastAsia="Times New Roman" w:hAnsi="Times New Roman" w:cs="Times New Roman"/>
          <w:bCs/>
          <w:color w:val="000000"/>
          <w:sz w:val="24"/>
          <w:szCs w:val="24"/>
        </w:rPr>
        <w:t>they</w:t>
      </w:r>
      <w:r w:rsidR="00681EB4" w:rsidRPr="0032506F">
        <w:rPr>
          <w:rFonts w:ascii="Times New Roman" w:eastAsia="Times New Roman" w:hAnsi="Times New Roman" w:cs="Times New Roman"/>
          <w:bCs/>
          <w:color w:val="000000"/>
          <w:sz w:val="24"/>
          <w:szCs w:val="24"/>
        </w:rPr>
        <w:t xml:space="preserve"> </w:t>
      </w:r>
      <w:r w:rsidR="00032938" w:rsidRPr="0032506F">
        <w:rPr>
          <w:rFonts w:ascii="Times New Roman" w:eastAsia="Times New Roman" w:hAnsi="Times New Roman" w:cs="Times New Roman"/>
          <w:bCs/>
          <w:color w:val="000000"/>
          <w:sz w:val="24"/>
          <w:szCs w:val="24"/>
        </w:rPr>
        <w:t>were</w:t>
      </w:r>
      <w:r w:rsidR="00C90CCB" w:rsidRPr="0032506F">
        <w:rPr>
          <w:rFonts w:ascii="Times New Roman" w:eastAsia="Times New Roman" w:hAnsi="Times New Roman" w:cs="Times New Roman"/>
          <w:bCs/>
          <w:color w:val="000000"/>
          <w:sz w:val="24"/>
          <w:szCs w:val="24"/>
        </w:rPr>
        <w:t xml:space="preserve"> intended </w:t>
      </w:r>
      <w:r w:rsidR="001D17F5" w:rsidRPr="0032506F">
        <w:rPr>
          <w:rFonts w:ascii="Times New Roman" w:eastAsia="Times New Roman" w:hAnsi="Times New Roman" w:cs="Times New Roman"/>
          <w:bCs/>
          <w:color w:val="000000"/>
          <w:sz w:val="24"/>
          <w:szCs w:val="24"/>
        </w:rPr>
        <w:t xml:space="preserve">to develop and validate scales </w:t>
      </w:r>
      <w:r w:rsidR="00075718" w:rsidRPr="0032506F">
        <w:rPr>
          <w:rFonts w:ascii="Times New Roman" w:eastAsia="Times New Roman" w:hAnsi="Times New Roman" w:cs="Times New Roman"/>
          <w:bCs/>
          <w:color w:val="000000"/>
          <w:sz w:val="24"/>
          <w:szCs w:val="24"/>
        </w:rPr>
        <w:t xml:space="preserve">to measure engagement in </w:t>
      </w:r>
      <w:r w:rsidR="00C90CCB" w:rsidRPr="0032506F">
        <w:rPr>
          <w:rFonts w:ascii="Times New Roman" w:eastAsia="Times New Roman" w:hAnsi="Times New Roman" w:cs="Times New Roman"/>
          <w:bCs/>
          <w:color w:val="000000"/>
          <w:sz w:val="24"/>
          <w:szCs w:val="24"/>
        </w:rPr>
        <w:t xml:space="preserve">special online learning contexts with </w:t>
      </w:r>
      <w:r w:rsidR="00EB1215" w:rsidRPr="0032506F">
        <w:rPr>
          <w:rFonts w:ascii="Times New Roman" w:eastAsia="Times New Roman" w:hAnsi="Times New Roman" w:cs="Times New Roman"/>
          <w:bCs/>
          <w:color w:val="000000"/>
          <w:sz w:val="24"/>
          <w:szCs w:val="24"/>
        </w:rPr>
        <w:t>idiosyncratic</w:t>
      </w:r>
      <w:r w:rsidR="00C90CCB" w:rsidRPr="0032506F">
        <w:rPr>
          <w:rFonts w:ascii="Times New Roman" w:eastAsia="Times New Roman" w:hAnsi="Times New Roman" w:cs="Times New Roman"/>
          <w:bCs/>
          <w:color w:val="000000"/>
          <w:sz w:val="24"/>
          <w:szCs w:val="24"/>
        </w:rPr>
        <w:t xml:space="preserve"> features such as Massive </w:t>
      </w:r>
      <w:r w:rsidR="001C0917" w:rsidRPr="0032506F">
        <w:rPr>
          <w:rFonts w:ascii="Times New Roman" w:eastAsia="Times New Roman" w:hAnsi="Times New Roman" w:cs="Times New Roman"/>
          <w:bCs/>
          <w:color w:val="000000"/>
          <w:sz w:val="24"/>
          <w:szCs w:val="24"/>
        </w:rPr>
        <w:t>Open Online Courses (MOOCs)</w:t>
      </w:r>
      <w:r w:rsidR="001A3993" w:rsidRPr="0032506F">
        <w:rPr>
          <w:rFonts w:ascii="Times New Roman" w:eastAsia="Times New Roman" w:hAnsi="Times New Roman" w:cs="Times New Roman"/>
          <w:bCs/>
          <w:color w:val="000000"/>
          <w:sz w:val="24"/>
          <w:szCs w:val="24"/>
        </w:rPr>
        <w:t xml:space="preserve"> rather than regular university courses</w:t>
      </w:r>
      <w:r w:rsidR="005C7A0B" w:rsidRPr="0032506F">
        <w:rPr>
          <w:rFonts w:ascii="Times New Roman" w:eastAsia="Times New Roman" w:hAnsi="Times New Roman" w:cs="Times New Roman"/>
          <w:bCs/>
          <w:color w:val="000000"/>
          <w:sz w:val="24"/>
          <w:szCs w:val="24"/>
        </w:rPr>
        <w:t xml:space="preserve"> </w:t>
      </w:r>
      <w:r w:rsidR="001C0917" w:rsidRPr="0032506F">
        <w:rPr>
          <w:rFonts w:ascii="Times New Roman" w:eastAsia="Times New Roman" w:hAnsi="Times New Roman" w:cs="Times New Roman"/>
          <w:bCs/>
          <w:color w:val="000000"/>
          <w:sz w:val="24"/>
          <w:szCs w:val="24"/>
        </w:rPr>
        <w:t xml:space="preserve">(e.g., </w:t>
      </w:r>
      <w:r w:rsidR="009C0317" w:rsidRPr="0032506F">
        <w:rPr>
          <w:rFonts w:ascii="Times New Roman" w:eastAsia="Times New Roman" w:hAnsi="Times New Roman" w:cs="Times New Roman"/>
          <w:bCs/>
          <w:color w:val="000000"/>
          <w:sz w:val="24"/>
          <w:szCs w:val="24"/>
        </w:rPr>
        <w:t>Deng et al., 2020)</w:t>
      </w:r>
      <w:r w:rsidR="001A3993" w:rsidRPr="0032506F">
        <w:rPr>
          <w:rFonts w:ascii="Times New Roman" w:eastAsia="Times New Roman" w:hAnsi="Times New Roman" w:cs="Times New Roman"/>
          <w:bCs/>
          <w:color w:val="000000"/>
          <w:sz w:val="24"/>
          <w:szCs w:val="24"/>
        </w:rPr>
        <w:t xml:space="preserve"> and</w:t>
      </w:r>
      <w:r w:rsidR="00024E6E" w:rsidRPr="0032506F">
        <w:rPr>
          <w:rFonts w:ascii="Times New Roman" w:eastAsia="Times New Roman" w:hAnsi="Times New Roman" w:cs="Times New Roman"/>
          <w:bCs/>
          <w:color w:val="000000"/>
          <w:sz w:val="24"/>
          <w:szCs w:val="24"/>
        </w:rPr>
        <w:t xml:space="preserve"> </w:t>
      </w:r>
      <w:r w:rsidR="00294761" w:rsidRPr="0032506F">
        <w:rPr>
          <w:rFonts w:ascii="Times New Roman" w:eastAsia="Times New Roman" w:hAnsi="Times New Roman" w:cs="Times New Roman"/>
          <w:bCs/>
          <w:color w:val="000000"/>
          <w:sz w:val="24"/>
          <w:szCs w:val="24"/>
        </w:rPr>
        <w:t xml:space="preserve">they </w:t>
      </w:r>
      <w:r w:rsidR="00024E6E" w:rsidRPr="0032506F">
        <w:rPr>
          <w:rFonts w:ascii="Times New Roman" w:eastAsia="Times New Roman" w:hAnsi="Times New Roman" w:cs="Times New Roman"/>
          <w:bCs/>
          <w:color w:val="000000"/>
          <w:sz w:val="24"/>
          <w:szCs w:val="24"/>
        </w:rPr>
        <w:t>are also conflated with the issues of either construct irrelevance or construct underrepresentation or both</w:t>
      </w:r>
      <w:r w:rsidR="001A3993" w:rsidRPr="0032506F">
        <w:rPr>
          <w:rFonts w:ascii="Times New Roman" w:eastAsia="Times New Roman" w:hAnsi="Times New Roman" w:cs="Times New Roman"/>
          <w:bCs/>
          <w:color w:val="000000"/>
          <w:sz w:val="24"/>
          <w:szCs w:val="24"/>
        </w:rPr>
        <w:t xml:space="preserve"> </w:t>
      </w:r>
      <w:r w:rsidR="006640BA" w:rsidRPr="0032506F">
        <w:rPr>
          <w:rFonts w:ascii="Times New Roman" w:eastAsia="Times New Roman" w:hAnsi="Times New Roman" w:cs="Times New Roman"/>
          <w:bCs/>
          <w:color w:val="000000"/>
          <w:sz w:val="24"/>
          <w:szCs w:val="24"/>
        </w:rPr>
        <w:t xml:space="preserve">(e.g., </w:t>
      </w:r>
      <w:r w:rsidR="00C00DF0" w:rsidRPr="0032506F">
        <w:rPr>
          <w:rFonts w:ascii="Times New Roman" w:eastAsia="Times New Roman" w:hAnsi="Times New Roman" w:cs="Times New Roman"/>
          <w:bCs/>
          <w:color w:val="000000"/>
          <w:sz w:val="24"/>
          <w:szCs w:val="24"/>
        </w:rPr>
        <w:t xml:space="preserve">Deng et al., 2020; </w:t>
      </w:r>
      <w:r w:rsidR="00EA24D3" w:rsidRPr="0032506F">
        <w:rPr>
          <w:rFonts w:ascii="Times New Roman" w:eastAsia="Times New Roman" w:hAnsi="Times New Roman" w:cs="Times New Roman"/>
          <w:bCs/>
          <w:color w:val="000000"/>
          <w:sz w:val="24"/>
          <w:szCs w:val="24"/>
        </w:rPr>
        <w:t>Hoi &amp; Le Hang</w:t>
      </w:r>
      <w:r w:rsidR="006B3798" w:rsidRPr="0032506F">
        <w:rPr>
          <w:rFonts w:ascii="Times New Roman" w:eastAsia="Times New Roman" w:hAnsi="Times New Roman" w:cs="Times New Roman"/>
          <w:bCs/>
          <w:color w:val="000000"/>
          <w:sz w:val="24"/>
          <w:szCs w:val="24"/>
        </w:rPr>
        <w:t>, 2021</w:t>
      </w:r>
      <w:r w:rsidR="00EA24D3" w:rsidRPr="0032506F">
        <w:rPr>
          <w:rFonts w:ascii="Times New Roman" w:eastAsia="Times New Roman" w:hAnsi="Times New Roman" w:cs="Times New Roman"/>
          <w:bCs/>
          <w:color w:val="000000"/>
          <w:sz w:val="24"/>
          <w:szCs w:val="24"/>
        </w:rPr>
        <w:t>)</w:t>
      </w:r>
      <w:r w:rsidR="00024E6E" w:rsidRPr="0032506F">
        <w:rPr>
          <w:rFonts w:ascii="Times New Roman" w:eastAsia="Times New Roman" w:hAnsi="Times New Roman" w:cs="Times New Roman"/>
          <w:bCs/>
          <w:color w:val="000000"/>
          <w:sz w:val="24"/>
          <w:szCs w:val="24"/>
        </w:rPr>
        <w:t xml:space="preserve">. </w:t>
      </w:r>
      <w:r w:rsidR="00EA24D3" w:rsidRPr="0032506F">
        <w:rPr>
          <w:rFonts w:ascii="Times New Roman" w:eastAsia="Times New Roman" w:hAnsi="Times New Roman" w:cs="Times New Roman"/>
          <w:bCs/>
          <w:color w:val="000000"/>
          <w:sz w:val="24"/>
          <w:szCs w:val="24"/>
        </w:rPr>
        <w:t xml:space="preserve"> </w:t>
      </w:r>
    </w:p>
    <w:p w14:paraId="3BB7FBFD" w14:textId="3E220FED" w:rsidR="00155D6A"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The second major issue is construct irrelevance</w:t>
      </w:r>
      <w:r w:rsidR="000123B9" w:rsidRPr="0032506F">
        <w:rPr>
          <w:rFonts w:ascii="Times New Roman" w:eastAsia="Times New Roman" w:hAnsi="Times New Roman" w:cs="Times New Roman"/>
          <w:bCs/>
          <w:color w:val="000000"/>
          <w:sz w:val="24"/>
          <w:szCs w:val="24"/>
        </w:rPr>
        <w:t xml:space="preserve"> (Spurgeon</w:t>
      </w:r>
      <w:r w:rsidR="00737C8B" w:rsidRPr="0032506F">
        <w:rPr>
          <w:rFonts w:ascii="Times New Roman" w:eastAsia="Times New Roman" w:hAnsi="Times New Roman" w:cs="Times New Roman"/>
          <w:bCs/>
          <w:color w:val="000000"/>
          <w:sz w:val="24"/>
          <w:szCs w:val="24"/>
        </w:rPr>
        <w:t>, 2017)</w:t>
      </w:r>
      <w:r w:rsidRPr="0032506F">
        <w:rPr>
          <w:rFonts w:ascii="Times New Roman" w:eastAsia="Times New Roman" w:hAnsi="Times New Roman" w:cs="Times New Roman"/>
          <w:bCs/>
          <w:color w:val="000000"/>
          <w:sz w:val="24"/>
          <w:szCs w:val="24"/>
        </w:rPr>
        <w:t xml:space="preserve">. </w:t>
      </w:r>
      <w:r w:rsidR="00B34F04" w:rsidRPr="0032506F">
        <w:rPr>
          <w:rFonts w:ascii="Times New Roman" w:eastAsia="Times New Roman" w:hAnsi="Times New Roman" w:cs="Times New Roman"/>
          <w:bCs/>
          <w:color w:val="000000"/>
          <w:sz w:val="24"/>
          <w:szCs w:val="24"/>
        </w:rPr>
        <w:t>S</w:t>
      </w:r>
      <w:r w:rsidRPr="0032506F">
        <w:rPr>
          <w:rFonts w:ascii="Times New Roman" w:eastAsia="Times New Roman" w:hAnsi="Times New Roman" w:cs="Times New Roman"/>
          <w:bCs/>
          <w:color w:val="000000"/>
          <w:sz w:val="24"/>
          <w:szCs w:val="24"/>
        </w:rPr>
        <w:t xml:space="preserve">ome authors developed scales purported to measure online student engagement, but their scale items </w:t>
      </w:r>
      <w:proofErr w:type="gramStart"/>
      <w:r w:rsidRPr="0032506F">
        <w:rPr>
          <w:rFonts w:ascii="Times New Roman" w:eastAsia="Times New Roman" w:hAnsi="Times New Roman" w:cs="Times New Roman"/>
          <w:bCs/>
          <w:color w:val="000000"/>
          <w:sz w:val="24"/>
          <w:szCs w:val="24"/>
        </w:rPr>
        <w:t>actually tap</w:t>
      </w:r>
      <w:proofErr w:type="gramEnd"/>
      <w:r w:rsidRPr="0032506F">
        <w:rPr>
          <w:rFonts w:ascii="Times New Roman" w:eastAsia="Times New Roman" w:hAnsi="Times New Roman" w:cs="Times New Roman"/>
          <w:bCs/>
          <w:color w:val="000000"/>
          <w:sz w:val="24"/>
          <w:szCs w:val="24"/>
        </w:rPr>
        <w:t xml:space="preserve"> motivational elements or constructs (e.g., intrinsic motivation, goal orientation) rather than engagement (e.g., Schumacher, 2018). The significant distinction that needs to be drawn between motivation and engagement is often obfuscated in measures and studies of engagement, which is often stated as a serious problem in the relevant literature (Appleton et al., 2008; Fredricks &amp; </w:t>
      </w:r>
      <w:r w:rsidRPr="0032506F">
        <w:rPr>
          <w:rFonts w:ascii="Times New Roman" w:eastAsia="Times New Roman" w:hAnsi="Times New Roman" w:cs="Times New Roman"/>
          <w:bCs/>
          <w:color w:val="000000"/>
          <w:sz w:val="24"/>
          <w:szCs w:val="24"/>
        </w:rPr>
        <w:lastRenderedPageBreak/>
        <w:t xml:space="preserve">McColskey, 2012). While motivation is basically one’s underlying energies or reasons to perform or avoid a particular behavior or action, engagement is one’s active and actual involvement in that behavior or action (Appleton et al., 2008; Fredricks &amp; McColskey, 2012). For example, an online student may be motivated to participate in an academic learning task but not actually get engaged in the task for some other reasons and so their engagement may not actually occur at all. That is, motivation as one’s energy or volition to do something may exist but it may not be sufficient for one’s actual engagement in that activity or action (Appleton et al., 2008). </w:t>
      </w:r>
    </w:p>
    <w:p w14:paraId="1C4AF513" w14:textId="76912A6A" w:rsidR="00155D6A"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The final issue identified in the literature is construct underrepresentation</w:t>
      </w:r>
      <w:r w:rsidR="00737C8B" w:rsidRPr="0032506F">
        <w:rPr>
          <w:rFonts w:ascii="Times New Roman" w:eastAsia="Times New Roman" w:hAnsi="Times New Roman" w:cs="Times New Roman"/>
          <w:bCs/>
          <w:color w:val="000000"/>
          <w:sz w:val="24"/>
          <w:szCs w:val="24"/>
        </w:rPr>
        <w:t xml:space="preserve"> (Spurgeon</w:t>
      </w:r>
      <w:r w:rsidR="004F3DC8" w:rsidRPr="0032506F">
        <w:rPr>
          <w:rFonts w:ascii="Times New Roman" w:eastAsia="Times New Roman" w:hAnsi="Times New Roman" w:cs="Times New Roman"/>
          <w:bCs/>
          <w:color w:val="000000"/>
          <w:sz w:val="24"/>
          <w:szCs w:val="24"/>
        </w:rPr>
        <w:t>, 2017)</w:t>
      </w:r>
      <w:r w:rsidRPr="0032506F">
        <w:rPr>
          <w:rFonts w:ascii="Times New Roman" w:eastAsia="Times New Roman" w:hAnsi="Times New Roman" w:cs="Times New Roman"/>
          <w:bCs/>
          <w:color w:val="000000"/>
          <w:sz w:val="24"/>
          <w:szCs w:val="24"/>
        </w:rPr>
        <w:t xml:space="preserve">. Most of the studies examining student engagement in the online learning context and in higher education settings are primarily dealing with student engagement as a unidimensional construct (Vayre &amp; Vonthron, 2017), more specifically as a behavioral phenomenon (Lee et al., 2019; Zhoc et al., 2019) identified by behavioral indicators such as how often college students perform certain behaviors (e.g., participating in asynchronous discussions) during their courses (e.g., Chen et al., 2010) or the number of logins (e.g., Lee et al., 2019). However, there is a significant body of theoretical and empirical literature pointing to the multidimensional nature of student engagement rather than considering it a unidimensional construct (Reeve et al., 2020). </w:t>
      </w:r>
      <w:bookmarkStart w:id="15" w:name="_Hlk100829685"/>
      <w:r w:rsidR="00FD22EB" w:rsidRPr="0032506F">
        <w:rPr>
          <w:rFonts w:ascii="Times New Roman" w:eastAsia="Times New Roman" w:hAnsi="Times New Roman" w:cs="Times New Roman"/>
          <w:bCs/>
          <w:color w:val="000000"/>
          <w:sz w:val="24"/>
          <w:szCs w:val="24"/>
        </w:rPr>
        <w:t>In addition, s</w:t>
      </w:r>
      <w:r w:rsidR="00FD5D99" w:rsidRPr="0032506F">
        <w:rPr>
          <w:rFonts w:ascii="Times New Roman" w:eastAsia="Times New Roman" w:hAnsi="Times New Roman" w:cs="Times New Roman"/>
          <w:bCs/>
          <w:color w:val="000000"/>
          <w:sz w:val="24"/>
          <w:szCs w:val="24"/>
        </w:rPr>
        <w:t xml:space="preserve">ome online engagement scales </w:t>
      </w:r>
      <w:r w:rsidR="00A54F79" w:rsidRPr="0032506F">
        <w:rPr>
          <w:rFonts w:ascii="Times New Roman" w:eastAsia="Times New Roman" w:hAnsi="Times New Roman" w:cs="Times New Roman"/>
          <w:bCs/>
          <w:color w:val="000000"/>
          <w:sz w:val="24"/>
          <w:szCs w:val="24"/>
        </w:rPr>
        <w:t>developed and validated</w:t>
      </w:r>
      <w:r w:rsidR="00F435FC" w:rsidRPr="0032506F">
        <w:rPr>
          <w:rFonts w:ascii="Times New Roman" w:eastAsia="Times New Roman" w:hAnsi="Times New Roman" w:cs="Times New Roman"/>
          <w:bCs/>
          <w:color w:val="000000"/>
          <w:sz w:val="24"/>
          <w:szCs w:val="24"/>
        </w:rPr>
        <w:t xml:space="preserve"> </w:t>
      </w:r>
      <w:r w:rsidR="001B625E" w:rsidRPr="0032506F">
        <w:rPr>
          <w:rFonts w:ascii="Times New Roman" w:eastAsia="Times New Roman" w:hAnsi="Times New Roman" w:cs="Times New Roman"/>
          <w:bCs/>
          <w:color w:val="000000"/>
          <w:sz w:val="24"/>
          <w:szCs w:val="24"/>
        </w:rPr>
        <w:t>via</w:t>
      </w:r>
      <w:r w:rsidR="00F435FC" w:rsidRPr="0032506F">
        <w:rPr>
          <w:rFonts w:ascii="Times New Roman" w:eastAsia="Times New Roman" w:hAnsi="Times New Roman" w:cs="Times New Roman"/>
          <w:bCs/>
          <w:color w:val="000000"/>
          <w:sz w:val="24"/>
          <w:szCs w:val="24"/>
        </w:rPr>
        <w:t xml:space="preserve"> scale development and validation studies</w:t>
      </w:r>
      <w:r w:rsidR="00A54F79" w:rsidRPr="0032506F">
        <w:rPr>
          <w:rFonts w:ascii="Times New Roman" w:eastAsia="Times New Roman" w:hAnsi="Times New Roman" w:cs="Times New Roman"/>
          <w:bCs/>
          <w:color w:val="000000"/>
          <w:sz w:val="24"/>
          <w:szCs w:val="24"/>
        </w:rPr>
        <w:t xml:space="preserve"> </w:t>
      </w:r>
      <w:r w:rsidR="001B625E" w:rsidRPr="0032506F">
        <w:rPr>
          <w:rFonts w:ascii="Times New Roman" w:eastAsia="Times New Roman" w:hAnsi="Times New Roman" w:cs="Times New Roman"/>
          <w:bCs/>
          <w:color w:val="000000"/>
          <w:sz w:val="24"/>
          <w:szCs w:val="24"/>
        </w:rPr>
        <w:t xml:space="preserve">were </w:t>
      </w:r>
      <w:r w:rsidR="00A54F79" w:rsidRPr="0032506F">
        <w:rPr>
          <w:rFonts w:ascii="Times New Roman" w:eastAsia="Times New Roman" w:hAnsi="Times New Roman" w:cs="Times New Roman"/>
          <w:bCs/>
          <w:color w:val="000000"/>
          <w:sz w:val="24"/>
          <w:szCs w:val="24"/>
        </w:rPr>
        <w:t xml:space="preserve">also </w:t>
      </w:r>
      <w:r w:rsidR="001B625E" w:rsidRPr="0032506F">
        <w:rPr>
          <w:rFonts w:ascii="Times New Roman" w:eastAsia="Times New Roman" w:hAnsi="Times New Roman" w:cs="Times New Roman"/>
          <w:bCs/>
          <w:color w:val="000000"/>
          <w:sz w:val="24"/>
          <w:szCs w:val="24"/>
        </w:rPr>
        <w:t xml:space="preserve">identified as </w:t>
      </w:r>
      <w:r w:rsidR="00A54F79" w:rsidRPr="0032506F">
        <w:rPr>
          <w:rFonts w:ascii="Times New Roman" w:eastAsia="Times New Roman" w:hAnsi="Times New Roman" w:cs="Times New Roman"/>
          <w:bCs/>
          <w:color w:val="000000"/>
          <w:sz w:val="24"/>
          <w:szCs w:val="24"/>
        </w:rPr>
        <w:t>measur</w:t>
      </w:r>
      <w:r w:rsidR="001B625E" w:rsidRPr="0032506F">
        <w:rPr>
          <w:rFonts w:ascii="Times New Roman" w:eastAsia="Times New Roman" w:hAnsi="Times New Roman" w:cs="Times New Roman"/>
          <w:bCs/>
          <w:color w:val="000000"/>
          <w:sz w:val="24"/>
          <w:szCs w:val="24"/>
        </w:rPr>
        <w:t>ing</w:t>
      </w:r>
      <w:r w:rsidR="00A54F79" w:rsidRPr="0032506F">
        <w:rPr>
          <w:rFonts w:ascii="Times New Roman" w:eastAsia="Times New Roman" w:hAnsi="Times New Roman" w:cs="Times New Roman"/>
          <w:bCs/>
          <w:color w:val="000000"/>
          <w:sz w:val="24"/>
          <w:szCs w:val="24"/>
        </w:rPr>
        <w:t xml:space="preserve"> behavioral, emotional, and cognitive dimensions of engagement with limited </w:t>
      </w:r>
      <w:r w:rsidR="00810060" w:rsidRPr="0032506F">
        <w:rPr>
          <w:rFonts w:ascii="Times New Roman" w:eastAsia="Times New Roman" w:hAnsi="Times New Roman" w:cs="Times New Roman"/>
          <w:bCs/>
          <w:color w:val="000000"/>
          <w:sz w:val="24"/>
          <w:szCs w:val="24"/>
        </w:rPr>
        <w:t>representation of each</w:t>
      </w:r>
      <w:r w:rsidR="00F435FC" w:rsidRPr="0032506F">
        <w:rPr>
          <w:rFonts w:ascii="Times New Roman" w:eastAsia="Times New Roman" w:hAnsi="Times New Roman" w:cs="Times New Roman"/>
          <w:bCs/>
          <w:color w:val="000000"/>
          <w:sz w:val="24"/>
          <w:szCs w:val="24"/>
        </w:rPr>
        <w:t xml:space="preserve"> dimension</w:t>
      </w:r>
      <w:r w:rsidR="00810060" w:rsidRPr="0032506F">
        <w:rPr>
          <w:rFonts w:ascii="Times New Roman" w:eastAsia="Times New Roman" w:hAnsi="Times New Roman" w:cs="Times New Roman"/>
          <w:bCs/>
          <w:color w:val="000000"/>
          <w:sz w:val="24"/>
          <w:szCs w:val="24"/>
        </w:rPr>
        <w:t xml:space="preserve"> (e.g., Deng et al., 2020</w:t>
      </w:r>
      <w:r w:rsidR="0012636A" w:rsidRPr="0032506F">
        <w:rPr>
          <w:rFonts w:ascii="Times New Roman" w:eastAsia="Times New Roman" w:hAnsi="Times New Roman" w:cs="Times New Roman"/>
          <w:bCs/>
          <w:color w:val="000000"/>
          <w:sz w:val="24"/>
          <w:szCs w:val="24"/>
        </w:rPr>
        <w:t xml:space="preserve">; </w:t>
      </w:r>
      <w:r w:rsidR="00DB2823" w:rsidRPr="0032506F">
        <w:rPr>
          <w:rFonts w:ascii="Times New Roman" w:eastAsia="Times New Roman" w:hAnsi="Times New Roman" w:cs="Times New Roman"/>
          <w:bCs/>
          <w:color w:val="000000"/>
          <w:sz w:val="24"/>
          <w:szCs w:val="24"/>
        </w:rPr>
        <w:t>Hoi &amp; Le Hang, 2021</w:t>
      </w:r>
      <w:r w:rsidR="00810060" w:rsidRPr="0032506F">
        <w:rPr>
          <w:rFonts w:ascii="Times New Roman" w:eastAsia="Times New Roman" w:hAnsi="Times New Roman" w:cs="Times New Roman"/>
          <w:bCs/>
          <w:color w:val="000000"/>
          <w:sz w:val="24"/>
          <w:szCs w:val="24"/>
        </w:rPr>
        <w:t>).</w:t>
      </w:r>
      <w:bookmarkEnd w:id="15"/>
      <w:r w:rsidR="00810060" w:rsidRPr="0032506F">
        <w:rPr>
          <w:rFonts w:ascii="Times New Roman" w:eastAsia="Times New Roman" w:hAnsi="Times New Roman" w:cs="Times New Roman"/>
          <w:bCs/>
          <w:color w:val="000000"/>
          <w:sz w:val="24"/>
          <w:szCs w:val="24"/>
        </w:rPr>
        <w:t xml:space="preserve"> </w:t>
      </w:r>
      <w:r w:rsidR="00D4006A" w:rsidRPr="0032506F">
        <w:rPr>
          <w:rFonts w:ascii="Times New Roman" w:eastAsia="Times New Roman" w:hAnsi="Times New Roman" w:cs="Times New Roman"/>
          <w:bCs/>
          <w:color w:val="000000"/>
          <w:sz w:val="24"/>
          <w:szCs w:val="24"/>
        </w:rPr>
        <w:t>Thus,</w:t>
      </w:r>
      <w:r w:rsidRPr="0032506F">
        <w:rPr>
          <w:rFonts w:ascii="Times New Roman" w:eastAsia="Times New Roman" w:hAnsi="Times New Roman" w:cs="Times New Roman"/>
          <w:bCs/>
          <w:color w:val="000000"/>
          <w:sz w:val="24"/>
          <w:szCs w:val="24"/>
        </w:rPr>
        <w:t xml:space="preserve"> </w:t>
      </w:r>
      <w:r w:rsidR="00D4006A" w:rsidRPr="0032506F">
        <w:rPr>
          <w:rFonts w:ascii="Times New Roman" w:eastAsia="Times New Roman" w:hAnsi="Times New Roman" w:cs="Times New Roman"/>
          <w:bCs/>
          <w:color w:val="000000"/>
          <w:sz w:val="24"/>
          <w:szCs w:val="24"/>
        </w:rPr>
        <w:t xml:space="preserve">in </w:t>
      </w:r>
      <w:r w:rsidRPr="0032506F">
        <w:rPr>
          <w:rFonts w:ascii="Times New Roman" w:eastAsia="Times New Roman" w:hAnsi="Times New Roman" w:cs="Times New Roman"/>
          <w:bCs/>
          <w:color w:val="000000"/>
          <w:sz w:val="24"/>
          <w:szCs w:val="24"/>
        </w:rPr>
        <w:t>this study</w:t>
      </w:r>
      <w:r w:rsidR="00D4006A" w:rsidRPr="0032506F">
        <w:rPr>
          <w:rFonts w:ascii="Times New Roman" w:eastAsia="Times New Roman" w:hAnsi="Times New Roman" w:cs="Times New Roman"/>
          <w:bCs/>
          <w:color w:val="000000"/>
          <w:sz w:val="24"/>
          <w:szCs w:val="24"/>
        </w:rPr>
        <w:t>,</w:t>
      </w:r>
      <w:r w:rsidRPr="0032506F">
        <w:rPr>
          <w:rFonts w:ascii="Times New Roman" w:eastAsia="Times New Roman" w:hAnsi="Times New Roman" w:cs="Times New Roman"/>
          <w:bCs/>
          <w:color w:val="000000"/>
          <w:sz w:val="24"/>
          <w:szCs w:val="24"/>
        </w:rPr>
        <w:t xml:space="preserve"> online student engagement is conceptualized and operationalized as a three-dimensional construct</w:t>
      </w:r>
      <w:r w:rsidR="002915D8"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and </w:t>
      </w:r>
      <w:r w:rsidR="002915D8" w:rsidRPr="0032506F">
        <w:rPr>
          <w:rFonts w:ascii="Times New Roman" w:eastAsia="Times New Roman" w:hAnsi="Times New Roman" w:cs="Times New Roman"/>
          <w:bCs/>
          <w:color w:val="000000"/>
          <w:sz w:val="24"/>
          <w:szCs w:val="24"/>
        </w:rPr>
        <w:t>with</w:t>
      </w:r>
      <w:r w:rsidR="00252C80"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items </w:t>
      </w:r>
      <w:r w:rsidR="002915D8" w:rsidRPr="0032506F">
        <w:rPr>
          <w:rFonts w:ascii="Times New Roman" w:eastAsia="Times New Roman" w:hAnsi="Times New Roman" w:cs="Times New Roman"/>
          <w:bCs/>
          <w:color w:val="000000"/>
          <w:sz w:val="24"/>
          <w:szCs w:val="24"/>
        </w:rPr>
        <w:t xml:space="preserve">intentionally designed and </w:t>
      </w:r>
      <w:r w:rsidR="002915D8" w:rsidRPr="0032506F">
        <w:rPr>
          <w:rFonts w:ascii="Times New Roman" w:eastAsia="Times New Roman" w:hAnsi="Times New Roman" w:cs="Times New Roman"/>
          <w:bCs/>
          <w:color w:val="000000"/>
          <w:sz w:val="24"/>
          <w:szCs w:val="24"/>
        </w:rPr>
        <w:lastRenderedPageBreak/>
        <w:t xml:space="preserve">developed to thoroughly tap and </w:t>
      </w:r>
      <w:r w:rsidR="00081EF5" w:rsidRPr="0032506F">
        <w:rPr>
          <w:rFonts w:ascii="Times New Roman" w:eastAsia="Times New Roman" w:hAnsi="Times New Roman" w:cs="Times New Roman"/>
          <w:bCs/>
          <w:color w:val="000000"/>
          <w:sz w:val="24"/>
          <w:szCs w:val="24"/>
        </w:rPr>
        <w:t xml:space="preserve">adequately </w:t>
      </w:r>
      <w:r w:rsidR="002915D8" w:rsidRPr="0032506F">
        <w:rPr>
          <w:rFonts w:ascii="Times New Roman" w:eastAsia="Times New Roman" w:hAnsi="Times New Roman" w:cs="Times New Roman"/>
          <w:bCs/>
          <w:color w:val="000000"/>
          <w:sz w:val="24"/>
          <w:szCs w:val="24"/>
        </w:rPr>
        <w:t>represent</w:t>
      </w:r>
      <w:r w:rsidR="00283F29" w:rsidRPr="0032506F">
        <w:rPr>
          <w:rFonts w:ascii="Times New Roman" w:eastAsia="Times New Roman" w:hAnsi="Times New Roman" w:cs="Times New Roman"/>
          <w:bCs/>
          <w:color w:val="000000"/>
          <w:sz w:val="24"/>
          <w:szCs w:val="24"/>
        </w:rPr>
        <w:t xml:space="preserve"> </w:t>
      </w:r>
      <w:r w:rsidR="002915D8" w:rsidRPr="0032506F">
        <w:rPr>
          <w:rFonts w:ascii="Times New Roman" w:eastAsia="Times New Roman" w:hAnsi="Times New Roman" w:cs="Times New Roman"/>
          <w:bCs/>
          <w:color w:val="000000"/>
          <w:sz w:val="24"/>
          <w:szCs w:val="24"/>
        </w:rPr>
        <w:t>each core dimension of engagement</w:t>
      </w:r>
      <w:r w:rsidR="00DB2823"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(Fredricks et al., 2004). </w:t>
      </w:r>
    </w:p>
    <w:p w14:paraId="02A89D6B" w14:textId="7D2A8A5B" w:rsidR="00155D6A"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In support of the importance and relevance of all these issues</w:t>
      </w:r>
      <w:r w:rsidR="003975AC"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identified to address in this dissertation study, it has been suggested by several scholars in the engagement literature that there is still a pressing need for more systematic and meticulous approaches and endeavors regarding the measurement of engagement since the existing measures have serious theoretical, conceptual, and operational inconsistencies and limitations as well as lacking empirical evidence for their scale validity (Fredricks &amp; McColskey, 2012; Fredricks, Wang et al., 2016; Hoi &amp; Le Hang, 2021; Veiga et al., 2014). </w:t>
      </w:r>
    </w:p>
    <w:p w14:paraId="19ABB83D" w14:textId="7A4A30A8" w:rsidR="00155D6A" w:rsidRPr="0032506F" w:rsidRDefault="00155D6A" w:rsidP="00155D6A">
      <w:pPr>
        <w:spacing w:after="0" w:line="480" w:lineRule="auto"/>
        <w:ind w:firstLine="720"/>
        <w:rPr>
          <w:rFonts w:ascii="Times New Roman" w:eastAsia="Times New Roman" w:hAnsi="Times New Roman" w:cs="Times New Roman"/>
          <w:bCs/>
          <w:color w:val="000000"/>
          <w:sz w:val="24"/>
          <w:szCs w:val="24"/>
        </w:rPr>
      </w:pPr>
      <w:r w:rsidRPr="0032506F">
        <w:rPr>
          <w:rFonts w:ascii="Times New Roman" w:eastAsia="Times New Roman" w:hAnsi="Times New Roman" w:cs="Times New Roman"/>
          <w:bCs/>
          <w:color w:val="000000"/>
          <w:sz w:val="24"/>
          <w:szCs w:val="24"/>
        </w:rPr>
        <w:t>In summary, there is a need to address these three major issues identified regarding the measurement of student engagement in online learning environments. More thorough, reliable, and valid assessments of student engagement may become possible in online learning environments of higher education with the development of a new scale by using Fredricks et al.’s (2004) tripartite conception</w:t>
      </w:r>
      <w:r w:rsidR="00446F05" w:rsidRPr="0032506F">
        <w:rPr>
          <w:rFonts w:ascii="Times New Roman" w:eastAsia="Times New Roman" w:hAnsi="Times New Roman" w:cs="Times New Roman"/>
          <w:bCs/>
          <w:color w:val="000000"/>
          <w:sz w:val="24"/>
          <w:szCs w:val="24"/>
        </w:rPr>
        <w:t xml:space="preserve"> of engagement</w:t>
      </w:r>
      <w:r w:rsidRPr="0032506F">
        <w:rPr>
          <w:rFonts w:ascii="Times New Roman" w:eastAsia="Times New Roman" w:hAnsi="Times New Roman" w:cs="Times New Roman"/>
          <w:bCs/>
          <w:color w:val="000000"/>
          <w:sz w:val="24"/>
          <w:szCs w:val="24"/>
        </w:rPr>
        <w:t xml:space="preserve"> (addressing the first issue), by tapping the experience-based construct of engagement itself rather than the energy or drive-based construct of motivation or any other construct other than engagement (addressing the second issue), and by adequately representing all three core dimensions of engagement</w:t>
      </w:r>
      <w:r w:rsidR="00D22B3E" w:rsidRPr="0032506F">
        <w:rPr>
          <w:rFonts w:ascii="Times New Roman" w:eastAsia="Times New Roman" w:hAnsi="Times New Roman" w:cs="Times New Roman"/>
          <w:bCs/>
          <w:color w:val="000000"/>
          <w:sz w:val="24"/>
          <w:szCs w:val="24"/>
        </w:rPr>
        <w:t xml:space="preserve"> </w:t>
      </w:r>
      <w:r w:rsidRPr="0032506F">
        <w:rPr>
          <w:rFonts w:ascii="Times New Roman" w:eastAsia="Times New Roman" w:hAnsi="Times New Roman" w:cs="Times New Roman"/>
          <w:bCs/>
          <w:color w:val="000000"/>
          <w:sz w:val="24"/>
          <w:szCs w:val="24"/>
        </w:rPr>
        <w:t xml:space="preserve">(addressing the third issue).   </w:t>
      </w:r>
    </w:p>
    <w:p w14:paraId="6BC7AFA3" w14:textId="77777777" w:rsidR="00155D6A" w:rsidRPr="0032506F" w:rsidRDefault="00155D6A" w:rsidP="00155D6A">
      <w:pPr>
        <w:pStyle w:val="Heading2"/>
      </w:pPr>
      <w:bookmarkStart w:id="16" w:name="_Toc102489429"/>
      <w:r w:rsidRPr="0032506F">
        <w:t>Purpose of the Study</w:t>
      </w:r>
      <w:bookmarkEnd w:id="16"/>
    </w:p>
    <w:p w14:paraId="66A9E8E3" w14:textId="77777777"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Despite the theoretical and empirical justifications for using Fredricks et al.’s (2004) tripartite conception for measuring student engagement in online learning environments of higher education (e.g., Kucuk &amp; Richardson, 2019; Park &amp; Yun, 2018), there is still little research attempt to develop a theoretically well-defined and psychometrically strong scale for measuring student engagement in online learning environments by using this tripartite </w:t>
      </w:r>
      <w:r w:rsidRPr="0032506F">
        <w:rPr>
          <w:rFonts w:ascii="Times New Roman" w:eastAsia="Calibri" w:hAnsi="Times New Roman" w:cs="Times New Roman"/>
          <w:color w:val="000000"/>
          <w:sz w:val="24"/>
          <w:szCs w:val="24"/>
        </w:rPr>
        <w:lastRenderedPageBreak/>
        <w:t xml:space="preserve">conception (e.g., Sun &amp; Rueda, 2012). Although Sun and Rueda’s (2012) study represents an initial attempt to measure online student engagement in a higher education context by developing a new scale using Fredricks et al.’s (2004) tripartite conception, their scale is still limited especially in terms of fully capturing online engagement due to the limited number of items they used for measuring each dimension of student engagement. The practice of merging certain cognitive engagement items with behavioral and emotional engagement items after their exploratory factor analysis and their use of only exploratory factor analysis for construct validation without doing any confirmatory analysis also raise serious concerns and questions about the construct validity of their scale. Thus, the problem associated with a lack of fully and distinctly capturing each dimension of online student engagement also called for this study to develop a new scale that can reliably and validly measure each unique dimension of student engagement with </w:t>
      </w:r>
      <w:proofErr w:type="gramStart"/>
      <w:r w:rsidRPr="0032506F">
        <w:rPr>
          <w:rFonts w:ascii="Times New Roman" w:eastAsia="Calibri" w:hAnsi="Times New Roman" w:cs="Times New Roman"/>
          <w:color w:val="000000"/>
          <w:sz w:val="24"/>
          <w:szCs w:val="24"/>
        </w:rPr>
        <w:t>a sufficient number of</w:t>
      </w:r>
      <w:proofErr w:type="gramEnd"/>
      <w:r w:rsidRPr="0032506F">
        <w:rPr>
          <w:rFonts w:ascii="Times New Roman" w:eastAsia="Calibri" w:hAnsi="Times New Roman" w:cs="Times New Roman"/>
          <w:color w:val="000000"/>
          <w:sz w:val="24"/>
          <w:szCs w:val="24"/>
        </w:rPr>
        <w:t xml:space="preserve"> items for each dimension.  </w:t>
      </w:r>
    </w:p>
    <w:p w14:paraId="1F58433A" w14:textId="7C20C7F1"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t xml:space="preserve">Therefore, the purpose of this study was to develop and validate a new self-report survey scale of student engagement in online learning environments of higher education, titled as </w:t>
      </w:r>
      <w:bookmarkStart w:id="17" w:name="_Hlk81317028"/>
      <w:r w:rsidRPr="0032506F">
        <w:rPr>
          <w:rFonts w:ascii="Times New Roman" w:eastAsia="Calibri" w:hAnsi="Times New Roman" w:cs="Times New Roman"/>
          <w:color w:val="000000"/>
          <w:sz w:val="24"/>
          <w:szCs w:val="24"/>
        </w:rPr>
        <w:t xml:space="preserve">Online Engagement in Higher Education (OEHE). </w:t>
      </w:r>
      <w:bookmarkEnd w:id="17"/>
      <w:r w:rsidRPr="0032506F">
        <w:rPr>
          <w:rFonts w:ascii="Times New Roman" w:eastAsia="Calibri" w:hAnsi="Times New Roman" w:cs="Times New Roman"/>
          <w:color w:val="000000"/>
          <w:sz w:val="24"/>
          <w:szCs w:val="24"/>
        </w:rPr>
        <w:t xml:space="preserve">The OEHE scale was intended to have three subscales: online behavioral engagement, online emotional engagement, and online cognitive engagement, each of which has specific items intended to operationalize and measure behavioral (i.e., participation and involvement in online learning tasks and activities), emotional (i.e., experience of emotional reactions toward online learning experiences), and cognitive (i.e., use of cognitive and metacognitive strategies) dimensions of student engagement in online learning environments of higher education respectively. </w:t>
      </w:r>
      <w:r w:rsidR="0020012E" w:rsidRPr="0032506F">
        <w:rPr>
          <w:rFonts w:ascii="Times New Roman" w:eastAsia="Calibri" w:hAnsi="Times New Roman" w:cs="Times New Roman"/>
          <w:color w:val="000000"/>
          <w:sz w:val="24"/>
          <w:szCs w:val="24"/>
        </w:rPr>
        <w:t xml:space="preserve">The </w:t>
      </w:r>
      <w:r w:rsidRPr="0032506F">
        <w:rPr>
          <w:rFonts w:ascii="Times New Roman" w:eastAsia="Calibri" w:hAnsi="Times New Roman" w:cs="Times New Roman"/>
          <w:color w:val="000000"/>
          <w:sz w:val="24"/>
          <w:szCs w:val="24"/>
        </w:rPr>
        <w:t xml:space="preserve">definitions of </w:t>
      </w:r>
      <w:r w:rsidR="0020012E" w:rsidRPr="0032506F">
        <w:rPr>
          <w:rFonts w:ascii="Times New Roman" w:eastAsia="Calibri" w:hAnsi="Times New Roman" w:cs="Times New Roman"/>
          <w:color w:val="000000"/>
          <w:sz w:val="24"/>
          <w:szCs w:val="24"/>
        </w:rPr>
        <w:t xml:space="preserve">the </w:t>
      </w:r>
      <w:r w:rsidRPr="0032506F">
        <w:rPr>
          <w:rFonts w:ascii="Times New Roman" w:eastAsia="Calibri" w:hAnsi="Times New Roman" w:cs="Times New Roman"/>
          <w:color w:val="000000"/>
          <w:sz w:val="24"/>
          <w:szCs w:val="24"/>
        </w:rPr>
        <w:t>three distinct dimensions of online student engagement in this study are as follows:</w:t>
      </w:r>
    </w:p>
    <w:p w14:paraId="1817DE17" w14:textId="6243A360"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lastRenderedPageBreak/>
        <w:tab/>
      </w:r>
      <w:r w:rsidRPr="0032506F">
        <w:rPr>
          <w:rFonts w:ascii="Times New Roman" w:eastAsia="Calibri" w:hAnsi="Times New Roman" w:cs="Times New Roman"/>
          <w:i/>
          <w:iCs/>
          <w:color w:val="000000"/>
          <w:sz w:val="24"/>
          <w:szCs w:val="24"/>
        </w:rPr>
        <w:t>Online behavioral engagement</w:t>
      </w:r>
      <w:r w:rsidRPr="0032506F">
        <w:rPr>
          <w:rFonts w:ascii="Times New Roman" w:eastAsia="Calibri" w:hAnsi="Times New Roman" w:cs="Times New Roman"/>
          <w:color w:val="000000"/>
          <w:sz w:val="24"/>
          <w:szCs w:val="24"/>
        </w:rPr>
        <w:t xml:space="preserve"> in this study refers to the extent to which students of higher education (i.e., undergraduate and graduate) exhibit specific behaviors of participation and involvement in their online learning process within online courses of higher education, corresponding to </w:t>
      </w:r>
      <w:r w:rsidRPr="0032506F">
        <w:rPr>
          <w:rFonts w:ascii="Times New Roman" w:eastAsia="Calibri" w:hAnsi="Times New Roman" w:cs="Times New Roman"/>
          <w:i/>
          <w:iCs/>
          <w:color w:val="000000"/>
          <w:sz w:val="24"/>
          <w:szCs w:val="24"/>
        </w:rPr>
        <w:t>participation</w:t>
      </w:r>
      <w:r w:rsidR="009F056B" w:rsidRPr="0032506F">
        <w:rPr>
          <w:rFonts w:ascii="Times New Roman" w:eastAsia="Calibri" w:hAnsi="Times New Roman" w:cs="Times New Roman"/>
          <w:i/>
          <w:iCs/>
          <w:color w:val="000000"/>
          <w:sz w:val="24"/>
          <w:szCs w:val="24"/>
        </w:rPr>
        <w:t xml:space="preserve"> </w:t>
      </w:r>
      <w:r w:rsidR="009F056B" w:rsidRPr="0032506F">
        <w:rPr>
          <w:rFonts w:ascii="Times New Roman" w:eastAsia="Calibri" w:hAnsi="Times New Roman" w:cs="Times New Roman"/>
          <w:color w:val="000000"/>
          <w:sz w:val="24"/>
          <w:szCs w:val="24"/>
        </w:rPr>
        <w:t>and</w:t>
      </w:r>
      <w:r w:rsidR="009F056B" w:rsidRPr="0032506F">
        <w:rPr>
          <w:rFonts w:ascii="Times New Roman" w:eastAsia="Calibri" w:hAnsi="Times New Roman" w:cs="Times New Roman"/>
          <w:i/>
          <w:iCs/>
          <w:color w:val="000000"/>
          <w:sz w:val="24"/>
          <w:szCs w:val="24"/>
        </w:rPr>
        <w:t xml:space="preserve"> involvement</w:t>
      </w:r>
      <w:r w:rsidRPr="0032506F">
        <w:rPr>
          <w:rFonts w:ascii="Times New Roman" w:eastAsia="Calibri" w:hAnsi="Times New Roman" w:cs="Times New Roman"/>
          <w:color w:val="000000"/>
          <w:sz w:val="24"/>
          <w:szCs w:val="24"/>
        </w:rPr>
        <w:t xml:space="preserve"> in the relevant literature of behavioral engagement (Finn, 1989; Fredricks et al., 2004; Fredricks &amp; McColskey, 2012). These specific online student behaviors include but are not limited to reading discussion posts, responding to discussion posts/prompts, studying online learning materials, and submitting assignments online, all of which indicate online students’ behavioral engagement in the academic learning process within online courses of higher education. </w:t>
      </w:r>
    </w:p>
    <w:p w14:paraId="66AFDFE9" w14:textId="77777777"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i/>
          <w:iCs/>
          <w:color w:val="000000"/>
          <w:sz w:val="24"/>
          <w:szCs w:val="24"/>
        </w:rPr>
        <w:t>Online emotional engagement</w:t>
      </w:r>
      <w:r w:rsidRPr="0032506F">
        <w:rPr>
          <w:rFonts w:ascii="Times New Roman" w:eastAsia="Calibri" w:hAnsi="Times New Roman" w:cs="Times New Roman"/>
          <w:color w:val="000000"/>
          <w:sz w:val="24"/>
          <w:szCs w:val="24"/>
        </w:rPr>
        <w:t xml:space="preserve"> in this study refers to </w:t>
      </w:r>
      <w:bookmarkStart w:id="18" w:name="_Hlk63690308"/>
      <w:r w:rsidRPr="0032506F">
        <w:rPr>
          <w:rFonts w:ascii="Times New Roman" w:eastAsia="Calibri" w:hAnsi="Times New Roman" w:cs="Times New Roman"/>
          <w:color w:val="000000"/>
          <w:sz w:val="24"/>
          <w:szCs w:val="24"/>
        </w:rPr>
        <w:t>the extent to which online students of higher education experience certain positive emotions such as enjoyment and curiosity regarding their learning experiences in online courses</w:t>
      </w:r>
      <w:bookmarkEnd w:id="18"/>
      <w:r w:rsidRPr="0032506F">
        <w:rPr>
          <w:rFonts w:ascii="Times New Roman" w:eastAsia="Calibri" w:hAnsi="Times New Roman" w:cs="Times New Roman"/>
          <w:color w:val="000000"/>
          <w:sz w:val="24"/>
          <w:szCs w:val="24"/>
        </w:rPr>
        <w:t>.</w:t>
      </w:r>
    </w:p>
    <w:p w14:paraId="042DD965" w14:textId="77777777"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i/>
          <w:iCs/>
          <w:color w:val="000000"/>
          <w:sz w:val="24"/>
          <w:szCs w:val="24"/>
        </w:rPr>
        <w:t>Online cognitive engagement</w:t>
      </w:r>
      <w:r w:rsidRPr="0032506F">
        <w:rPr>
          <w:rFonts w:ascii="Times New Roman" w:eastAsia="Calibri" w:hAnsi="Times New Roman" w:cs="Times New Roman"/>
          <w:color w:val="000000"/>
          <w:sz w:val="24"/>
          <w:szCs w:val="24"/>
        </w:rPr>
        <w:t xml:space="preserve"> refers to the extent to which online students of higher education expend and regulate conscious mental effort to use cognitive and metacognitive strategies during online learning, such as trying to make connections between online course concepts, putting forth effort to understand diverse perspectives during online discussions, and reflecting on their own understanding.</w:t>
      </w:r>
    </w:p>
    <w:p w14:paraId="6DF9B2CF" w14:textId="7E150356"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t xml:space="preserve">Behavioral, emotional, and cognitive dimensions were purposefully selected and incorporated into the measurement of online student engagement in this study because they have been shown to be the three core dimensions or major components of student engagement across studies (Fredricks &amp; McColskey, 2012; Reeve, 2013). Despite great variations in terms, definitions, and conceptualizations of the construct of engagement, Fredricks et al. (2004) in a seminal review of the engagement literature </w:t>
      </w:r>
      <w:proofErr w:type="gramStart"/>
      <w:r w:rsidRPr="0032506F">
        <w:rPr>
          <w:rFonts w:ascii="Times New Roman" w:eastAsia="Calibri" w:hAnsi="Times New Roman" w:cs="Times New Roman"/>
          <w:color w:val="000000"/>
          <w:sz w:val="24"/>
          <w:szCs w:val="24"/>
        </w:rPr>
        <w:t>came to the conclusion</w:t>
      </w:r>
      <w:proofErr w:type="gramEnd"/>
      <w:r w:rsidRPr="0032506F">
        <w:rPr>
          <w:rFonts w:ascii="Times New Roman" w:eastAsia="Calibri" w:hAnsi="Times New Roman" w:cs="Times New Roman"/>
          <w:color w:val="000000"/>
          <w:sz w:val="24"/>
          <w:szCs w:val="24"/>
        </w:rPr>
        <w:t xml:space="preserve"> that “engagement can be </w:t>
      </w:r>
      <w:r w:rsidRPr="0032506F">
        <w:rPr>
          <w:rFonts w:ascii="Times New Roman" w:eastAsia="Calibri" w:hAnsi="Times New Roman" w:cs="Times New Roman"/>
          <w:color w:val="000000"/>
          <w:sz w:val="24"/>
          <w:szCs w:val="24"/>
        </w:rPr>
        <w:lastRenderedPageBreak/>
        <w:t xml:space="preserve">thought of as a ‘meta’ construct” (p.60) and put forward </w:t>
      </w:r>
      <w:r w:rsidRPr="0032506F">
        <w:rPr>
          <w:rFonts w:ascii="Times New Roman" w:eastAsia="Calibri" w:hAnsi="Times New Roman" w:cs="Times New Roman"/>
          <w:i/>
          <w:iCs/>
          <w:color w:val="000000"/>
          <w:sz w:val="24"/>
          <w:szCs w:val="24"/>
        </w:rPr>
        <w:t>behavior</w:t>
      </w: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i/>
          <w:iCs/>
          <w:color w:val="000000"/>
          <w:sz w:val="24"/>
          <w:szCs w:val="24"/>
        </w:rPr>
        <w:t>emotion</w:t>
      </w:r>
      <w:r w:rsidRPr="0032506F">
        <w:rPr>
          <w:rFonts w:ascii="Times New Roman" w:eastAsia="Calibri" w:hAnsi="Times New Roman" w:cs="Times New Roman"/>
          <w:color w:val="000000"/>
          <w:sz w:val="24"/>
          <w:szCs w:val="24"/>
        </w:rPr>
        <w:t xml:space="preserve">, and </w:t>
      </w:r>
      <w:r w:rsidRPr="0032506F">
        <w:rPr>
          <w:rFonts w:ascii="Times New Roman" w:eastAsia="Calibri" w:hAnsi="Times New Roman" w:cs="Times New Roman"/>
          <w:i/>
          <w:iCs/>
          <w:color w:val="000000"/>
          <w:sz w:val="24"/>
          <w:szCs w:val="24"/>
        </w:rPr>
        <w:t>cognition</w:t>
      </w:r>
      <w:r w:rsidRPr="0032506F">
        <w:rPr>
          <w:rFonts w:ascii="Times New Roman" w:eastAsia="Calibri" w:hAnsi="Times New Roman" w:cs="Times New Roman"/>
          <w:color w:val="000000"/>
          <w:sz w:val="24"/>
          <w:szCs w:val="24"/>
        </w:rPr>
        <w:t xml:space="preserve"> as the three major facets of engagement. Within this tripartite conceptualization, each dimension of engagement is investigated individually but in a dynamic relation to or simultaneous interaction with one another, which makes the meta or multidimensional conceptualization of engagement more capable of reflecting what individuals </w:t>
      </w:r>
      <w:proofErr w:type="gramStart"/>
      <w:r w:rsidRPr="0032506F">
        <w:rPr>
          <w:rFonts w:ascii="Times New Roman" w:eastAsia="Calibri" w:hAnsi="Times New Roman" w:cs="Times New Roman"/>
          <w:color w:val="000000"/>
          <w:sz w:val="24"/>
          <w:szCs w:val="24"/>
        </w:rPr>
        <w:t>actually experience</w:t>
      </w:r>
      <w:proofErr w:type="gramEnd"/>
      <w:r w:rsidRPr="0032506F">
        <w:rPr>
          <w:rFonts w:ascii="Times New Roman" w:eastAsia="Calibri" w:hAnsi="Times New Roman" w:cs="Times New Roman"/>
          <w:color w:val="000000"/>
          <w:sz w:val="24"/>
          <w:szCs w:val="24"/>
        </w:rPr>
        <w:t xml:space="preserve"> in real-life situations which are much more complex relationships occurring among behaviors, emotions, and cognitions (Fredricks et al., 2004). Therefore, the OEHE scale with its three subscales used Fredricks et al.’s (2004) multidimensional conception of student engagement in its conceptualization and operationalization of online student engagement in this study.  </w:t>
      </w:r>
    </w:p>
    <w:p w14:paraId="1F4D951B" w14:textId="77777777" w:rsidR="00155D6A" w:rsidRPr="0032506F" w:rsidRDefault="00155D6A" w:rsidP="00155D6A">
      <w:pPr>
        <w:pStyle w:val="Heading2"/>
      </w:pPr>
      <w:bookmarkStart w:id="19" w:name="_Toc102489430"/>
      <w:r w:rsidRPr="0032506F">
        <w:t>Research Questions</w:t>
      </w:r>
      <w:bookmarkEnd w:id="19"/>
    </w:p>
    <w:p w14:paraId="7E5DE17B" w14:textId="6A91340A" w:rsidR="00155D6A" w:rsidRPr="0032506F" w:rsidRDefault="00155D6A" w:rsidP="00155D6A">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t>This study focused on developing and validating a self-report survey scale intended to measure behavioral engagement, emotional engagement, and cognitive engagement of students in online higher education settings as the three core dimensions of student engagement based on Fredricks et al.’s (2004, 2005) tripartite conception of engagement. For this purpose, the current study aimed to assess the reliability and validity evidence associated with the OEHE instrument by conducting factor analyses to confirm its a priori hypothesized three-factor structure and by assessing internal consistency reliability of the items in the overall scale and within each subscale. In addition to factorial and structural validity through confirmatory analytic work, construct</w:t>
      </w:r>
      <w:r w:rsidR="003F0CE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validity evidence for the scale and the subscales was also evaluated through testing for convergent, discriminant, and criterion validity evidence that was collectively used to evaluate the appropriateness of the use of the OEHE to measure online student engagement in higher education. In line with the research purpose, the following research questions guided this instrument development and validation study:</w:t>
      </w:r>
    </w:p>
    <w:p w14:paraId="72A0201F" w14:textId="77777777" w:rsidR="00155D6A" w:rsidRPr="0032506F" w:rsidRDefault="00155D6A" w:rsidP="00155D6A">
      <w:pPr>
        <w:pStyle w:val="ListParagraph"/>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
          <w:color w:val="000000"/>
          <w:sz w:val="24"/>
          <w:szCs w:val="24"/>
        </w:rPr>
        <w:lastRenderedPageBreak/>
        <w:t>RQ1:</w:t>
      </w:r>
      <w:r w:rsidRPr="0032506F">
        <w:rPr>
          <w:rFonts w:ascii="Times New Roman" w:eastAsia="Calibri" w:hAnsi="Times New Roman" w:cs="Times New Roman"/>
          <w:bCs/>
          <w:color w:val="000000"/>
          <w:sz w:val="24"/>
          <w:szCs w:val="24"/>
        </w:rPr>
        <w:t xml:space="preserve"> </w:t>
      </w:r>
      <w:bookmarkStart w:id="20" w:name="_Hlk93053374"/>
      <w:r w:rsidRPr="0032506F">
        <w:rPr>
          <w:rFonts w:ascii="Times New Roman" w:eastAsia="Calibri" w:hAnsi="Times New Roman" w:cs="Times New Roman"/>
          <w:bCs/>
          <w:color w:val="000000"/>
          <w:sz w:val="24"/>
          <w:szCs w:val="24"/>
        </w:rPr>
        <w:t xml:space="preserve">Can a three-factor hypothesized model of online student engagement based on theory and prior research be confirmed in a validation sample of online students of higher education?  </w:t>
      </w:r>
      <w:bookmarkEnd w:id="20"/>
    </w:p>
    <w:p w14:paraId="03FD2998" w14:textId="77777777" w:rsidR="00155D6A" w:rsidRPr="0032506F" w:rsidRDefault="00155D6A" w:rsidP="00155D6A">
      <w:pPr>
        <w:pStyle w:val="ListParagraph"/>
        <w:spacing w:after="0" w:line="480" w:lineRule="auto"/>
        <w:rPr>
          <w:rFonts w:ascii="Times New Roman" w:eastAsia="Calibri" w:hAnsi="Times New Roman" w:cs="Times New Roman"/>
          <w:bCs/>
          <w:color w:val="000000"/>
          <w:sz w:val="24"/>
          <w:szCs w:val="24"/>
        </w:rPr>
      </w:pPr>
      <w:bookmarkStart w:id="21" w:name="_Hlk90989023"/>
      <w:r w:rsidRPr="0032506F">
        <w:rPr>
          <w:rFonts w:ascii="Times New Roman" w:eastAsia="Calibri" w:hAnsi="Times New Roman" w:cs="Times New Roman"/>
          <w:b/>
          <w:color w:val="000000"/>
          <w:sz w:val="24"/>
          <w:szCs w:val="24"/>
        </w:rPr>
        <w:t>RQ2:</w:t>
      </w:r>
      <w:r w:rsidRPr="0032506F">
        <w:rPr>
          <w:rFonts w:ascii="Times New Roman" w:eastAsia="Calibri" w:hAnsi="Times New Roman" w:cs="Times New Roman"/>
          <w:bCs/>
          <w:color w:val="000000"/>
          <w:sz w:val="24"/>
          <w:szCs w:val="24"/>
        </w:rPr>
        <w:t xml:space="preserve"> Assuming the hypothesized three-factor model of online student engagement is at least an acceptable fitting model, does </w:t>
      </w:r>
      <w:bookmarkStart w:id="22" w:name="_Hlk90988600"/>
      <w:r w:rsidRPr="0032506F">
        <w:rPr>
          <w:rFonts w:ascii="Times New Roman" w:eastAsia="Calibri" w:hAnsi="Times New Roman" w:cs="Times New Roman"/>
          <w:bCs/>
          <w:color w:val="000000"/>
          <w:sz w:val="24"/>
          <w:szCs w:val="24"/>
        </w:rPr>
        <w:t xml:space="preserve">convergent, discriminant, and criterion validity evidence </w:t>
      </w:r>
      <w:bookmarkEnd w:id="22"/>
      <w:r w:rsidRPr="0032506F">
        <w:rPr>
          <w:rFonts w:ascii="Times New Roman" w:eastAsia="Calibri" w:hAnsi="Times New Roman" w:cs="Times New Roman"/>
          <w:bCs/>
          <w:color w:val="000000"/>
          <w:sz w:val="24"/>
          <w:szCs w:val="24"/>
        </w:rPr>
        <w:t>support the use of the scale factors as indicators of online student engagement in higher education contexts? </w:t>
      </w:r>
    </w:p>
    <w:bookmarkEnd w:id="21"/>
    <w:p w14:paraId="22316817" w14:textId="77777777" w:rsidR="00155D6A" w:rsidRPr="0032506F" w:rsidRDefault="00155D6A" w:rsidP="00155D6A">
      <w:pPr>
        <w:pStyle w:val="ListParagraph"/>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
          <w:color w:val="000000"/>
          <w:sz w:val="24"/>
          <w:szCs w:val="24"/>
        </w:rPr>
        <w:t>RQ3:</w:t>
      </w:r>
      <w:r w:rsidRPr="0032506F">
        <w:rPr>
          <w:rFonts w:ascii="Times New Roman" w:eastAsia="Calibri" w:hAnsi="Times New Roman" w:cs="Times New Roman"/>
          <w:bCs/>
          <w:color w:val="000000"/>
          <w:sz w:val="24"/>
          <w:szCs w:val="24"/>
        </w:rPr>
        <w:t xml:space="preserve"> Do the confirmed OEHE scale factors exhibit evidence of internal consistency reliability? If yes, to what extent?</w:t>
      </w:r>
    </w:p>
    <w:p w14:paraId="5C72F2DA" w14:textId="509071FC" w:rsidR="00155D6A" w:rsidRPr="0032506F" w:rsidRDefault="00155D6A" w:rsidP="00155D6A">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b/>
        <w:t xml:space="preserve">The first research question </w:t>
      </w:r>
      <w:r w:rsidR="006B3811" w:rsidRPr="0032506F">
        <w:rPr>
          <w:rFonts w:ascii="Times New Roman" w:eastAsia="Calibri" w:hAnsi="Times New Roman" w:cs="Times New Roman"/>
          <w:bCs/>
          <w:color w:val="000000"/>
          <w:sz w:val="24"/>
          <w:szCs w:val="24"/>
        </w:rPr>
        <w:t>addresses</w:t>
      </w:r>
      <w:r w:rsidRPr="0032506F">
        <w:rPr>
          <w:rFonts w:ascii="Times New Roman" w:eastAsia="Calibri" w:hAnsi="Times New Roman" w:cs="Times New Roman"/>
          <w:bCs/>
          <w:color w:val="000000"/>
          <w:sz w:val="24"/>
          <w:szCs w:val="24"/>
        </w:rPr>
        <w:t xml:space="preserve"> whether a three-factor model of student engagement that is a priori hypothesized </w:t>
      </w:r>
      <w:proofErr w:type="gramStart"/>
      <w:r w:rsidRPr="0032506F">
        <w:rPr>
          <w:rFonts w:ascii="Times New Roman" w:eastAsia="Calibri" w:hAnsi="Times New Roman" w:cs="Times New Roman"/>
          <w:bCs/>
          <w:color w:val="000000"/>
          <w:sz w:val="24"/>
          <w:szCs w:val="24"/>
        </w:rPr>
        <w:t>on the basis of</w:t>
      </w:r>
      <w:proofErr w:type="gramEnd"/>
      <w:r w:rsidRPr="0032506F">
        <w:rPr>
          <w:rFonts w:ascii="Times New Roman" w:eastAsia="Calibri" w:hAnsi="Times New Roman" w:cs="Times New Roman"/>
          <w:bCs/>
          <w:color w:val="000000"/>
          <w:sz w:val="24"/>
          <w:szCs w:val="24"/>
        </w:rPr>
        <w:t xml:space="preserve"> Fredricks et al</w:t>
      </w:r>
      <w:r w:rsidR="00DB4D7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’s (2004) conception of engagement can be validated in online learning environments of higher education with a sample of undergraduate and graduate students taking online courses as part of their education. The second research question addresses the construct validity evidence to be obtained through convergent, discriminant, and criterion validity evidence supporting the use of the OEHE factors to represent online student engagement in higher education. Finally, the third research question addresses the internal consistency reliability of the OEHE scales and of the OEHE </w:t>
      </w:r>
      <w:proofErr w:type="gramStart"/>
      <w:r w:rsidRPr="0032506F">
        <w:rPr>
          <w:rFonts w:ascii="Times New Roman" w:eastAsia="Calibri" w:hAnsi="Times New Roman" w:cs="Times New Roman"/>
          <w:bCs/>
          <w:color w:val="000000"/>
          <w:sz w:val="24"/>
          <w:szCs w:val="24"/>
        </w:rPr>
        <w:t>instrument as a whole</w:t>
      </w:r>
      <w:proofErr w:type="gramEnd"/>
      <w:r w:rsidRPr="0032506F">
        <w:rPr>
          <w:rFonts w:ascii="Times New Roman" w:eastAsia="Calibri" w:hAnsi="Times New Roman" w:cs="Times New Roman"/>
          <w:bCs/>
          <w:color w:val="000000"/>
          <w:sz w:val="24"/>
          <w:szCs w:val="24"/>
        </w:rPr>
        <w:t xml:space="preserve">. </w:t>
      </w:r>
    </w:p>
    <w:p w14:paraId="40DB6D63" w14:textId="77777777" w:rsidR="00155D6A" w:rsidRPr="0032506F" w:rsidRDefault="00155D6A" w:rsidP="00155D6A">
      <w:pPr>
        <w:pStyle w:val="Heading2"/>
      </w:pPr>
      <w:bookmarkStart w:id="23" w:name="_Toc102489431"/>
      <w:r w:rsidRPr="0032506F">
        <w:t>Significance of the Study</w:t>
      </w:r>
      <w:bookmarkEnd w:id="23"/>
    </w:p>
    <w:p w14:paraId="3D0040C9" w14:textId="34ECFAC4" w:rsidR="00155D6A" w:rsidRPr="0032506F" w:rsidRDefault="00155D6A" w:rsidP="00155D6A">
      <w:pPr>
        <w:spacing w:after="0" w:line="480" w:lineRule="auto"/>
        <w:rPr>
          <w:rFonts w:ascii="TimesNewRoman" w:eastAsia="Calibri" w:hAnsi="TimesNewRoman" w:cs="TimesNewRoman"/>
          <w:sz w:val="24"/>
          <w:szCs w:val="24"/>
        </w:rPr>
      </w:pPr>
      <w:r w:rsidRPr="0032506F">
        <w:rPr>
          <w:rFonts w:ascii="Times New Roman" w:eastAsia="Calibri" w:hAnsi="Times New Roman" w:cs="Times New Roman"/>
          <w:color w:val="000000"/>
          <w:sz w:val="24"/>
          <w:szCs w:val="24"/>
        </w:rPr>
        <w:tab/>
        <w:t xml:space="preserve">Online education continues to grow at a rapid rate in higher education and student engagement in online learning environments remains a significant issue and an important </w:t>
      </w:r>
      <w:r w:rsidR="00801C45" w:rsidRPr="0032506F">
        <w:rPr>
          <w:rFonts w:ascii="Times New Roman" w:eastAsia="Calibri" w:hAnsi="Times New Roman" w:cs="Times New Roman"/>
          <w:color w:val="000000"/>
          <w:sz w:val="24"/>
          <w:szCs w:val="24"/>
        </w:rPr>
        <w:t xml:space="preserve">factor influencing </w:t>
      </w:r>
      <w:r w:rsidR="001B66C2" w:rsidRPr="0032506F">
        <w:rPr>
          <w:rFonts w:ascii="Times New Roman" w:eastAsia="Calibri" w:hAnsi="Times New Roman" w:cs="Times New Roman"/>
          <w:color w:val="000000"/>
          <w:sz w:val="24"/>
          <w:szCs w:val="24"/>
        </w:rPr>
        <w:t>online learning experiences</w:t>
      </w:r>
      <w:r w:rsidRPr="0032506F">
        <w:rPr>
          <w:rFonts w:ascii="Times New Roman" w:eastAsia="Calibri" w:hAnsi="Times New Roman" w:cs="Times New Roman"/>
          <w:color w:val="000000"/>
          <w:sz w:val="24"/>
          <w:szCs w:val="24"/>
        </w:rPr>
        <w:t xml:space="preserve"> (Hoi &amp; Le Hang, 2021; Kucuk &amp; Richardson, 2019; Meyer, 2014; Robinson &amp; Hullinger, 200</w:t>
      </w:r>
      <w:r w:rsidR="00DB4D7F">
        <w:rPr>
          <w:rFonts w:ascii="Times New Roman" w:eastAsia="Calibri" w:hAnsi="Times New Roman" w:cs="Times New Roman"/>
          <w:color w:val="000000"/>
          <w:sz w:val="24"/>
          <w:szCs w:val="24"/>
        </w:rPr>
        <w:t>8</w:t>
      </w:r>
      <w:r w:rsidRPr="0032506F">
        <w:rPr>
          <w:rFonts w:ascii="Times New Roman" w:eastAsia="Calibri" w:hAnsi="Times New Roman" w:cs="Times New Roman"/>
          <w:color w:val="000000"/>
          <w:sz w:val="24"/>
          <w:szCs w:val="24"/>
        </w:rPr>
        <w:t xml:space="preserve">). Accurate assessments and evaluations of online student engagement are thus necessary for all stakeholders of online education to </w:t>
      </w:r>
      <w:r w:rsidRPr="0032506F">
        <w:rPr>
          <w:rFonts w:ascii="TimesNewRoman" w:eastAsia="Calibri" w:hAnsi="TimesNewRoman" w:cs="TimesNewRoman"/>
          <w:sz w:val="24"/>
          <w:szCs w:val="24"/>
        </w:rPr>
        <w:t xml:space="preserve">make </w:t>
      </w:r>
      <w:r w:rsidRPr="0032506F">
        <w:rPr>
          <w:rFonts w:ascii="TimesNewRoman" w:eastAsia="Calibri" w:hAnsi="TimesNewRoman" w:cs="TimesNewRoman"/>
          <w:sz w:val="24"/>
          <w:szCs w:val="24"/>
        </w:rPr>
        <w:lastRenderedPageBreak/>
        <w:t>appropriate and accurate evidence-based decisions about instructional design</w:t>
      </w:r>
      <w:r w:rsidR="0085136D" w:rsidRPr="0032506F">
        <w:rPr>
          <w:rFonts w:ascii="TimesNewRoman" w:eastAsia="Calibri" w:hAnsi="TimesNewRoman" w:cs="TimesNewRoman"/>
          <w:sz w:val="24"/>
          <w:szCs w:val="24"/>
        </w:rPr>
        <w:t xml:space="preserve"> and </w:t>
      </w:r>
      <w:r w:rsidRPr="0032506F">
        <w:rPr>
          <w:rFonts w:ascii="TimesNewRoman" w:eastAsia="Calibri" w:hAnsi="TimesNewRoman" w:cs="TimesNewRoman"/>
          <w:sz w:val="24"/>
          <w:szCs w:val="24"/>
        </w:rPr>
        <w:t xml:space="preserve">practices, and </w:t>
      </w:r>
      <w:r w:rsidR="0085136D" w:rsidRPr="0032506F">
        <w:rPr>
          <w:rFonts w:ascii="TimesNewRoman" w:eastAsia="Calibri" w:hAnsi="TimesNewRoman" w:cs="TimesNewRoman"/>
          <w:sz w:val="24"/>
          <w:szCs w:val="24"/>
        </w:rPr>
        <w:t xml:space="preserve">to introduce </w:t>
      </w:r>
      <w:r w:rsidRPr="0032506F">
        <w:rPr>
          <w:rFonts w:ascii="TimesNewRoman" w:eastAsia="Calibri" w:hAnsi="TimesNewRoman" w:cs="TimesNewRoman"/>
          <w:sz w:val="24"/>
          <w:szCs w:val="24"/>
        </w:rPr>
        <w:t xml:space="preserve">possible interventions in online courses to improve student engagement and so ensure </w:t>
      </w:r>
      <w:r w:rsidR="009876FE" w:rsidRPr="0032506F">
        <w:rPr>
          <w:rFonts w:ascii="TimesNewRoman" w:eastAsia="Calibri" w:hAnsi="TimesNewRoman" w:cs="TimesNewRoman"/>
          <w:sz w:val="24"/>
          <w:szCs w:val="24"/>
        </w:rPr>
        <w:t>successful online</w:t>
      </w:r>
      <w:r w:rsidRPr="0032506F">
        <w:rPr>
          <w:rFonts w:ascii="TimesNewRoman" w:eastAsia="Calibri" w:hAnsi="TimesNewRoman" w:cs="TimesNewRoman"/>
          <w:sz w:val="24"/>
          <w:szCs w:val="24"/>
        </w:rPr>
        <w:t xml:space="preserve"> learning experiences (Czerkawski &amp; Lyman, 2016; Dixson, 2015; Kozan &amp; Richardson, 2014; Kucuk &amp; Richardson, 2019). </w:t>
      </w:r>
    </w:p>
    <w:p w14:paraId="4DC24658" w14:textId="2CC5EB44" w:rsidR="00155D6A" w:rsidRPr="0032506F" w:rsidRDefault="00155D6A" w:rsidP="00155D6A">
      <w:pPr>
        <w:spacing w:after="0" w:line="480" w:lineRule="auto"/>
        <w:ind w:firstLine="720"/>
        <w:rPr>
          <w:rFonts w:ascii="Times New Roman" w:eastAsia="Calibri" w:hAnsi="Times New Roman" w:cs="Times New Roman"/>
          <w:color w:val="000000"/>
          <w:sz w:val="24"/>
          <w:szCs w:val="24"/>
        </w:rPr>
      </w:pPr>
      <w:r w:rsidRPr="0032506F">
        <w:rPr>
          <w:rFonts w:ascii="TimesNewRoman" w:eastAsia="Calibri" w:hAnsi="TimesNewRoman" w:cs="TimesNewRoman"/>
          <w:sz w:val="24"/>
          <w:szCs w:val="24"/>
        </w:rPr>
        <w:t xml:space="preserve">The </w:t>
      </w:r>
      <w:r w:rsidRPr="0032506F">
        <w:rPr>
          <w:rFonts w:ascii="Times New Roman" w:eastAsia="Calibri" w:hAnsi="Times New Roman" w:cs="Times New Roman"/>
          <w:color w:val="000000"/>
          <w:sz w:val="24"/>
          <w:szCs w:val="24"/>
        </w:rPr>
        <w:t xml:space="preserve">findings of this instrument development and validation study have significant implications regarding student engagement in online learning environments. First, this study contributes to the literature with the development of an accurate and useful assessment </w:t>
      </w:r>
      <w:r w:rsidR="00A46587" w:rsidRPr="0032506F">
        <w:rPr>
          <w:rFonts w:ascii="Times New Roman" w:eastAsia="Calibri" w:hAnsi="Times New Roman" w:cs="Times New Roman"/>
          <w:color w:val="000000"/>
          <w:sz w:val="24"/>
          <w:szCs w:val="24"/>
        </w:rPr>
        <w:t xml:space="preserve">tool </w:t>
      </w:r>
      <w:r w:rsidRPr="0032506F">
        <w:rPr>
          <w:rFonts w:ascii="Times New Roman" w:eastAsia="Calibri" w:hAnsi="Times New Roman" w:cs="Times New Roman"/>
          <w:color w:val="000000"/>
          <w:sz w:val="24"/>
          <w:szCs w:val="24"/>
        </w:rPr>
        <w:t xml:space="preserve">of online student engagement in higher education settings. </w:t>
      </w:r>
      <w:r w:rsidR="00524EC2" w:rsidRPr="0032506F">
        <w:rPr>
          <w:rFonts w:ascii="Times New Roman" w:eastAsia="Calibri" w:hAnsi="Times New Roman" w:cs="Times New Roman"/>
          <w:color w:val="000000"/>
          <w:sz w:val="24"/>
          <w:szCs w:val="24"/>
        </w:rPr>
        <w:t>The OEHE instrument can be used to assess students’ behavioral, emotional, and cognitive engagement levels in online learning environments to make evidence-based decisions for learning and instruction</w:t>
      </w:r>
      <w:r w:rsidR="00DA630F" w:rsidRPr="0032506F">
        <w:rPr>
          <w:rFonts w:ascii="Times New Roman" w:eastAsia="Calibri" w:hAnsi="Times New Roman" w:cs="Times New Roman"/>
          <w:color w:val="000000"/>
          <w:sz w:val="24"/>
          <w:szCs w:val="24"/>
        </w:rPr>
        <w:t xml:space="preserve"> (e.g., course design</w:t>
      </w:r>
      <w:r w:rsidR="007A73B2" w:rsidRPr="0032506F">
        <w:rPr>
          <w:rFonts w:ascii="Times New Roman" w:eastAsia="Calibri" w:hAnsi="Times New Roman" w:cs="Times New Roman"/>
          <w:color w:val="000000"/>
          <w:sz w:val="24"/>
          <w:szCs w:val="24"/>
        </w:rPr>
        <w:t>, development of tasks and activities)</w:t>
      </w:r>
      <w:r w:rsidR="00524EC2"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Second, this study contributes to extending our </w:t>
      </w:r>
      <w:r w:rsidR="007A73B2" w:rsidRPr="0032506F">
        <w:rPr>
          <w:rFonts w:ascii="Times New Roman" w:eastAsia="Calibri" w:hAnsi="Times New Roman" w:cs="Times New Roman"/>
          <w:color w:val="000000"/>
          <w:sz w:val="24"/>
          <w:szCs w:val="24"/>
        </w:rPr>
        <w:t xml:space="preserve">theoretical </w:t>
      </w:r>
      <w:r w:rsidRPr="0032506F">
        <w:rPr>
          <w:rFonts w:ascii="Times New Roman" w:eastAsia="Calibri" w:hAnsi="Times New Roman" w:cs="Times New Roman"/>
          <w:color w:val="000000"/>
          <w:sz w:val="24"/>
          <w:szCs w:val="24"/>
        </w:rPr>
        <w:t>understanding of the complex construct of engagement in online learning environments. Third, researchers in the field may benefit from this study as the study offers a robust measure of engagement that they can use to examine relationships between engagement and other constructs of their interest in online learning environments. Lastly, the findings of this study help community of practice to highlight the issues of diversity, inclusiveness, and accessibility in online education, which may be used to identify weaknesses in online course design and facilitation and to improve students’ online learning experience through improving the quality and effectiveness of online courses.</w:t>
      </w:r>
    </w:p>
    <w:p w14:paraId="481E52A6" w14:textId="77777777" w:rsidR="0082746B" w:rsidRPr="0032506F" w:rsidRDefault="0082746B" w:rsidP="00155D6A">
      <w:pPr>
        <w:tabs>
          <w:tab w:val="left" w:pos="3797"/>
        </w:tabs>
        <w:rPr>
          <w:rFonts w:ascii="Times New Roman" w:hAnsi="Times New Roman" w:cs="Times New Roman"/>
          <w:sz w:val="24"/>
          <w:szCs w:val="24"/>
        </w:rPr>
        <w:sectPr w:rsidR="0082746B" w:rsidRPr="0032506F" w:rsidSect="00C4711F">
          <w:pgSz w:w="12240" w:h="15840"/>
          <w:pgMar w:top="1440" w:right="1440" w:bottom="1440" w:left="1440" w:header="720" w:footer="720" w:gutter="0"/>
          <w:pgNumType w:start="1"/>
          <w:cols w:space="720"/>
          <w:docGrid w:linePitch="360"/>
        </w:sectPr>
      </w:pPr>
    </w:p>
    <w:p w14:paraId="2F3D6575" w14:textId="7B90EDE5" w:rsidR="0082746B" w:rsidRPr="0032506F" w:rsidRDefault="0082746B" w:rsidP="0082746B">
      <w:pPr>
        <w:pStyle w:val="Heading1"/>
        <w:rPr>
          <w:rFonts w:eastAsia="MS Gothic"/>
        </w:rPr>
      </w:pPr>
      <w:bookmarkStart w:id="24" w:name="_Toc102489432"/>
      <w:r w:rsidRPr="0032506F">
        <w:rPr>
          <w:rFonts w:eastAsia="MS Gothic"/>
        </w:rPr>
        <w:lastRenderedPageBreak/>
        <w:t>Chapter 2: Literature Review</w:t>
      </w:r>
      <w:bookmarkEnd w:id="24"/>
    </w:p>
    <w:p w14:paraId="39F410FE" w14:textId="09DD5786"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bookmarkStart w:id="25" w:name="_Hlk96267298"/>
      <w:r w:rsidRPr="0032506F">
        <w:rPr>
          <w:rFonts w:ascii="Times New Roman" w:eastAsia="Calibri" w:hAnsi="Times New Roman" w:cs="Times New Roman"/>
          <w:color w:val="000000"/>
          <w:sz w:val="24"/>
          <w:szCs w:val="24"/>
        </w:rPr>
        <w:t>In this chapter, a review of the literature on engagement in both traditional face-to-face and online learning environments</w:t>
      </w:r>
      <w:r w:rsidR="006808B0" w:rsidRPr="0032506F">
        <w:rPr>
          <w:rFonts w:ascii="Times New Roman" w:eastAsia="Calibri" w:hAnsi="Times New Roman" w:cs="Times New Roman"/>
          <w:color w:val="000000"/>
          <w:sz w:val="24"/>
          <w:szCs w:val="24"/>
        </w:rPr>
        <w:t xml:space="preserve"> is presented</w:t>
      </w:r>
      <w:r w:rsidRPr="0032506F">
        <w:rPr>
          <w:rFonts w:ascii="Times New Roman" w:eastAsia="Calibri" w:hAnsi="Times New Roman" w:cs="Times New Roman"/>
          <w:color w:val="000000"/>
          <w:sz w:val="24"/>
          <w:szCs w:val="24"/>
        </w:rPr>
        <w:t>, primarily focusing on the major definitions and conceptualizations of the construct and subconstructs for the specific purposes of the current study. Then, an overview of operationalizations and measurements of each dimension of student engagement together with methodological limitations associated with them</w:t>
      </w:r>
      <w:r w:rsidR="006808B0" w:rsidRPr="0032506F">
        <w:rPr>
          <w:rFonts w:ascii="Times New Roman" w:eastAsia="Calibri" w:hAnsi="Times New Roman" w:cs="Times New Roman"/>
          <w:color w:val="000000"/>
          <w:sz w:val="24"/>
          <w:szCs w:val="24"/>
        </w:rPr>
        <w:t xml:space="preserve"> is presented</w:t>
      </w:r>
      <w:r w:rsidRPr="0032506F">
        <w:rPr>
          <w:rFonts w:ascii="Times New Roman" w:eastAsia="Calibri" w:hAnsi="Times New Roman" w:cs="Times New Roman"/>
          <w:color w:val="000000"/>
          <w:sz w:val="24"/>
          <w:szCs w:val="24"/>
        </w:rPr>
        <w:t xml:space="preserve">. For the specific purpose of the study, this section focuses on self-report survey measures used for each subdimension of engagement. Finally, two major issues of limitation </w:t>
      </w:r>
      <w:r w:rsidR="006808B0" w:rsidRPr="0032506F">
        <w:rPr>
          <w:rFonts w:ascii="Times New Roman" w:eastAsia="Calibri" w:hAnsi="Times New Roman" w:cs="Times New Roman"/>
          <w:color w:val="000000"/>
          <w:sz w:val="24"/>
          <w:szCs w:val="24"/>
        </w:rPr>
        <w:t xml:space="preserve">are discussed </w:t>
      </w:r>
      <w:r w:rsidRPr="0032506F">
        <w:rPr>
          <w:rFonts w:ascii="Times New Roman" w:eastAsia="Calibri" w:hAnsi="Times New Roman" w:cs="Times New Roman"/>
          <w:color w:val="000000"/>
          <w:sz w:val="24"/>
          <w:szCs w:val="24"/>
        </w:rPr>
        <w:t xml:space="preserve">regarding the </w:t>
      </w:r>
      <w:r w:rsidR="00850985" w:rsidRPr="0032506F">
        <w:rPr>
          <w:rFonts w:ascii="Times New Roman" w:eastAsia="Calibri" w:hAnsi="Times New Roman" w:cs="Times New Roman"/>
          <w:color w:val="000000"/>
          <w:sz w:val="24"/>
          <w:szCs w:val="24"/>
        </w:rPr>
        <w:t>operationalization and measurement</w:t>
      </w:r>
      <w:r w:rsidRPr="0032506F">
        <w:rPr>
          <w:rFonts w:ascii="Times New Roman" w:eastAsia="Calibri" w:hAnsi="Times New Roman" w:cs="Times New Roman"/>
          <w:color w:val="000000"/>
          <w:sz w:val="24"/>
          <w:szCs w:val="24"/>
        </w:rPr>
        <w:t xml:space="preserve"> of online student engagement</w:t>
      </w:r>
      <w:r w:rsidR="00850985"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through a critical review of existing measures of online student engagement, highlighting their theoretical and/or methodological limitations that are in turn used by the current study to justify the need for the development and validation of a new instrument in this study. </w:t>
      </w:r>
      <w:bookmarkStart w:id="26" w:name="_Hlk58941428"/>
    </w:p>
    <w:p w14:paraId="633CA714" w14:textId="77777777" w:rsidR="0082746B" w:rsidRPr="0032506F" w:rsidRDefault="0082746B" w:rsidP="0082746B">
      <w:pPr>
        <w:keepNext/>
        <w:keepLines/>
        <w:spacing w:after="0" w:line="480" w:lineRule="auto"/>
        <w:outlineLvl w:val="1"/>
        <w:rPr>
          <w:rFonts w:ascii="Times New Roman" w:eastAsiaTheme="majorEastAsia" w:hAnsi="Times New Roman" w:cs="Times New Roman"/>
          <w:b/>
          <w:bCs/>
          <w:sz w:val="24"/>
          <w:szCs w:val="24"/>
        </w:rPr>
      </w:pPr>
      <w:bookmarkStart w:id="27" w:name="_Toc102489433"/>
      <w:bookmarkEnd w:id="25"/>
      <w:r w:rsidRPr="0032506F">
        <w:rPr>
          <w:rFonts w:ascii="Times New Roman" w:eastAsiaTheme="majorEastAsia" w:hAnsi="Times New Roman" w:cs="Times New Roman"/>
          <w:b/>
          <w:bCs/>
          <w:sz w:val="24"/>
          <w:szCs w:val="24"/>
        </w:rPr>
        <w:t>Student Engagement: An Overview</w:t>
      </w:r>
      <w:bookmarkEnd w:id="27"/>
    </w:p>
    <w:bookmarkEnd w:id="26"/>
    <w:p w14:paraId="28E29D0F" w14:textId="5AB3D700"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Student engagement has been studied for decades both as an important educational outcome sensitive to different factors in learning environments</w:t>
      </w:r>
      <w:r w:rsidR="00C07BEF" w:rsidRPr="0032506F">
        <w:rPr>
          <w:rFonts w:ascii="Times New Roman" w:eastAsia="Calibri" w:hAnsi="Times New Roman" w:cs="Times New Roman"/>
          <w:bCs/>
          <w:color w:val="000000"/>
          <w:sz w:val="24"/>
          <w:szCs w:val="24"/>
        </w:rPr>
        <w:t xml:space="preserve"> (Reeve et al., 2020)</w:t>
      </w:r>
      <w:r w:rsidRPr="0032506F">
        <w:rPr>
          <w:rFonts w:ascii="Times New Roman" w:eastAsia="Calibri" w:hAnsi="Times New Roman" w:cs="Times New Roman"/>
          <w:bCs/>
          <w:color w:val="000000"/>
          <w:sz w:val="24"/>
          <w:szCs w:val="24"/>
        </w:rPr>
        <w:t xml:space="preserve"> and as an important variable </w:t>
      </w:r>
      <w:r w:rsidR="00850985" w:rsidRPr="0032506F">
        <w:rPr>
          <w:rFonts w:ascii="Times New Roman" w:eastAsia="Calibri" w:hAnsi="Times New Roman" w:cs="Times New Roman"/>
          <w:bCs/>
          <w:color w:val="000000"/>
          <w:sz w:val="24"/>
          <w:szCs w:val="24"/>
        </w:rPr>
        <w:t>empirically</w:t>
      </w:r>
      <w:r w:rsidRPr="0032506F">
        <w:rPr>
          <w:rFonts w:ascii="Times New Roman" w:eastAsia="Calibri" w:hAnsi="Times New Roman" w:cs="Times New Roman"/>
          <w:bCs/>
          <w:color w:val="000000"/>
          <w:sz w:val="24"/>
          <w:szCs w:val="24"/>
        </w:rPr>
        <w:t xml:space="preserve"> associated with other significant outcomes, including </w:t>
      </w:r>
      <w:r w:rsidR="008B0BF3" w:rsidRPr="0032506F">
        <w:rPr>
          <w:rFonts w:ascii="Times New Roman" w:eastAsia="Calibri" w:hAnsi="Times New Roman" w:cs="Times New Roman"/>
          <w:bCs/>
          <w:color w:val="000000"/>
          <w:sz w:val="24"/>
          <w:szCs w:val="24"/>
        </w:rPr>
        <w:t>better learning</w:t>
      </w:r>
      <w:r w:rsidR="00E25EF0"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academic</w:t>
      </w:r>
      <w:r w:rsidR="0060717C" w:rsidRPr="0032506F">
        <w:rPr>
          <w:rFonts w:ascii="Times New Roman" w:eastAsia="Calibri" w:hAnsi="Times New Roman" w:cs="Times New Roman"/>
          <w:bCs/>
          <w:color w:val="000000"/>
          <w:sz w:val="24"/>
          <w:szCs w:val="24"/>
        </w:rPr>
        <w:t xml:space="preserve"> progress and </w:t>
      </w:r>
      <w:r w:rsidRPr="0032506F">
        <w:rPr>
          <w:rFonts w:ascii="Times New Roman" w:eastAsia="Calibri" w:hAnsi="Times New Roman" w:cs="Times New Roman"/>
          <w:bCs/>
          <w:color w:val="000000"/>
          <w:sz w:val="24"/>
          <w:szCs w:val="24"/>
        </w:rPr>
        <w:t>achievement</w:t>
      </w:r>
      <w:r w:rsidR="00E25EF0" w:rsidRPr="0032506F">
        <w:rPr>
          <w:rFonts w:ascii="Times New Roman" w:eastAsia="Calibri" w:hAnsi="Times New Roman" w:cs="Times New Roman"/>
          <w:bCs/>
          <w:color w:val="000000"/>
          <w:sz w:val="24"/>
          <w:szCs w:val="24"/>
        </w:rPr>
        <w:t xml:space="preserve"> </w:t>
      </w:r>
      <w:r w:rsidR="00EF4485" w:rsidRPr="0032506F">
        <w:rPr>
          <w:rFonts w:ascii="Times New Roman" w:eastAsia="Calibri" w:hAnsi="Times New Roman" w:cs="Times New Roman"/>
          <w:bCs/>
          <w:color w:val="000000"/>
          <w:sz w:val="24"/>
          <w:szCs w:val="24"/>
        </w:rPr>
        <w:t>(Appleton et al., 2006</w:t>
      </w:r>
      <w:r w:rsidR="009808DD" w:rsidRPr="0032506F">
        <w:rPr>
          <w:rFonts w:ascii="Times New Roman" w:eastAsia="Calibri" w:hAnsi="Times New Roman" w:cs="Times New Roman"/>
          <w:bCs/>
          <w:color w:val="000000"/>
          <w:sz w:val="24"/>
          <w:szCs w:val="24"/>
        </w:rPr>
        <w:t xml:space="preserve">; </w:t>
      </w:r>
      <w:r w:rsidR="00E25EF0" w:rsidRPr="0032506F">
        <w:rPr>
          <w:rFonts w:ascii="Times New Roman" w:eastAsia="Calibri" w:hAnsi="Times New Roman" w:cs="Times New Roman"/>
          <w:bCs/>
          <w:color w:val="000000"/>
          <w:sz w:val="24"/>
          <w:szCs w:val="24"/>
        </w:rPr>
        <w:t xml:space="preserve">Azevedo, 2015; </w:t>
      </w:r>
      <w:r w:rsidR="006C33C6" w:rsidRPr="0032506F">
        <w:rPr>
          <w:rFonts w:ascii="Times New Roman" w:eastAsia="Calibri" w:hAnsi="Times New Roman" w:cs="Times New Roman"/>
          <w:bCs/>
          <w:color w:val="000000"/>
          <w:sz w:val="24"/>
          <w:szCs w:val="24"/>
        </w:rPr>
        <w:t xml:space="preserve">Finn &amp; Zimmer, 2012; </w:t>
      </w:r>
      <w:r w:rsidR="00A5766C" w:rsidRPr="0032506F">
        <w:rPr>
          <w:rFonts w:ascii="Times New Roman" w:eastAsia="Calibri" w:hAnsi="Times New Roman" w:cs="Times New Roman"/>
          <w:bCs/>
          <w:color w:val="000000"/>
          <w:sz w:val="24"/>
          <w:szCs w:val="24"/>
        </w:rPr>
        <w:t xml:space="preserve">Fredricks, 2015; </w:t>
      </w:r>
      <w:r w:rsidR="00631AE7" w:rsidRPr="0032506F">
        <w:rPr>
          <w:rFonts w:ascii="Times New Roman" w:eastAsia="Calibri" w:hAnsi="Times New Roman" w:cs="Times New Roman"/>
          <w:bCs/>
          <w:color w:val="000000"/>
          <w:sz w:val="24"/>
          <w:szCs w:val="24"/>
        </w:rPr>
        <w:t xml:space="preserve">Fredricks, Filsecker, &amp; Lawson et al., 2016; </w:t>
      </w:r>
      <w:r w:rsidR="007525D4" w:rsidRPr="0032506F">
        <w:rPr>
          <w:rFonts w:ascii="Times New Roman" w:eastAsia="Calibri" w:hAnsi="Times New Roman" w:cs="Times New Roman"/>
          <w:bCs/>
          <w:color w:val="000000"/>
          <w:sz w:val="24"/>
          <w:szCs w:val="24"/>
        </w:rPr>
        <w:t xml:space="preserve">Glanville &amp; Wildhagen, 2007; </w:t>
      </w:r>
      <w:r w:rsidR="009C655F" w:rsidRPr="0032506F">
        <w:rPr>
          <w:rFonts w:ascii="Times New Roman" w:eastAsia="Calibri" w:hAnsi="Times New Roman" w:cs="Times New Roman"/>
          <w:bCs/>
          <w:color w:val="000000"/>
          <w:sz w:val="24"/>
          <w:szCs w:val="24"/>
        </w:rPr>
        <w:t xml:space="preserve">Henrie et al., 2015; </w:t>
      </w:r>
      <w:r w:rsidR="009808DD" w:rsidRPr="0032506F">
        <w:rPr>
          <w:rFonts w:ascii="Times New Roman" w:eastAsia="Calibri" w:hAnsi="Times New Roman" w:cs="Times New Roman"/>
          <w:bCs/>
          <w:color w:val="000000"/>
          <w:sz w:val="24"/>
          <w:szCs w:val="24"/>
        </w:rPr>
        <w:t>Klem &amp; Connell, 2004</w:t>
      </w:r>
      <w:r w:rsidR="00896F14" w:rsidRPr="0032506F">
        <w:rPr>
          <w:rFonts w:ascii="Times New Roman" w:eastAsia="Calibri" w:hAnsi="Times New Roman" w:cs="Times New Roman"/>
          <w:bCs/>
          <w:color w:val="000000"/>
          <w:sz w:val="24"/>
          <w:szCs w:val="24"/>
        </w:rPr>
        <w:t>; Reeve et al., 2004</w:t>
      </w:r>
      <w:r w:rsidR="0060717C" w:rsidRPr="0032506F">
        <w:rPr>
          <w:rFonts w:ascii="Times New Roman" w:eastAsia="Calibri" w:hAnsi="Times New Roman" w:cs="Times New Roman"/>
          <w:bCs/>
          <w:color w:val="000000"/>
          <w:sz w:val="24"/>
          <w:szCs w:val="24"/>
        </w:rPr>
        <w:t>; Reeve &amp; Tseng, 2011</w:t>
      </w:r>
      <w:r w:rsidR="00082EA2" w:rsidRPr="0032506F">
        <w:rPr>
          <w:rFonts w:ascii="Times New Roman" w:eastAsia="Calibri" w:hAnsi="Times New Roman" w:cs="Times New Roman"/>
          <w:bCs/>
          <w:color w:val="000000"/>
          <w:sz w:val="24"/>
          <w:szCs w:val="24"/>
        </w:rPr>
        <w:t>; Reeve et al., 2020</w:t>
      </w:r>
      <w:r w:rsidR="00EF4485"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w:t>
      </w:r>
      <w:r w:rsidR="008B0BF3"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student behavior</w:t>
      </w:r>
      <w:r w:rsidR="00995B17" w:rsidRPr="0032506F">
        <w:rPr>
          <w:rFonts w:ascii="Times New Roman" w:eastAsia="Calibri" w:hAnsi="Times New Roman" w:cs="Times New Roman"/>
          <w:bCs/>
          <w:color w:val="000000"/>
          <w:sz w:val="24"/>
          <w:szCs w:val="24"/>
        </w:rPr>
        <w:t>s</w:t>
      </w:r>
      <w:r w:rsidRPr="0032506F">
        <w:rPr>
          <w:rFonts w:ascii="Times New Roman" w:eastAsia="Calibri" w:hAnsi="Times New Roman" w:cs="Times New Roman"/>
          <w:bCs/>
          <w:color w:val="000000"/>
          <w:sz w:val="24"/>
          <w:szCs w:val="24"/>
        </w:rPr>
        <w:t xml:space="preserve"> </w:t>
      </w:r>
      <w:r w:rsidR="00995B17" w:rsidRPr="0032506F">
        <w:rPr>
          <w:rFonts w:ascii="Times New Roman" w:eastAsia="Calibri" w:hAnsi="Times New Roman" w:cs="Times New Roman"/>
          <w:bCs/>
          <w:color w:val="000000"/>
          <w:sz w:val="24"/>
          <w:szCs w:val="24"/>
        </w:rPr>
        <w:t xml:space="preserve">in the classroom and </w:t>
      </w:r>
      <w:r w:rsidRPr="0032506F">
        <w:rPr>
          <w:rFonts w:ascii="Times New Roman" w:eastAsia="Calibri" w:hAnsi="Times New Roman" w:cs="Times New Roman"/>
          <w:bCs/>
          <w:color w:val="000000"/>
          <w:sz w:val="24"/>
          <w:szCs w:val="24"/>
        </w:rPr>
        <w:t>at school</w:t>
      </w:r>
      <w:r w:rsidR="008B0BF3" w:rsidRPr="0032506F">
        <w:rPr>
          <w:rFonts w:ascii="Times New Roman" w:eastAsia="Calibri" w:hAnsi="Times New Roman" w:cs="Times New Roman"/>
          <w:bCs/>
          <w:color w:val="000000"/>
          <w:sz w:val="24"/>
          <w:szCs w:val="24"/>
        </w:rPr>
        <w:t xml:space="preserve"> (</w:t>
      </w:r>
      <w:r w:rsidR="00995B17" w:rsidRPr="0032506F">
        <w:rPr>
          <w:rFonts w:ascii="Times New Roman" w:eastAsia="Calibri" w:hAnsi="Times New Roman" w:cs="Times New Roman"/>
          <w:bCs/>
          <w:color w:val="000000"/>
          <w:sz w:val="24"/>
          <w:szCs w:val="24"/>
        </w:rPr>
        <w:t>Azevedo, 2015;</w:t>
      </w:r>
      <w:r w:rsidR="00A5766C" w:rsidRPr="0032506F">
        <w:rPr>
          <w:rFonts w:ascii="Times New Roman" w:eastAsia="Calibri" w:hAnsi="Times New Roman" w:cs="Times New Roman"/>
          <w:bCs/>
          <w:color w:val="000000"/>
          <w:sz w:val="24"/>
          <w:szCs w:val="24"/>
        </w:rPr>
        <w:t xml:space="preserve"> Fredricks, 2015;</w:t>
      </w:r>
      <w:r w:rsidR="00995B17" w:rsidRPr="0032506F">
        <w:rPr>
          <w:rFonts w:ascii="Times New Roman" w:eastAsia="Calibri" w:hAnsi="Times New Roman" w:cs="Times New Roman"/>
          <w:bCs/>
          <w:color w:val="000000"/>
          <w:sz w:val="24"/>
          <w:szCs w:val="24"/>
        </w:rPr>
        <w:t xml:space="preserve"> </w:t>
      </w:r>
      <w:r w:rsidR="008B0BF3" w:rsidRPr="0032506F">
        <w:rPr>
          <w:rFonts w:ascii="Times New Roman" w:eastAsia="Calibri" w:hAnsi="Times New Roman" w:cs="Times New Roman"/>
          <w:bCs/>
          <w:color w:val="000000"/>
          <w:sz w:val="24"/>
          <w:szCs w:val="24"/>
        </w:rPr>
        <w:t>Klem &amp; Connell, 2004</w:t>
      </w:r>
      <w:r w:rsidR="003D4107" w:rsidRPr="0032506F">
        <w:rPr>
          <w:rFonts w:ascii="Times New Roman" w:eastAsia="Calibri" w:hAnsi="Times New Roman" w:cs="Times New Roman"/>
          <w:bCs/>
          <w:color w:val="000000"/>
          <w:sz w:val="24"/>
          <w:szCs w:val="24"/>
        </w:rPr>
        <w:t>; Wang &amp; Fredricks, 2014</w:t>
      </w:r>
      <w:r w:rsidR="009808DD"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student persistence</w:t>
      </w:r>
      <w:r w:rsidR="00020F02" w:rsidRPr="0032506F">
        <w:rPr>
          <w:rFonts w:ascii="Times New Roman" w:eastAsia="Calibri" w:hAnsi="Times New Roman" w:cs="Times New Roman"/>
          <w:bCs/>
          <w:color w:val="000000"/>
          <w:sz w:val="24"/>
          <w:szCs w:val="24"/>
        </w:rPr>
        <w:t xml:space="preserve"> and student satisfaction (Bolliger &amp; Martin, 2018; Meyer, 2014),</w:t>
      </w:r>
      <w:r w:rsidR="009C655F" w:rsidRPr="0032506F">
        <w:rPr>
          <w:rFonts w:ascii="Times New Roman" w:eastAsia="Calibri" w:hAnsi="Times New Roman" w:cs="Times New Roman"/>
          <w:bCs/>
          <w:color w:val="000000"/>
          <w:sz w:val="24"/>
          <w:szCs w:val="24"/>
        </w:rPr>
        <w:t xml:space="preserve"> </w:t>
      </w:r>
      <w:r w:rsidR="00AB5BB5" w:rsidRPr="0032506F">
        <w:rPr>
          <w:rFonts w:ascii="Times New Roman" w:eastAsia="Calibri" w:hAnsi="Times New Roman" w:cs="Times New Roman"/>
          <w:bCs/>
          <w:color w:val="000000"/>
          <w:sz w:val="24"/>
          <w:szCs w:val="24"/>
        </w:rPr>
        <w:t>school completion (Fredricks, Filsecker, &amp; Lawson et al., 2016</w:t>
      </w:r>
      <w:r w:rsidR="00896F14" w:rsidRPr="0032506F">
        <w:rPr>
          <w:rFonts w:ascii="Times New Roman" w:eastAsia="Calibri" w:hAnsi="Times New Roman" w:cs="Times New Roman"/>
          <w:bCs/>
          <w:color w:val="000000"/>
          <w:sz w:val="24"/>
          <w:szCs w:val="24"/>
        </w:rPr>
        <w:t xml:space="preserve">; </w:t>
      </w:r>
      <w:r w:rsidR="00CD11F8" w:rsidRPr="0032506F">
        <w:rPr>
          <w:rFonts w:ascii="Times New Roman" w:eastAsia="Calibri" w:hAnsi="Times New Roman" w:cs="Times New Roman"/>
          <w:bCs/>
          <w:color w:val="000000"/>
          <w:sz w:val="24"/>
          <w:szCs w:val="24"/>
        </w:rPr>
        <w:t>Reeve et al., 2004</w:t>
      </w:r>
      <w:r w:rsidR="00AB5BB5"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t>
      </w:r>
      <w:r w:rsidR="0051112D" w:rsidRPr="0032506F">
        <w:rPr>
          <w:rFonts w:ascii="Times New Roman" w:eastAsia="Calibri" w:hAnsi="Times New Roman" w:cs="Times New Roman"/>
          <w:bCs/>
          <w:color w:val="000000"/>
          <w:sz w:val="24"/>
          <w:szCs w:val="24"/>
        </w:rPr>
        <w:t xml:space="preserve">and </w:t>
      </w:r>
      <w:r w:rsidRPr="0032506F">
        <w:rPr>
          <w:rFonts w:ascii="Times New Roman" w:eastAsia="Calibri" w:hAnsi="Times New Roman" w:cs="Times New Roman"/>
          <w:bCs/>
          <w:color w:val="000000"/>
          <w:sz w:val="24"/>
          <w:szCs w:val="24"/>
        </w:rPr>
        <w:t>withdrawal from school</w:t>
      </w:r>
      <w:r w:rsidR="00AC6D51"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color w:val="000000"/>
          <w:sz w:val="24"/>
          <w:szCs w:val="24"/>
        </w:rPr>
        <w:t xml:space="preserve">dropout </w:t>
      </w:r>
      <w:r w:rsidRPr="0032506F">
        <w:rPr>
          <w:rFonts w:ascii="Times New Roman" w:eastAsia="Calibri" w:hAnsi="Times New Roman" w:cs="Times New Roman"/>
          <w:bCs/>
          <w:color w:val="000000"/>
          <w:sz w:val="24"/>
          <w:szCs w:val="24"/>
        </w:rPr>
        <w:lastRenderedPageBreak/>
        <w:t>decisions</w:t>
      </w:r>
      <w:r w:rsidR="006734C7" w:rsidRPr="0032506F">
        <w:rPr>
          <w:rFonts w:ascii="Times New Roman" w:eastAsia="Calibri" w:hAnsi="Times New Roman" w:cs="Times New Roman"/>
          <w:bCs/>
          <w:color w:val="000000"/>
          <w:sz w:val="24"/>
          <w:szCs w:val="24"/>
        </w:rPr>
        <w:t xml:space="preserve"> (Archambault et al., 2009</w:t>
      </w:r>
      <w:r w:rsidR="00AC6D51" w:rsidRPr="0032506F">
        <w:rPr>
          <w:rFonts w:ascii="Times New Roman" w:eastAsia="Calibri" w:hAnsi="Times New Roman" w:cs="Times New Roman"/>
          <w:bCs/>
          <w:color w:val="000000"/>
          <w:sz w:val="24"/>
          <w:szCs w:val="24"/>
        </w:rPr>
        <w:t xml:space="preserve">; </w:t>
      </w:r>
      <w:r w:rsidR="00E279CC" w:rsidRPr="0032506F">
        <w:rPr>
          <w:rFonts w:ascii="Times New Roman" w:eastAsia="Calibri" w:hAnsi="Times New Roman" w:cs="Times New Roman"/>
          <w:bCs/>
          <w:color w:val="000000"/>
          <w:sz w:val="24"/>
          <w:szCs w:val="24"/>
        </w:rPr>
        <w:t>Fredricks, 2015</w:t>
      </w:r>
      <w:r w:rsidR="007525D4" w:rsidRPr="0032506F">
        <w:rPr>
          <w:rFonts w:ascii="Times New Roman" w:eastAsia="Calibri" w:hAnsi="Times New Roman" w:cs="Times New Roman"/>
          <w:bCs/>
          <w:color w:val="000000"/>
          <w:sz w:val="24"/>
          <w:szCs w:val="24"/>
        </w:rPr>
        <w:t>; Glanville &amp; Wildhagen, 2007</w:t>
      </w:r>
      <w:r w:rsidR="009C655F" w:rsidRPr="0032506F">
        <w:rPr>
          <w:rFonts w:ascii="Times New Roman" w:eastAsia="Calibri" w:hAnsi="Times New Roman" w:cs="Times New Roman"/>
          <w:bCs/>
          <w:color w:val="000000"/>
          <w:sz w:val="24"/>
          <w:szCs w:val="24"/>
        </w:rPr>
        <w:t>;</w:t>
      </w:r>
      <w:r w:rsidR="009C655F" w:rsidRPr="0032506F">
        <w:t xml:space="preserve"> </w:t>
      </w:r>
      <w:r w:rsidR="009C655F" w:rsidRPr="0032506F">
        <w:rPr>
          <w:rFonts w:ascii="Times New Roman" w:eastAsia="Calibri" w:hAnsi="Times New Roman" w:cs="Times New Roman"/>
          <w:bCs/>
          <w:color w:val="000000"/>
          <w:sz w:val="24"/>
          <w:szCs w:val="24"/>
        </w:rPr>
        <w:t>Henrie et al., 2015</w:t>
      </w:r>
      <w:r w:rsidR="009321BD" w:rsidRPr="0032506F">
        <w:rPr>
          <w:rFonts w:ascii="Times New Roman" w:eastAsia="Calibri" w:hAnsi="Times New Roman" w:cs="Times New Roman"/>
          <w:bCs/>
          <w:color w:val="000000"/>
          <w:sz w:val="24"/>
          <w:szCs w:val="24"/>
        </w:rPr>
        <w:t xml:space="preserve">; Wang &amp; Fredricks, 2014). </w:t>
      </w:r>
    </w:p>
    <w:p w14:paraId="18B0066B" w14:textId="6B658A2F" w:rsidR="0082746B" w:rsidRPr="0032506F" w:rsidRDefault="0082746B" w:rsidP="0082746B">
      <w:pPr>
        <w:spacing w:after="0" w:line="480" w:lineRule="auto"/>
        <w:ind w:firstLine="720"/>
        <w:rPr>
          <w:rFonts w:ascii="Times New Roman" w:eastAsia="Calibri" w:hAnsi="Times New Roman" w:cs="Times New Roman"/>
          <w:sz w:val="24"/>
          <w:szCs w:val="24"/>
        </w:rPr>
      </w:pPr>
      <w:r w:rsidRPr="0032506F">
        <w:rPr>
          <w:rFonts w:ascii="Times New Roman" w:eastAsia="Calibri" w:hAnsi="Times New Roman" w:cs="Times New Roman"/>
          <w:bCs/>
          <w:color w:val="000000"/>
          <w:sz w:val="24"/>
          <w:szCs w:val="24"/>
        </w:rPr>
        <w:t xml:space="preserve">Student engagement has been extensively studied especially in K-12 classrooms and its major theoretical models and conceptualizations mostly emerged from research conducted in </w:t>
      </w:r>
      <w:r w:rsidR="005860FC"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K-12 education contexts (Appleton et al., 2008; Fredricks et al., 2004; Fredricks &amp; McColskey, 2012). </w:t>
      </w:r>
      <w:r w:rsidRPr="0032506F">
        <w:rPr>
          <w:rFonts w:ascii="Times New Roman" w:eastAsia="Calibri" w:hAnsi="Times New Roman" w:cs="Times New Roman"/>
          <w:sz w:val="24"/>
          <w:szCs w:val="24"/>
        </w:rPr>
        <w:t xml:space="preserve">Theoretical and empirical research interest in the construct of engagement </w:t>
      </w:r>
      <w:proofErr w:type="gramStart"/>
      <w:r w:rsidRPr="0032506F">
        <w:rPr>
          <w:rFonts w:ascii="Times New Roman" w:eastAsia="Calibri" w:hAnsi="Times New Roman" w:cs="Times New Roman"/>
          <w:sz w:val="24"/>
          <w:szCs w:val="24"/>
        </w:rPr>
        <w:t>and also</w:t>
      </w:r>
      <w:proofErr w:type="gramEnd"/>
      <w:r w:rsidRPr="0032506F">
        <w:rPr>
          <w:rFonts w:ascii="Times New Roman" w:eastAsia="Calibri" w:hAnsi="Times New Roman" w:cs="Times New Roman"/>
          <w:sz w:val="24"/>
          <w:szCs w:val="24"/>
        </w:rPr>
        <w:t xml:space="preserve"> disengagement started in the 1980s with a view of examining and gaining insights into why students would feel bored, isolated or disconnected from others in their classrooms and schools, gradually become at-risk students, and eventually decide to drop out (Finn &amp; Zimmer, 2012). </w:t>
      </w:r>
      <w:r w:rsidR="00601E26" w:rsidRPr="0032506F">
        <w:rPr>
          <w:rFonts w:ascii="Times New Roman" w:eastAsia="Calibri" w:hAnsi="Times New Roman" w:cs="Times New Roman"/>
          <w:sz w:val="24"/>
          <w:szCs w:val="24"/>
        </w:rPr>
        <w:t>S</w:t>
      </w:r>
      <w:r w:rsidRPr="0032506F">
        <w:rPr>
          <w:rFonts w:ascii="Times New Roman" w:eastAsia="Calibri" w:hAnsi="Times New Roman" w:cs="Times New Roman"/>
          <w:sz w:val="24"/>
          <w:szCs w:val="24"/>
        </w:rPr>
        <w:t xml:space="preserve">tudent engagement became a popular construct of educational research especially among researchers and authors who were interested in understanding such issues as absenteeism, withdrawal or disengagement from school, alienation from school, poor student participation in school-related activities, negative student behaviors including delinquency, and school dropouts in US secondary schools (Finn, 1989; Natriello, 1984). </w:t>
      </w:r>
    </w:p>
    <w:p w14:paraId="33F2F2AA" w14:textId="61A34D9A"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sz w:val="24"/>
          <w:szCs w:val="24"/>
        </w:rPr>
        <w:t>Engagement was also used as a practical model to develop effective school interventions to address the problem of high school dropouts and to actualize school reforms (Reschly &amp; Christenson, 2006). Since then, engagement has been extensively investigated in educational research settings by various researchers to understand its relations to other significant educational variables and learning outcomes (Fredricks, 2015).</w:t>
      </w:r>
      <w:r w:rsidRPr="0032506F">
        <w:rPr>
          <w:rFonts w:ascii="Times New Roman" w:eastAsia="Calibri" w:hAnsi="Times New Roman" w:cs="Times New Roman"/>
          <w:bCs/>
          <w:color w:val="000000"/>
          <w:sz w:val="24"/>
          <w:szCs w:val="24"/>
        </w:rPr>
        <w:t xml:space="preserve"> Especially in the past decade, there has been an increasing amount of interest and attention in student engagement as a research construct and as an educational phenomenon among </w:t>
      </w:r>
      <w:r w:rsidR="00C570CA" w:rsidRPr="0032506F">
        <w:rPr>
          <w:rFonts w:ascii="Times New Roman" w:eastAsia="Calibri" w:hAnsi="Times New Roman" w:cs="Times New Roman"/>
          <w:bCs/>
          <w:color w:val="000000"/>
          <w:sz w:val="24"/>
          <w:szCs w:val="24"/>
        </w:rPr>
        <w:t>researchers,</w:t>
      </w:r>
      <w:r w:rsidRPr="0032506F">
        <w:rPr>
          <w:rFonts w:ascii="Times New Roman" w:eastAsia="Calibri" w:hAnsi="Times New Roman" w:cs="Times New Roman"/>
          <w:bCs/>
          <w:color w:val="000000"/>
          <w:sz w:val="24"/>
          <w:szCs w:val="24"/>
        </w:rPr>
        <w:t xml:space="preserve"> educators, education institutions, and similar other stakeholders (Bond et al., 2020). In line with this growing interest in the topic, student engagement has become an important phenomenon of </w:t>
      </w:r>
      <w:r w:rsidR="00C923AA" w:rsidRPr="0032506F">
        <w:rPr>
          <w:rFonts w:ascii="Times New Roman" w:eastAsia="Calibri" w:hAnsi="Times New Roman" w:cs="Times New Roman"/>
          <w:bCs/>
          <w:color w:val="000000"/>
          <w:sz w:val="24"/>
          <w:szCs w:val="24"/>
        </w:rPr>
        <w:t xml:space="preserve">research </w:t>
      </w:r>
      <w:r w:rsidRPr="0032506F">
        <w:rPr>
          <w:rFonts w:ascii="Times New Roman" w:eastAsia="Calibri" w:hAnsi="Times New Roman" w:cs="Times New Roman"/>
          <w:bCs/>
          <w:color w:val="000000"/>
          <w:sz w:val="24"/>
          <w:szCs w:val="24"/>
        </w:rPr>
        <w:t xml:space="preserve">interest </w:t>
      </w:r>
      <w:r w:rsidRPr="0032506F">
        <w:rPr>
          <w:rFonts w:ascii="Times New Roman" w:eastAsia="Calibri" w:hAnsi="Times New Roman" w:cs="Times New Roman"/>
          <w:bCs/>
          <w:color w:val="000000"/>
          <w:sz w:val="24"/>
          <w:szCs w:val="24"/>
        </w:rPr>
        <w:lastRenderedPageBreak/>
        <w:t xml:space="preserve">within the contexts of traditional and online higher education as well (Groccia, 2018; Kucuk &amp; Richardson, 2019; Kuh, 2016; </w:t>
      </w:r>
      <w:r w:rsidR="00071DE7" w:rsidRPr="0032506F">
        <w:rPr>
          <w:rFonts w:ascii="Times New Roman" w:eastAsia="Calibri" w:hAnsi="Times New Roman" w:cs="Times New Roman"/>
          <w:bCs/>
          <w:color w:val="000000"/>
          <w:sz w:val="24"/>
          <w:szCs w:val="24"/>
        </w:rPr>
        <w:t>Martin, Sun, &amp; Westine, 2020</w:t>
      </w:r>
      <w:r w:rsidR="005A2C7D"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Vayre &amp; Vonthron, 2017; Xu et al., 2020). </w:t>
      </w:r>
    </w:p>
    <w:p w14:paraId="0A543BA7" w14:textId="270A3ABE"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higher education, student engagement has come to be regarded as a significant </w:t>
      </w:r>
      <w:r w:rsidR="009C0662" w:rsidRPr="0032506F">
        <w:rPr>
          <w:rFonts w:ascii="Times New Roman" w:eastAsia="Calibri" w:hAnsi="Times New Roman" w:cs="Times New Roman"/>
          <w:bCs/>
          <w:color w:val="000000"/>
          <w:sz w:val="24"/>
          <w:szCs w:val="24"/>
        </w:rPr>
        <w:t>factor</w:t>
      </w:r>
      <w:r w:rsidR="00255CAD" w:rsidRPr="0032506F">
        <w:rPr>
          <w:rFonts w:ascii="Times New Roman" w:eastAsia="Calibri" w:hAnsi="Times New Roman" w:cs="Times New Roman"/>
          <w:bCs/>
          <w:color w:val="000000"/>
          <w:sz w:val="24"/>
          <w:szCs w:val="24"/>
        </w:rPr>
        <w:t xml:space="preserve"> influencing the</w:t>
      </w:r>
      <w:r w:rsidRPr="0032506F">
        <w:rPr>
          <w:rFonts w:ascii="Times New Roman" w:eastAsia="Calibri" w:hAnsi="Times New Roman" w:cs="Times New Roman"/>
          <w:bCs/>
          <w:color w:val="000000"/>
          <w:sz w:val="24"/>
          <w:szCs w:val="24"/>
        </w:rPr>
        <w:t xml:space="preserve"> quality of education (Coates, 2005; Groccia, 2018; Xu et al., 2020). Similar to the positive effects of student engagement empirically shown in traditional face-to-face classrooms</w:t>
      </w:r>
      <w:r w:rsidR="00B9561C" w:rsidRPr="0032506F">
        <w:rPr>
          <w:rFonts w:ascii="Times New Roman" w:eastAsia="Calibri" w:hAnsi="Times New Roman" w:cs="Times New Roman"/>
          <w:bCs/>
          <w:color w:val="000000"/>
          <w:sz w:val="24"/>
          <w:szCs w:val="24"/>
        </w:rPr>
        <w:t xml:space="preserve"> (Fredricks</w:t>
      </w:r>
      <w:r w:rsidR="00A532FF" w:rsidRPr="0032506F">
        <w:rPr>
          <w:rFonts w:ascii="Times New Roman" w:eastAsia="Calibri" w:hAnsi="Times New Roman" w:cs="Times New Roman"/>
          <w:bCs/>
          <w:color w:val="000000"/>
          <w:sz w:val="24"/>
          <w:szCs w:val="24"/>
        </w:rPr>
        <w:t>, 2015</w:t>
      </w:r>
      <w:r w:rsidR="00B9561C"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student engagement in online learning environments has been associated with several positive outcomes, </w:t>
      </w:r>
      <w:r w:rsidR="00247E4F" w:rsidRPr="0032506F">
        <w:rPr>
          <w:rFonts w:ascii="Times New Roman" w:eastAsia="Calibri" w:hAnsi="Times New Roman" w:cs="Times New Roman"/>
          <w:bCs/>
          <w:color w:val="000000"/>
          <w:sz w:val="24"/>
          <w:szCs w:val="24"/>
        </w:rPr>
        <w:t xml:space="preserve">including </w:t>
      </w:r>
      <w:r w:rsidR="00D866B2" w:rsidRPr="0032506F">
        <w:rPr>
          <w:rFonts w:ascii="Times New Roman" w:eastAsia="Calibri" w:hAnsi="Times New Roman" w:cs="Times New Roman"/>
          <w:bCs/>
          <w:color w:val="000000"/>
          <w:sz w:val="24"/>
          <w:szCs w:val="24"/>
        </w:rPr>
        <w:t xml:space="preserve">student satisfaction, </w:t>
      </w:r>
      <w:r w:rsidR="000F19E3" w:rsidRPr="0032506F">
        <w:rPr>
          <w:rFonts w:ascii="Times New Roman" w:eastAsia="Calibri" w:hAnsi="Times New Roman" w:cs="Times New Roman"/>
          <w:bCs/>
          <w:color w:val="000000"/>
          <w:sz w:val="24"/>
          <w:szCs w:val="24"/>
        </w:rPr>
        <w:t>academic performance</w:t>
      </w:r>
      <w:r w:rsidR="00812FE9" w:rsidRPr="0032506F">
        <w:rPr>
          <w:rFonts w:ascii="Times New Roman" w:eastAsia="Calibri" w:hAnsi="Times New Roman" w:cs="Times New Roman"/>
          <w:bCs/>
          <w:color w:val="000000"/>
          <w:sz w:val="24"/>
          <w:szCs w:val="24"/>
        </w:rPr>
        <w:t>,</w:t>
      </w:r>
      <w:r w:rsidR="000E6671" w:rsidRPr="0032506F">
        <w:rPr>
          <w:rFonts w:ascii="Times New Roman" w:eastAsia="Calibri" w:hAnsi="Times New Roman" w:cs="Times New Roman"/>
          <w:bCs/>
          <w:color w:val="000000"/>
          <w:sz w:val="24"/>
          <w:szCs w:val="24"/>
        </w:rPr>
        <w:t xml:space="preserve"> and </w:t>
      </w:r>
      <w:r w:rsidR="00BE0EC6" w:rsidRPr="0032506F">
        <w:rPr>
          <w:rFonts w:ascii="Times New Roman" w:eastAsia="Calibri" w:hAnsi="Times New Roman" w:cs="Times New Roman"/>
          <w:bCs/>
          <w:color w:val="000000"/>
          <w:sz w:val="24"/>
          <w:szCs w:val="24"/>
        </w:rPr>
        <w:t xml:space="preserve">student persistence (Bolliger &amp; Martin, 2018; </w:t>
      </w:r>
      <w:r w:rsidR="00D866B2" w:rsidRPr="0032506F">
        <w:rPr>
          <w:rFonts w:ascii="Times New Roman" w:eastAsia="Calibri" w:hAnsi="Times New Roman" w:cs="Times New Roman"/>
          <w:bCs/>
          <w:color w:val="000000"/>
          <w:sz w:val="24"/>
          <w:szCs w:val="24"/>
        </w:rPr>
        <w:t xml:space="preserve">Kucuk &amp; Richardson, 2019; </w:t>
      </w:r>
      <w:r w:rsidR="00247E4F" w:rsidRPr="0032506F">
        <w:rPr>
          <w:rFonts w:ascii="Times New Roman" w:eastAsia="Calibri" w:hAnsi="Times New Roman" w:cs="Times New Roman"/>
          <w:bCs/>
          <w:color w:val="000000"/>
          <w:sz w:val="24"/>
          <w:szCs w:val="24"/>
        </w:rPr>
        <w:t>Meyer, 2014)</w:t>
      </w:r>
      <w:r w:rsidR="00A1234E" w:rsidRPr="0032506F">
        <w:rPr>
          <w:rFonts w:ascii="Times New Roman" w:eastAsia="Calibri" w:hAnsi="Times New Roman" w:cs="Times New Roman"/>
          <w:bCs/>
          <w:color w:val="000000"/>
          <w:sz w:val="24"/>
          <w:szCs w:val="24"/>
        </w:rPr>
        <w:t xml:space="preserve">, </w:t>
      </w:r>
      <w:r w:rsidR="00D4541C" w:rsidRPr="0032506F">
        <w:rPr>
          <w:rFonts w:ascii="Times New Roman" w:eastAsia="Calibri" w:hAnsi="Times New Roman" w:cs="Times New Roman"/>
          <w:bCs/>
          <w:color w:val="000000"/>
          <w:sz w:val="24"/>
          <w:szCs w:val="24"/>
        </w:rPr>
        <w:t xml:space="preserve">student learning and academic </w:t>
      </w:r>
      <w:r w:rsidRPr="0032506F">
        <w:rPr>
          <w:rFonts w:ascii="Times New Roman" w:eastAsia="Calibri" w:hAnsi="Times New Roman" w:cs="Times New Roman"/>
          <w:bCs/>
          <w:color w:val="000000"/>
          <w:sz w:val="24"/>
          <w:szCs w:val="24"/>
        </w:rPr>
        <w:t>success</w:t>
      </w:r>
      <w:r w:rsidR="00D4541C" w:rsidRPr="0032506F">
        <w:rPr>
          <w:rFonts w:ascii="Times New Roman" w:eastAsia="Calibri" w:hAnsi="Times New Roman" w:cs="Times New Roman"/>
          <w:bCs/>
          <w:color w:val="000000"/>
          <w:sz w:val="24"/>
          <w:szCs w:val="24"/>
        </w:rPr>
        <w:t xml:space="preserve"> (Dixson, 2015</w:t>
      </w:r>
      <w:r w:rsidR="008B0A5D" w:rsidRPr="0032506F">
        <w:rPr>
          <w:rFonts w:ascii="Times New Roman" w:eastAsia="Calibri" w:hAnsi="Times New Roman" w:cs="Times New Roman"/>
          <w:bCs/>
          <w:color w:val="000000"/>
          <w:sz w:val="24"/>
          <w:szCs w:val="24"/>
        </w:rPr>
        <w:t>; Vayre &amp; Vonthron, 2017</w:t>
      </w:r>
      <w:r w:rsidR="00D4541C" w:rsidRPr="0032506F">
        <w:rPr>
          <w:rFonts w:ascii="Times New Roman" w:eastAsia="Calibri" w:hAnsi="Times New Roman" w:cs="Times New Roman"/>
          <w:bCs/>
          <w:color w:val="000000"/>
          <w:sz w:val="24"/>
          <w:szCs w:val="24"/>
        </w:rPr>
        <w:t>)</w:t>
      </w:r>
      <w:r w:rsidR="008B0A5D" w:rsidRPr="0032506F">
        <w:rPr>
          <w:rFonts w:ascii="Times New Roman" w:eastAsia="Calibri" w:hAnsi="Times New Roman" w:cs="Times New Roman"/>
          <w:bCs/>
          <w:color w:val="000000"/>
          <w:sz w:val="24"/>
          <w:szCs w:val="24"/>
        </w:rPr>
        <w:t xml:space="preserve"> and student retention (</w:t>
      </w:r>
      <w:r w:rsidR="00A1234E" w:rsidRPr="0032506F">
        <w:rPr>
          <w:rFonts w:ascii="Times New Roman" w:eastAsia="Calibri" w:hAnsi="Times New Roman" w:cs="Times New Roman"/>
          <w:bCs/>
          <w:color w:val="000000"/>
          <w:sz w:val="24"/>
          <w:szCs w:val="24"/>
        </w:rPr>
        <w:t>Vayre &amp; Vonthron, 2017</w:t>
      </w:r>
      <w:r w:rsidR="008B0A5D" w:rsidRPr="0032506F">
        <w:rPr>
          <w:rFonts w:ascii="Times New Roman" w:eastAsia="Calibri" w:hAnsi="Times New Roman" w:cs="Times New Roman"/>
          <w:bCs/>
          <w:color w:val="000000"/>
          <w:sz w:val="24"/>
          <w:szCs w:val="24"/>
        </w:rPr>
        <w:t>)</w:t>
      </w:r>
      <w:r w:rsidR="00D866B2"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However, compared to the substantial body of empirical </w:t>
      </w:r>
      <w:r w:rsidR="00777E49" w:rsidRPr="0032506F">
        <w:rPr>
          <w:rFonts w:ascii="Times New Roman" w:eastAsia="Calibri" w:hAnsi="Times New Roman" w:cs="Times New Roman"/>
          <w:bCs/>
          <w:color w:val="000000"/>
          <w:sz w:val="24"/>
          <w:szCs w:val="24"/>
        </w:rPr>
        <w:t>literature</w:t>
      </w:r>
      <w:r w:rsidRPr="0032506F">
        <w:rPr>
          <w:rFonts w:ascii="Times New Roman" w:eastAsia="Calibri" w:hAnsi="Times New Roman" w:cs="Times New Roman"/>
          <w:bCs/>
          <w:color w:val="000000"/>
          <w:sz w:val="24"/>
          <w:szCs w:val="24"/>
        </w:rPr>
        <w:t xml:space="preserve"> </w:t>
      </w:r>
      <w:r w:rsidR="00777E49" w:rsidRPr="0032506F">
        <w:rPr>
          <w:rFonts w:ascii="Times New Roman" w:eastAsia="Calibri" w:hAnsi="Times New Roman" w:cs="Times New Roman"/>
          <w:bCs/>
          <w:color w:val="000000"/>
          <w:sz w:val="24"/>
          <w:szCs w:val="24"/>
        </w:rPr>
        <w:t>on</w:t>
      </w:r>
      <w:r w:rsidRPr="0032506F">
        <w:rPr>
          <w:rFonts w:ascii="Times New Roman" w:eastAsia="Calibri" w:hAnsi="Times New Roman" w:cs="Times New Roman"/>
          <w:bCs/>
          <w:color w:val="000000"/>
          <w:sz w:val="24"/>
          <w:szCs w:val="24"/>
        </w:rPr>
        <w:t xml:space="preserve"> student engagement in traditional learning environments, there is</w:t>
      </w:r>
      <w:r w:rsidR="005D002A"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less research examining student engagement in online learning environments (Vayre &amp; Vonthron, 2017).</w:t>
      </w:r>
      <w:r w:rsidR="00DD2C7A" w:rsidRPr="0032506F">
        <w:rPr>
          <w:rFonts w:ascii="Times New Roman" w:eastAsia="Calibri" w:hAnsi="Times New Roman" w:cs="Times New Roman"/>
          <w:bCs/>
          <w:color w:val="000000"/>
          <w:sz w:val="24"/>
          <w:szCs w:val="24"/>
        </w:rPr>
        <w:t xml:space="preserve"> In addition, </w:t>
      </w:r>
      <w:r w:rsidR="00852599" w:rsidRPr="0032506F">
        <w:rPr>
          <w:rFonts w:ascii="Times New Roman" w:eastAsia="Calibri" w:hAnsi="Times New Roman" w:cs="Times New Roman"/>
          <w:bCs/>
          <w:color w:val="000000"/>
          <w:sz w:val="24"/>
          <w:szCs w:val="24"/>
        </w:rPr>
        <w:t>although</w:t>
      </w:r>
      <w:r w:rsidR="00054E1E" w:rsidRPr="0032506F">
        <w:rPr>
          <w:rFonts w:ascii="Times New Roman" w:eastAsia="Calibri" w:hAnsi="Times New Roman" w:cs="Times New Roman"/>
          <w:bCs/>
          <w:color w:val="000000"/>
          <w:sz w:val="24"/>
          <w:szCs w:val="24"/>
        </w:rPr>
        <w:t xml:space="preserve"> </w:t>
      </w:r>
      <w:r w:rsidR="005E2664" w:rsidRPr="0032506F">
        <w:rPr>
          <w:rFonts w:ascii="Times New Roman" w:eastAsia="Calibri" w:hAnsi="Times New Roman" w:cs="Times New Roman"/>
          <w:bCs/>
          <w:color w:val="000000"/>
          <w:sz w:val="24"/>
          <w:szCs w:val="24"/>
        </w:rPr>
        <w:t>there is a wealth of online learning literature</w:t>
      </w:r>
      <w:r w:rsidR="00EC44F8" w:rsidRPr="0032506F">
        <w:rPr>
          <w:rFonts w:ascii="Times New Roman" w:eastAsia="Calibri" w:hAnsi="Times New Roman" w:cs="Times New Roman"/>
          <w:bCs/>
          <w:color w:val="000000"/>
          <w:sz w:val="24"/>
          <w:szCs w:val="24"/>
        </w:rPr>
        <w:t xml:space="preserve"> </w:t>
      </w:r>
      <w:r w:rsidR="00054E1E" w:rsidRPr="0032506F">
        <w:rPr>
          <w:rFonts w:ascii="Times New Roman" w:eastAsia="Calibri" w:hAnsi="Times New Roman" w:cs="Times New Roman"/>
          <w:bCs/>
          <w:color w:val="000000"/>
          <w:sz w:val="24"/>
          <w:szCs w:val="24"/>
        </w:rPr>
        <w:t xml:space="preserve">with studies </w:t>
      </w:r>
      <w:r w:rsidR="00286C32" w:rsidRPr="0032506F">
        <w:rPr>
          <w:rFonts w:ascii="Times New Roman" w:eastAsia="Calibri" w:hAnsi="Times New Roman" w:cs="Times New Roman"/>
          <w:bCs/>
          <w:color w:val="000000"/>
          <w:sz w:val="24"/>
          <w:szCs w:val="24"/>
        </w:rPr>
        <w:t xml:space="preserve">examining </w:t>
      </w:r>
      <w:r w:rsidR="00EB2699" w:rsidRPr="0032506F">
        <w:rPr>
          <w:rFonts w:ascii="Times New Roman" w:eastAsia="Calibri" w:hAnsi="Times New Roman" w:cs="Times New Roman"/>
          <w:bCs/>
          <w:color w:val="000000"/>
          <w:sz w:val="24"/>
          <w:szCs w:val="24"/>
        </w:rPr>
        <w:t xml:space="preserve">online </w:t>
      </w:r>
      <w:r w:rsidR="00B3407D" w:rsidRPr="0032506F">
        <w:rPr>
          <w:rFonts w:ascii="Times New Roman" w:eastAsia="Calibri" w:hAnsi="Times New Roman" w:cs="Times New Roman"/>
          <w:bCs/>
          <w:color w:val="000000"/>
          <w:sz w:val="24"/>
          <w:szCs w:val="24"/>
        </w:rPr>
        <w:t xml:space="preserve">engagement through </w:t>
      </w:r>
      <w:r w:rsidR="006E31BA" w:rsidRPr="0032506F">
        <w:rPr>
          <w:rFonts w:ascii="Times New Roman" w:eastAsia="Calibri" w:hAnsi="Times New Roman" w:cs="Times New Roman"/>
          <w:bCs/>
          <w:color w:val="000000"/>
          <w:sz w:val="24"/>
          <w:szCs w:val="24"/>
        </w:rPr>
        <w:t xml:space="preserve">such </w:t>
      </w:r>
      <w:r w:rsidR="00286C32" w:rsidRPr="0032506F">
        <w:rPr>
          <w:rFonts w:ascii="Times New Roman" w:eastAsia="Calibri" w:hAnsi="Times New Roman" w:cs="Times New Roman"/>
          <w:bCs/>
          <w:color w:val="000000"/>
          <w:sz w:val="24"/>
          <w:szCs w:val="24"/>
        </w:rPr>
        <w:t xml:space="preserve">constructs as </w:t>
      </w:r>
      <w:r w:rsidR="006E31BA" w:rsidRPr="0032506F">
        <w:rPr>
          <w:rFonts w:ascii="Times New Roman" w:eastAsia="Calibri" w:hAnsi="Times New Roman" w:cs="Times New Roman"/>
          <w:bCs/>
          <w:color w:val="000000"/>
          <w:sz w:val="24"/>
          <w:szCs w:val="24"/>
        </w:rPr>
        <w:t xml:space="preserve">online </w:t>
      </w:r>
      <w:r w:rsidR="00286C32" w:rsidRPr="0032506F">
        <w:rPr>
          <w:rFonts w:ascii="Times New Roman" w:eastAsia="Calibri" w:hAnsi="Times New Roman" w:cs="Times New Roman"/>
          <w:bCs/>
          <w:color w:val="000000"/>
          <w:sz w:val="24"/>
          <w:szCs w:val="24"/>
        </w:rPr>
        <w:t>presence</w:t>
      </w:r>
      <w:r w:rsidR="006E31BA" w:rsidRPr="0032506F">
        <w:rPr>
          <w:rFonts w:ascii="Times New Roman" w:eastAsia="Calibri" w:hAnsi="Times New Roman" w:cs="Times New Roman"/>
          <w:bCs/>
          <w:color w:val="000000"/>
          <w:sz w:val="24"/>
          <w:szCs w:val="24"/>
        </w:rPr>
        <w:t>s</w:t>
      </w:r>
      <w:r w:rsidR="005B13DF" w:rsidRPr="0032506F">
        <w:rPr>
          <w:rFonts w:ascii="Times New Roman" w:eastAsia="Calibri" w:hAnsi="Times New Roman" w:cs="Times New Roman"/>
          <w:bCs/>
          <w:color w:val="000000"/>
          <w:sz w:val="24"/>
          <w:szCs w:val="24"/>
        </w:rPr>
        <w:t>, collaboration,</w:t>
      </w:r>
      <w:r w:rsidR="00286C32" w:rsidRPr="0032506F">
        <w:rPr>
          <w:rFonts w:ascii="Times New Roman" w:eastAsia="Calibri" w:hAnsi="Times New Roman" w:cs="Times New Roman"/>
          <w:bCs/>
          <w:color w:val="000000"/>
          <w:sz w:val="24"/>
          <w:szCs w:val="24"/>
        </w:rPr>
        <w:t xml:space="preserve"> </w:t>
      </w:r>
      <w:r w:rsidR="006E31BA" w:rsidRPr="0032506F">
        <w:rPr>
          <w:rFonts w:ascii="Times New Roman" w:eastAsia="Calibri" w:hAnsi="Times New Roman" w:cs="Times New Roman"/>
          <w:bCs/>
          <w:color w:val="000000"/>
          <w:sz w:val="24"/>
          <w:szCs w:val="24"/>
        </w:rPr>
        <w:t>and</w:t>
      </w:r>
      <w:r w:rsidR="005648F5" w:rsidRPr="0032506F">
        <w:rPr>
          <w:rFonts w:ascii="Times New Roman" w:eastAsia="Calibri" w:hAnsi="Times New Roman" w:cs="Times New Roman"/>
          <w:bCs/>
          <w:color w:val="000000"/>
          <w:sz w:val="24"/>
          <w:szCs w:val="24"/>
        </w:rPr>
        <w:t xml:space="preserve"> </w:t>
      </w:r>
      <w:r w:rsidR="00286C32" w:rsidRPr="0032506F">
        <w:rPr>
          <w:rFonts w:ascii="Times New Roman" w:eastAsia="Calibri" w:hAnsi="Times New Roman" w:cs="Times New Roman"/>
          <w:bCs/>
          <w:color w:val="000000"/>
          <w:sz w:val="24"/>
          <w:szCs w:val="24"/>
        </w:rPr>
        <w:t>interaction</w:t>
      </w:r>
      <w:r w:rsidR="00B3407D" w:rsidRPr="0032506F">
        <w:t xml:space="preserve"> (</w:t>
      </w:r>
      <w:r w:rsidR="00B3407D" w:rsidRPr="0032506F">
        <w:rPr>
          <w:rFonts w:ascii="Times New Roman" w:eastAsia="Calibri" w:hAnsi="Times New Roman" w:cs="Times New Roman"/>
          <w:bCs/>
          <w:color w:val="000000"/>
          <w:sz w:val="24"/>
          <w:szCs w:val="24"/>
        </w:rPr>
        <w:t>Bolliger &amp; Martin, 2021</w:t>
      </w:r>
      <w:r w:rsidR="00233762" w:rsidRPr="0032506F">
        <w:rPr>
          <w:rFonts w:ascii="Times New Roman" w:eastAsia="Calibri" w:hAnsi="Times New Roman" w:cs="Times New Roman"/>
          <w:bCs/>
          <w:color w:val="000000"/>
          <w:sz w:val="24"/>
          <w:szCs w:val="24"/>
        </w:rPr>
        <w:t>),</w:t>
      </w:r>
      <w:r w:rsidR="001C6532" w:rsidRPr="0032506F">
        <w:rPr>
          <w:rFonts w:ascii="Times New Roman" w:eastAsia="Calibri" w:hAnsi="Times New Roman" w:cs="Times New Roman"/>
          <w:bCs/>
          <w:color w:val="000000"/>
          <w:sz w:val="24"/>
          <w:szCs w:val="24"/>
        </w:rPr>
        <w:t xml:space="preserve"> which</w:t>
      </w:r>
      <w:r w:rsidR="004E710B" w:rsidRPr="0032506F">
        <w:rPr>
          <w:rFonts w:ascii="Times New Roman" w:eastAsia="Calibri" w:hAnsi="Times New Roman" w:cs="Times New Roman"/>
          <w:bCs/>
          <w:color w:val="000000"/>
          <w:sz w:val="24"/>
          <w:szCs w:val="24"/>
        </w:rPr>
        <w:t xml:space="preserve"> </w:t>
      </w:r>
      <w:r w:rsidR="005648F5" w:rsidRPr="0032506F">
        <w:rPr>
          <w:rFonts w:ascii="Times New Roman" w:eastAsia="Calibri" w:hAnsi="Times New Roman" w:cs="Times New Roman"/>
          <w:bCs/>
          <w:color w:val="000000"/>
          <w:sz w:val="24"/>
          <w:szCs w:val="24"/>
        </w:rPr>
        <w:t>w</w:t>
      </w:r>
      <w:r w:rsidR="006E31BA" w:rsidRPr="0032506F">
        <w:rPr>
          <w:rFonts w:ascii="Times New Roman" w:eastAsia="Calibri" w:hAnsi="Times New Roman" w:cs="Times New Roman"/>
          <w:bCs/>
          <w:color w:val="000000"/>
          <w:sz w:val="24"/>
          <w:szCs w:val="24"/>
        </w:rPr>
        <w:t>ere</w:t>
      </w:r>
      <w:r w:rsidR="005648F5" w:rsidRPr="0032506F">
        <w:rPr>
          <w:rFonts w:ascii="Times New Roman" w:eastAsia="Calibri" w:hAnsi="Times New Roman" w:cs="Times New Roman"/>
          <w:bCs/>
          <w:color w:val="000000"/>
          <w:sz w:val="24"/>
          <w:szCs w:val="24"/>
        </w:rPr>
        <w:t xml:space="preserve"> reviewed and categorized</w:t>
      </w:r>
      <w:r w:rsidR="008F6958" w:rsidRPr="0032506F">
        <w:rPr>
          <w:rFonts w:ascii="Times New Roman" w:eastAsia="Calibri" w:hAnsi="Times New Roman" w:cs="Times New Roman"/>
          <w:bCs/>
          <w:color w:val="000000"/>
          <w:sz w:val="24"/>
          <w:szCs w:val="24"/>
        </w:rPr>
        <w:t xml:space="preserve"> as sub-themes</w:t>
      </w:r>
      <w:r w:rsidR="005648F5" w:rsidRPr="0032506F">
        <w:rPr>
          <w:rFonts w:ascii="Times New Roman" w:eastAsia="Calibri" w:hAnsi="Times New Roman" w:cs="Times New Roman"/>
          <w:bCs/>
          <w:color w:val="000000"/>
          <w:sz w:val="24"/>
          <w:szCs w:val="24"/>
        </w:rPr>
        <w:t xml:space="preserve"> </w:t>
      </w:r>
      <w:r w:rsidR="008F6958" w:rsidRPr="0032506F">
        <w:rPr>
          <w:rFonts w:ascii="Times New Roman" w:eastAsia="Calibri" w:hAnsi="Times New Roman" w:cs="Times New Roman"/>
          <w:bCs/>
          <w:color w:val="000000"/>
          <w:sz w:val="24"/>
          <w:szCs w:val="24"/>
        </w:rPr>
        <w:t>of online engagement</w:t>
      </w:r>
      <w:r w:rsidR="00B953D7" w:rsidRPr="0032506F">
        <w:rPr>
          <w:rFonts w:ascii="Times New Roman" w:eastAsia="Calibri" w:hAnsi="Times New Roman" w:cs="Times New Roman"/>
          <w:bCs/>
          <w:color w:val="000000"/>
          <w:sz w:val="24"/>
          <w:szCs w:val="24"/>
        </w:rPr>
        <w:t xml:space="preserve"> (e.g.,</w:t>
      </w:r>
      <w:r w:rsidR="005B13DF" w:rsidRPr="0032506F">
        <w:rPr>
          <w:rFonts w:ascii="Times New Roman" w:eastAsia="Calibri" w:hAnsi="Times New Roman" w:cs="Times New Roman"/>
          <w:bCs/>
          <w:color w:val="000000"/>
          <w:sz w:val="24"/>
          <w:szCs w:val="24"/>
        </w:rPr>
        <w:t xml:space="preserve"> </w:t>
      </w:r>
      <w:r w:rsidR="00E043D3" w:rsidRPr="0032506F">
        <w:rPr>
          <w:rFonts w:ascii="Times New Roman" w:eastAsia="Calibri" w:hAnsi="Times New Roman" w:cs="Times New Roman"/>
          <w:bCs/>
          <w:color w:val="000000"/>
          <w:sz w:val="24"/>
          <w:szCs w:val="24"/>
        </w:rPr>
        <w:t>Martin, Sun, &amp; Westine, 2020)</w:t>
      </w:r>
      <w:r w:rsidR="009B41E9" w:rsidRPr="0032506F">
        <w:rPr>
          <w:rFonts w:ascii="Times New Roman" w:eastAsia="Calibri" w:hAnsi="Times New Roman" w:cs="Times New Roman"/>
          <w:bCs/>
          <w:color w:val="000000"/>
          <w:sz w:val="24"/>
          <w:szCs w:val="24"/>
        </w:rPr>
        <w:t xml:space="preserve">, </w:t>
      </w:r>
      <w:r w:rsidR="00E20D95" w:rsidRPr="0032506F">
        <w:rPr>
          <w:rFonts w:ascii="Times New Roman" w:eastAsia="Calibri" w:hAnsi="Times New Roman" w:cs="Times New Roman"/>
          <w:bCs/>
          <w:color w:val="000000"/>
          <w:sz w:val="24"/>
          <w:szCs w:val="24"/>
        </w:rPr>
        <w:t>studies examining engagement in online learning environments through the lens of three</w:t>
      </w:r>
      <w:r w:rsidR="00777E49" w:rsidRPr="0032506F">
        <w:rPr>
          <w:rFonts w:ascii="Times New Roman" w:eastAsia="Calibri" w:hAnsi="Times New Roman" w:cs="Times New Roman"/>
          <w:bCs/>
          <w:color w:val="000000"/>
          <w:sz w:val="24"/>
          <w:szCs w:val="24"/>
        </w:rPr>
        <w:t xml:space="preserve"> core</w:t>
      </w:r>
      <w:r w:rsidR="00E20D95" w:rsidRPr="0032506F">
        <w:rPr>
          <w:rFonts w:ascii="Times New Roman" w:eastAsia="Calibri" w:hAnsi="Times New Roman" w:cs="Times New Roman"/>
          <w:bCs/>
          <w:color w:val="000000"/>
          <w:sz w:val="24"/>
          <w:szCs w:val="24"/>
        </w:rPr>
        <w:t xml:space="preserve"> dimensions of behavioral, emotional, and cognitive engagement</w:t>
      </w:r>
      <w:r w:rsidR="006E31BA" w:rsidRPr="0032506F">
        <w:rPr>
          <w:rFonts w:ascii="Times New Roman" w:eastAsia="Calibri" w:hAnsi="Times New Roman" w:cs="Times New Roman"/>
          <w:bCs/>
          <w:color w:val="000000"/>
          <w:sz w:val="24"/>
          <w:szCs w:val="24"/>
        </w:rPr>
        <w:t xml:space="preserve"> </w:t>
      </w:r>
      <w:r w:rsidR="00E20D95" w:rsidRPr="0032506F">
        <w:rPr>
          <w:rFonts w:ascii="Times New Roman" w:eastAsia="Calibri" w:hAnsi="Times New Roman" w:cs="Times New Roman"/>
          <w:bCs/>
          <w:color w:val="000000"/>
          <w:sz w:val="24"/>
          <w:szCs w:val="24"/>
        </w:rPr>
        <w:t xml:space="preserve">(Fredricks et al., 2004) </w:t>
      </w:r>
      <w:r w:rsidR="006E31BA" w:rsidRPr="0032506F">
        <w:rPr>
          <w:rFonts w:ascii="Times New Roman" w:eastAsia="Calibri" w:hAnsi="Times New Roman" w:cs="Times New Roman"/>
          <w:bCs/>
          <w:color w:val="000000"/>
          <w:sz w:val="24"/>
          <w:szCs w:val="24"/>
        </w:rPr>
        <w:t>are still</w:t>
      </w:r>
      <w:r w:rsidR="00777E49" w:rsidRPr="0032506F">
        <w:rPr>
          <w:rFonts w:ascii="Times New Roman" w:eastAsia="Calibri" w:hAnsi="Times New Roman" w:cs="Times New Roman"/>
          <w:bCs/>
          <w:color w:val="000000"/>
          <w:sz w:val="24"/>
          <w:szCs w:val="24"/>
        </w:rPr>
        <w:t xml:space="preserve"> </w:t>
      </w:r>
      <w:r w:rsidR="004F3066" w:rsidRPr="0032506F">
        <w:rPr>
          <w:rFonts w:ascii="Times New Roman" w:eastAsia="Calibri" w:hAnsi="Times New Roman" w:cs="Times New Roman"/>
          <w:bCs/>
          <w:color w:val="000000"/>
          <w:sz w:val="24"/>
          <w:szCs w:val="24"/>
        </w:rPr>
        <w:t>needed</w:t>
      </w:r>
      <w:r w:rsidR="00990D98" w:rsidRPr="0032506F">
        <w:rPr>
          <w:rFonts w:ascii="Times New Roman" w:eastAsia="Calibri" w:hAnsi="Times New Roman" w:cs="Times New Roman"/>
          <w:bCs/>
          <w:color w:val="000000"/>
          <w:sz w:val="24"/>
          <w:szCs w:val="24"/>
        </w:rPr>
        <w:t>,</w:t>
      </w:r>
      <w:r w:rsidR="00777E49" w:rsidRPr="0032506F">
        <w:rPr>
          <w:rFonts w:ascii="Times New Roman" w:eastAsia="Calibri" w:hAnsi="Times New Roman" w:cs="Times New Roman"/>
          <w:bCs/>
          <w:color w:val="000000"/>
          <w:sz w:val="24"/>
          <w:szCs w:val="24"/>
        </w:rPr>
        <w:t xml:space="preserve"> compared to</w:t>
      </w:r>
      <w:r w:rsidR="00AD5E1D" w:rsidRPr="0032506F">
        <w:rPr>
          <w:rFonts w:ascii="Times New Roman" w:eastAsia="Calibri" w:hAnsi="Times New Roman" w:cs="Times New Roman"/>
          <w:bCs/>
          <w:color w:val="000000"/>
          <w:sz w:val="24"/>
          <w:szCs w:val="24"/>
        </w:rPr>
        <w:t xml:space="preserve"> research on these dimensions in traditional classrooms and brick-and-mortar schools. </w:t>
      </w:r>
      <w:r w:rsidRPr="0032506F">
        <w:rPr>
          <w:rFonts w:ascii="Times New Roman" w:eastAsia="Calibri" w:hAnsi="Times New Roman" w:cs="Times New Roman"/>
          <w:bCs/>
          <w:color w:val="000000"/>
          <w:sz w:val="24"/>
          <w:szCs w:val="24"/>
        </w:rPr>
        <w:t xml:space="preserve"> </w:t>
      </w:r>
    </w:p>
    <w:p w14:paraId="5C812B9D" w14:textId="1EC276D7"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Sun and Rueda (2012)</w:t>
      </w:r>
      <w:r w:rsidR="00DD2C7A" w:rsidRPr="0032506F">
        <w:rPr>
          <w:rFonts w:ascii="Times New Roman" w:eastAsia="Calibri" w:hAnsi="Times New Roman" w:cs="Times New Roman"/>
          <w:bCs/>
          <w:color w:val="000000"/>
          <w:sz w:val="24"/>
          <w:szCs w:val="24"/>
        </w:rPr>
        <w:t>, for example,</w:t>
      </w:r>
      <w:r w:rsidRPr="0032506F">
        <w:rPr>
          <w:rFonts w:ascii="Times New Roman" w:eastAsia="Calibri" w:hAnsi="Times New Roman" w:cs="Times New Roman"/>
          <w:bCs/>
          <w:color w:val="000000"/>
          <w:sz w:val="24"/>
          <w:szCs w:val="24"/>
        </w:rPr>
        <w:t xml:space="preserve"> examined the hypothesized relationships among interest, computer self-efficacy, self-regulation skills and online graduate student engagement that they conceptualized </w:t>
      </w:r>
      <w:proofErr w:type="gramStart"/>
      <w:r w:rsidRPr="0032506F">
        <w:rPr>
          <w:rFonts w:ascii="Times New Roman" w:eastAsia="Calibri" w:hAnsi="Times New Roman" w:cs="Times New Roman"/>
          <w:bCs/>
          <w:color w:val="000000"/>
          <w:sz w:val="24"/>
          <w:szCs w:val="24"/>
        </w:rPr>
        <w:t>on the basis of</w:t>
      </w:r>
      <w:proofErr w:type="gramEnd"/>
      <w:r w:rsidRPr="0032506F">
        <w:rPr>
          <w:rFonts w:ascii="Times New Roman" w:eastAsia="Calibri" w:hAnsi="Times New Roman" w:cs="Times New Roman"/>
          <w:bCs/>
          <w:color w:val="000000"/>
          <w:sz w:val="24"/>
          <w:szCs w:val="24"/>
        </w:rPr>
        <w:t xml:space="preserve"> Fredricks et al.’s (2004, 2005) behavioral, emotional, </w:t>
      </w:r>
      <w:r w:rsidRPr="0032506F">
        <w:rPr>
          <w:rFonts w:ascii="Times New Roman" w:eastAsia="Calibri" w:hAnsi="Times New Roman" w:cs="Times New Roman"/>
          <w:bCs/>
          <w:color w:val="000000"/>
          <w:sz w:val="24"/>
          <w:szCs w:val="24"/>
        </w:rPr>
        <w:lastRenderedPageBreak/>
        <w:t>and cognitive engagement. They found that certain specific self-regulation skills of online students significantly predicted all three types of online student engagement.</w:t>
      </w:r>
      <w:r w:rsidR="00183353"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Park and Yun (2018) investigated the impact of eight specific motivational regulation strategies (e.g., mastery self-talk, environmental control, enhancement of personal significance) employed by undergraduate and graduate online students</w:t>
      </w:r>
      <w:r w:rsidR="00183353"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on</w:t>
      </w:r>
      <w:r w:rsidR="003E302D"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behavioral, emotional, and cognitive engagement </w:t>
      </w:r>
      <w:r w:rsidR="003E302D"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Fredricks et al.</w:t>
      </w:r>
      <w:r w:rsidR="003E302D"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2004, 2005). They found that each type of online student engagement was influenced and predicted by certain motivational regulation strategies when students’ academic level was controlled for. Kucuk and Richardson (2019) examined the structural equation relationships among online presences (i.e., teaching, social, and cognitive presences), online student engagement based on Fredricks et al.’s (2004, 2005) conceptualization of engagement</w:t>
      </w:r>
      <w:r w:rsidR="003E302D" w:rsidRPr="0032506F">
        <w:rPr>
          <w:rFonts w:ascii="Times New Roman" w:eastAsia="Calibri" w:hAnsi="Times New Roman" w:cs="Times New Roman"/>
          <w:bCs/>
          <w:color w:val="000000"/>
          <w:sz w:val="24"/>
          <w:szCs w:val="24"/>
        </w:rPr>
        <w:t xml:space="preserve"> in addition to agentic engagement (Reeve, 2013)</w:t>
      </w:r>
      <w:r w:rsidRPr="0032506F">
        <w:rPr>
          <w:rFonts w:ascii="Times New Roman" w:eastAsia="Calibri" w:hAnsi="Times New Roman" w:cs="Times New Roman"/>
          <w:bCs/>
          <w:color w:val="000000"/>
          <w:sz w:val="24"/>
          <w:szCs w:val="24"/>
        </w:rPr>
        <w:t xml:space="preserve">, and online student satisfaction in a fully online graduate program. </w:t>
      </w:r>
      <w:r w:rsidR="00D71411" w:rsidRPr="0032506F">
        <w:rPr>
          <w:rFonts w:ascii="Times New Roman" w:eastAsia="Calibri" w:hAnsi="Times New Roman" w:cs="Times New Roman"/>
          <w:bCs/>
          <w:color w:val="000000"/>
          <w:sz w:val="24"/>
          <w:szCs w:val="24"/>
        </w:rPr>
        <w:t xml:space="preserve">Behavioral, emotional, and cognitive engagement </w:t>
      </w:r>
      <w:r w:rsidR="00620EF8" w:rsidRPr="0032506F">
        <w:rPr>
          <w:rFonts w:ascii="Times New Roman" w:eastAsia="Calibri" w:hAnsi="Times New Roman" w:cs="Times New Roman"/>
          <w:bCs/>
          <w:color w:val="000000"/>
          <w:sz w:val="24"/>
          <w:szCs w:val="24"/>
        </w:rPr>
        <w:t xml:space="preserve">all </w:t>
      </w:r>
      <w:r w:rsidRPr="0032506F">
        <w:rPr>
          <w:rFonts w:ascii="Times New Roman" w:eastAsia="Calibri" w:hAnsi="Times New Roman" w:cs="Times New Roman"/>
          <w:bCs/>
          <w:color w:val="000000"/>
          <w:sz w:val="24"/>
          <w:szCs w:val="24"/>
        </w:rPr>
        <w:t xml:space="preserve">had significant effects on online student satisfaction (Kucuk &amp; Richardson, 2019). </w:t>
      </w:r>
    </w:p>
    <w:p w14:paraId="62731DD8" w14:textId="130E5CCA"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To sum up, </w:t>
      </w:r>
      <w:r w:rsidR="00DB5ACA" w:rsidRPr="0032506F">
        <w:rPr>
          <w:rFonts w:ascii="Times New Roman" w:eastAsia="Calibri" w:hAnsi="Times New Roman" w:cs="Times New Roman"/>
          <w:bCs/>
          <w:color w:val="000000"/>
          <w:sz w:val="24"/>
          <w:szCs w:val="24"/>
        </w:rPr>
        <w:t>the existing studies</w:t>
      </w:r>
      <w:r w:rsidRPr="0032506F">
        <w:rPr>
          <w:rFonts w:ascii="Times New Roman" w:eastAsia="Calibri" w:hAnsi="Times New Roman" w:cs="Times New Roman"/>
          <w:bCs/>
          <w:color w:val="000000"/>
          <w:sz w:val="24"/>
          <w:szCs w:val="24"/>
        </w:rPr>
        <w:t xml:space="preserve"> indicate that student engagement with its three core dimensions can come into play in relation to significant variables in online learning environments and can yield positive outcomes. Therefore, the key construct of student engagement needs to be incorporated into empirical examinations of online learning environments either as a predictor or outcome variable to get a thorough understanding of online learning environments. However, such empirical examinations need reliable and valid measures to precisely assess this significant construct. </w:t>
      </w:r>
      <w:proofErr w:type="gramStart"/>
      <w:r w:rsidR="004F6614" w:rsidRPr="0032506F">
        <w:rPr>
          <w:rFonts w:ascii="Times New Roman" w:eastAsia="Calibri" w:hAnsi="Times New Roman" w:cs="Times New Roman"/>
          <w:bCs/>
          <w:color w:val="000000"/>
          <w:sz w:val="24"/>
          <w:szCs w:val="24"/>
        </w:rPr>
        <w:t>In light of</w:t>
      </w:r>
      <w:proofErr w:type="gramEnd"/>
      <w:r w:rsidR="004F6614" w:rsidRPr="0032506F">
        <w:rPr>
          <w:rFonts w:ascii="Times New Roman" w:eastAsia="Calibri" w:hAnsi="Times New Roman" w:cs="Times New Roman"/>
          <w:bCs/>
          <w:color w:val="000000"/>
          <w:sz w:val="24"/>
          <w:szCs w:val="24"/>
        </w:rPr>
        <w:t xml:space="preserve"> </w:t>
      </w:r>
      <w:r w:rsidR="007A5BC0" w:rsidRPr="0032506F">
        <w:rPr>
          <w:rFonts w:ascii="Times New Roman" w:eastAsia="Calibri" w:hAnsi="Times New Roman" w:cs="Times New Roman"/>
          <w:bCs/>
          <w:color w:val="000000"/>
          <w:sz w:val="24"/>
          <w:szCs w:val="24"/>
        </w:rPr>
        <w:t xml:space="preserve">the inconsistencies </w:t>
      </w:r>
      <w:r w:rsidR="0083792F" w:rsidRPr="0032506F">
        <w:rPr>
          <w:rFonts w:ascii="Times New Roman" w:eastAsia="Calibri" w:hAnsi="Times New Roman" w:cs="Times New Roman"/>
          <w:bCs/>
          <w:color w:val="000000"/>
          <w:sz w:val="24"/>
          <w:szCs w:val="24"/>
        </w:rPr>
        <w:t>and variations in the conceptualizations, operationalizations, and measurements of engagement in the online learning literature (</w:t>
      </w:r>
      <w:r w:rsidR="005856AD" w:rsidRPr="0032506F">
        <w:rPr>
          <w:rFonts w:ascii="Times New Roman" w:eastAsia="Calibri" w:hAnsi="Times New Roman" w:cs="Times New Roman"/>
          <w:bCs/>
          <w:color w:val="000000"/>
          <w:sz w:val="24"/>
          <w:szCs w:val="24"/>
        </w:rPr>
        <w:t>Hoi &amp; Le Hang, 2021), t</w:t>
      </w:r>
      <w:r w:rsidRPr="0032506F">
        <w:rPr>
          <w:rFonts w:ascii="Times New Roman" w:eastAsia="Calibri" w:hAnsi="Times New Roman" w:cs="Times New Roman"/>
          <w:bCs/>
          <w:color w:val="000000"/>
          <w:sz w:val="24"/>
          <w:szCs w:val="24"/>
        </w:rPr>
        <w:t xml:space="preserve">his study aims to provide a reliable and valid assessment tool </w:t>
      </w:r>
      <w:r w:rsidR="00F732DB" w:rsidRPr="0032506F">
        <w:rPr>
          <w:rFonts w:ascii="Times New Roman" w:eastAsia="Calibri" w:hAnsi="Times New Roman" w:cs="Times New Roman"/>
          <w:bCs/>
          <w:color w:val="000000"/>
          <w:sz w:val="24"/>
          <w:szCs w:val="24"/>
        </w:rPr>
        <w:lastRenderedPageBreak/>
        <w:t xml:space="preserve">to </w:t>
      </w:r>
      <w:r w:rsidRPr="0032506F">
        <w:rPr>
          <w:rFonts w:ascii="Times New Roman" w:eastAsia="Calibri" w:hAnsi="Times New Roman" w:cs="Times New Roman"/>
          <w:bCs/>
          <w:color w:val="000000"/>
          <w:sz w:val="24"/>
          <w:szCs w:val="24"/>
        </w:rPr>
        <w:t xml:space="preserve">make robust examinations of student engagement possible in online learning environments of higher education.  </w:t>
      </w:r>
    </w:p>
    <w:p w14:paraId="754CD250" w14:textId="77777777" w:rsidR="0082746B" w:rsidRPr="0032506F" w:rsidRDefault="0082746B" w:rsidP="0082746B">
      <w:pPr>
        <w:keepNext/>
        <w:keepLines/>
        <w:spacing w:after="0" w:line="480" w:lineRule="auto"/>
        <w:outlineLvl w:val="1"/>
        <w:rPr>
          <w:rFonts w:ascii="Times New Roman" w:eastAsiaTheme="majorEastAsia" w:hAnsi="Times New Roman" w:cs="Times New Roman"/>
          <w:b/>
          <w:bCs/>
          <w:sz w:val="24"/>
          <w:szCs w:val="24"/>
        </w:rPr>
      </w:pPr>
      <w:bookmarkStart w:id="28" w:name="_Toc102489434"/>
      <w:bookmarkStart w:id="29" w:name="_Hlk61447887"/>
      <w:r w:rsidRPr="0032506F">
        <w:rPr>
          <w:rFonts w:ascii="Times New Roman" w:eastAsiaTheme="majorEastAsia" w:hAnsi="Times New Roman" w:cs="Times New Roman"/>
          <w:b/>
          <w:bCs/>
          <w:sz w:val="24"/>
          <w:szCs w:val="24"/>
        </w:rPr>
        <w:t>Student Engagement: Myriad Terms, Definitions, and Conceptualizations</w:t>
      </w:r>
      <w:bookmarkEnd w:id="28"/>
    </w:p>
    <w:bookmarkEnd w:id="29"/>
    <w:p w14:paraId="1F2D4804" w14:textId="72CB37D2" w:rsidR="0082746B" w:rsidRPr="0032506F" w:rsidRDefault="0082746B" w:rsidP="0082746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With the increasing popularity of and scholarly research attention to the construct of engagement, </w:t>
      </w:r>
      <w:r w:rsidR="00873DBF" w:rsidRPr="0032506F">
        <w:rPr>
          <w:rFonts w:ascii="Times New Roman" w:eastAsia="Calibri" w:hAnsi="Times New Roman" w:cs="Times New Roman"/>
          <w:bCs/>
          <w:color w:val="000000"/>
          <w:sz w:val="24"/>
          <w:szCs w:val="24"/>
        </w:rPr>
        <w:t>variations</w:t>
      </w:r>
      <w:r w:rsidRPr="0032506F">
        <w:rPr>
          <w:rFonts w:ascii="Times New Roman" w:eastAsia="Calibri" w:hAnsi="Times New Roman" w:cs="Times New Roman"/>
          <w:bCs/>
          <w:color w:val="000000"/>
          <w:sz w:val="24"/>
          <w:szCs w:val="24"/>
        </w:rPr>
        <w:t xml:space="preserve"> and inconsistencies in terms, definitions, and conceptualizations</w:t>
      </w:r>
      <w:r w:rsidR="00C61031" w:rsidRPr="0032506F">
        <w:rPr>
          <w:rFonts w:ascii="Times New Roman" w:eastAsia="Calibri" w:hAnsi="Times New Roman" w:cs="Times New Roman"/>
          <w:bCs/>
          <w:color w:val="000000"/>
          <w:sz w:val="24"/>
          <w:szCs w:val="24"/>
        </w:rPr>
        <w:t xml:space="preserve"> of engagement</w:t>
      </w:r>
      <w:r w:rsidR="00234790"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as well as</w:t>
      </w:r>
      <w:r w:rsidR="00234790" w:rsidRPr="0032506F">
        <w:rPr>
          <w:rFonts w:ascii="Times New Roman" w:eastAsia="Calibri" w:hAnsi="Times New Roman" w:cs="Times New Roman"/>
          <w:bCs/>
          <w:color w:val="000000"/>
          <w:sz w:val="24"/>
          <w:szCs w:val="24"/>
        </w:rPr>
        <w:t xml:space="preserve"> diverse</w:t>
      </w:r>
      <w:r w:rsidRPr="0032506F">
        <w:rPr>
          <w:rFonts w:ascii="Times New Roman" w:eastAsia="Calibri" w:hAnsi="Times New Roman" w:cs="Times New Roman"/>
          <w:bCs/>
          <w:color w:val="000000"/>
          <w:sz w:val="24"/>
          <w:szCs w:val="24"/>
        </w:rPr>
        <w:t xml:space="preserve"> </w:t>
      </w:r>
      <w:r w:rsidR="00234790" w:rsidRPr="0032506F">
        <w:rPr>
          <w:rFonts w:ascii="Times New Roman" w:eastAsia="Calibri" w:hAnsi="Times New Roman" w:cs="Times New Roman"/>
          <w:bCs/>
          <w:color w:val="000000"/>
          <w:sz w:val="24"/>
          <w:szCs w:val="24"/>
        </w:rPr>
        <w:t xml:space="preserve">operationalizations and </w:t>
      </w:r>
      <w:r w:rsidRPr="0032506F">
        <w:rPr>
          <w:rFonts w:ascii="Times New Roman" w:eastAsia="Calibri" w:hAnsi="Times New Roman" w:cs="Times New Roman"/>
          <w:bCs/>
          <w:color w:val="000000"/>
          <w:sz w:val="24"/>
          <w:szCs w:val="24"/>
        </w:rPr>
        <w:t xml:space="preserve">measurements of </w:t>
      </w:r>
      <w:r w:rsidR="00234790" w:rsidRPr="0032506F">
        <w:rPr>
          <w:rFonts w:ascii="Times New Roman" w:eastAsia="Calibri" w:hAnsi="Times New Roman" w:cs="Times New Roman"/>
          <w:bCs/>
          <w:color w:val="000000"/>
          <w:sz w:val="24"/>
          <w:szCs w:val="24"/>
        </w:rPr>
        <w:t>engagement have emerged</w:t>
      </w:r>
      <w:r w:rsidRPr="0032506F">
        <w:rPr>
          <w:rFonts w:ascii="Times New Roman" w:eastAsia="Calibri" w:hAnsi="Times New Roman" w:cs="Times New Roman"/>
          <w:bCs/>
          <w:color w:val="000000"/>
          <w:sz w:val="24"/>
          <w:szCs w:val="24"/>
        </w:rPr>
        <w:t xml:space="preserve"> in the relevant literature (Ainley, 2012; Appleton et al., 2008;</w:t>
      </w:r>
      <w:r w:rsidR="00C61031"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Deng et al., 2020; Fredricks</w:t>
      </w:r>
      <w:r w:rsidRPr="0032506F">
        <w:rPr>
          <w:rFonts w:ascii="Times New Roman" w:eastAsia="Times New Roman"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Filsecker, &amp; Lawson, 2016; Fredricks &amp; McColskey, 2012; Hoi &amp; Le Hang, 2021).  For instance, </w:t>
      </w:r>
      <w:r w:rsidR="003E1A0D" w:rsidRPr="0032506F">
        <w:rPr>
          <w:rFonts w:ascii="Times New Roman" w:eastAsia="Calibri" w:hAnsi="Times New Roman" w:cs="Times New Roman"/>
          <w:bCs/>
          <w:color w:val="000000"/>
          <w:sz w:val="24"/>
          <w:szCs w:val="24"/>
        </w:rPr>
        <w:t>engagement as a construct</w:t>
      </w:r>
      <w:r w:rsidRPr="0032506F">
        <w:rPr>
          <w:rFonts w:ascii="Times New Roman" w:eastAsia="Calibri" w:hAnsi="Times New Roman" w:cs="Times New Roman"/>
          <w:bCs/>
          <w:color w:val="000000"/>
          <w:sz w:val="24"/>
          <w:szCs w:val="24"/>
        </w:rPr>
        <w:t xml:space="preserve"> has been referred to by </w:t>
      </w:r>
      <w:r w:rsidR="002740AE" w:rsidRPr="0032506F">
        <w:rPr>
          <w:rFonts w:ascii="Times New Roman" w:eastAsia="Calibri" w:hAnsi="Times New Roman" w:cs="Times New Roman"/>
          <w:bCs/>
          <w:color w:val="000000"/>
          <w:sz w:val="24"/>
          <w:szCs w:val="24"/>
        </w:rPr>
        <w:t>various</w:t>
      </w:r>
      <w:r w:rsidRPr="0032506F">
        <w:rPr>
          <w:rFonts w:ascii="Times New Roman" w:eastAsia="Calibri" w:hAnsi="Times New Roman" w:cs="Times New Roman"/>
          <w:bCs/>
          <w:color w:val="000000"/>
          <w:sz w:val="24"/>
          <w:szCs w:val="24"/>
        </w:rPr>
        <w:t xml:space="preserve"> terms in the relevant literature, including but not limited to </w:t>
      </w:r>
      <w:r w:rsidRPr="0032506F">
        <w:rPr>
          <w:rFonts w:ascii="Times New Roman" w:eastAsia="Calibri" w:hAnsi="Times New Roman" w:cs="Times New Roman"/>
          <w:bCs/>
          <w:i/>
          <w:iCs/>
          <w:color w:val="000000"/>
          <w:sz w:val="24"/>
          <w:szCs w:val="24"/>
        </w:rPr>
        <w:t>student involvement</w:t>
      </w:r>
      <w:r w:rsidR="005C00D2" w:rsidRPr="0032506F">
        <w:rPr>
          <w:rFonts w:ascii="Times New Roman" w:eastAsia="Calibri" w:hAnsi="Times New Roman" w:cs="Times New Roman"/>
          <w:bCs/>
          <w:i/>
          <w:iCs/>
          <w:color w:val="000000"/>
          <w:sz w:val="24"/>
          <w:szCs w:val="24"/>
        </w:rPr>
        <w:t xml:space="preserve"> </w:t>
      </w:r>
      <w:r w:rsidR="005C00D2" w:rsidRPr="0032506F">
        <w:rPr>
          <w:rFonts w:ascii="Times New Roman" w:eastAsia="Calibri" w:hAnsi="Times New Roman" w:cs="Times New Roman"/>
          <w:bCs/>
          <w:color w:val="000000"/>
          <w:sz w:val="24"/>
          <w:szCs w:val="24"/>
        </w:rPr>
        <w:t>(</w:t>
      </w:r>
      <w:r w:rsidR="00750E19" w:rsidRPr="0032506F">
        <w:rPr>
          <w:rFonts w:ascii="Times New Roman" w:eastAsia="Calibri" w:hAnsi="Times New Roman" w:cs="Times New Roman"/>
          <w:bCs/>
          <w:color w:val="000000"/>
          <w:sz w:val="24"/>
          <w:szCs w:val="24"/>
        </w:rPr>
        <w:t xml:space="preserve">e.g., </w:t>
      </w:r>
      <w:r w:rsidR="005C00D2" w:rsidRPr="0032506F">
        <w:rPr>
          <w:rFonts w:ascii="Times New Roman" w:eastAsia="Calibri" w:hAnsi="Times New Roman" w:cs="Times New Roman"/>
          <w:bCs/>
          <w:color w:val="000000"/>
          <w:sz w:val="24"/>
          <w:szCs w:val="24"/>
        </w:rPr>
        <w:t>Astin, 1984</w:t>
      </w:r>
      <w:r w:rsidR="00D76DAF" w:rsidRPr="0032506F">
        <w:rPr>
          <w:rFonts w:ascii="Times New Roman" w:eastAsia="Calibri" w:hAnsi="Times New Roman" w:cs="Times New Roman"/>
          <w:bCs/>
          <w:color w:val="000000"/>
          <w:sz w:val="24"/>
          <w:szCs w:val="24"/>
        </w:rPr>
        <w:t>; Finn, 1989</w:t>
      </w:r>
      <w:r w:rsidR="005C00D2"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t>
      </w:r>
      <w:r w:rsidR="00C46174" w:rsidRPr="0032506F">
        <w:rPr>
          <w:rFonts w:ascii="Times New Roman" w:eastAsia="Calibri" w:hAnsi="Times New Roman" w:cs="Times New Roman"/>
          <w:bCs/>
          <w:i/>
          <w:iCs/>
          <w:color w:val="000000"/>
          <w:sz w:val="24"/>
          <w:szCs w:val="24"/>
        </w:rPr>
        <w:t>student engagement</w:t>
      </w:r>
      <w:r w:rsidR="00C46174" w:rsidRPr="0032506F">
        <w:rPr>
          <w:rFonts w:ascii="Times New Roman" w:eastAsia="Calibri" w:hAnsi="Times New Roman" w:cs="Times New Roman"/>
          <w:bCs/>
          <w:color w:val="000000"/>
          <w:sz w:val="24"/>
          <w:szCs w:val="24"/>
        </w:rPr>
        <w:t xml:space="preserve"> (</w:t>
      </w:r>
      <w:r w:rsidR="00750E19" w:rsidRPr="0032506F">
        <w:rPr>
          <w:rFonts w:ascii="Times New Roman" w:eastAsia="Calibri" w:hAnsi="Times New Roman" w:cs="Times New Roman"/>
          <w:bCs/>
          <w:color w:val="000000"/>
          <w:sz w:val="24"/>
          <w:szCs w:val="24"/>
        </w:rPr>
        <w:t xml:space="preserve">e.g., </w:t>
      </w:r>
      <w:r w:rsidR="00C46174" w:rsidRPr="0032506F">
        <w:rPr>
          <w:rFonts w:ascii="Times New Roman" w:eastAsia="Calibri" w:hAnsi="Times New Roman" w:cs="Times New Roman"/>
          <w:bCs/>
          <w:color w:val="000000"/>
          <w:sz w:val="24"/>
          <w:szCs w:val="24"/>
        </w:rPr>
        <w:t>Christenson et al., 2012</w:t>
      </w:r>
      <w:r w:rsidR="00FE504B" w:rsidRPr="0032506F">
        <w:rPr>
          <w:rFonts w:ascii="Times New Roman" w:eastAsia="Calibri" w:hAnsi="Times New Roman" w:cs="Times New Roman"/>
          <w:bCs/>
          <w:color w:val="000000"/>
          <w:sz w:val="24"/>
          <w:szCs w:val="24"/>
        </w:rPr>
        <w:t>;</w:t>
      </w:r>
      <w:r w:rsidR="006172D8" w:rsidRPr="0032506F">
        <w:rPr>
          <w:rFonts w:ascii="Times New Roman" w:eastAsia="Calibri" w:hAnsi="Times New Roman" w:cs="Times New Roman"/>
          <w:bCs/>
          <w:color w:val="000000"/>
          <w:sz w:val="24"/>
          <w:szCs w:val="24"/>
        </w:rPr>
        <w:t xml:space="preserve"> </w:t>
      </w:r>
      <w:r w:rsidR="0015445D" w:rsidRPr="0032506F">
        <w:rPr>
          <w:rFonts w:ascii="Times New Roman" w:eastAsia="Calibri" w:hAnsi="Times New Roman" w:cs="Times New Roman"/>
          <w:bCs/>
          <w:color w:val="000000"/>
          <w:sz w:val="24"/>
          <w:szCs w:val="24"/>
        </w:rPr>
        <w:t xml:space="preserve">Fredricks, 2015; </w:t>
      </w:r>
      <w:r w:rsidR="006172D8" w:rsidRPr="0032506F">
        <w:rPr>
          <w:rFonts w:ascii="Times New Roman" w:eastAsia="Calibri" w:hAnsi="Times New Roman" w:cs="Times New Roman"/>
          <w:bCs/>
          <w:color w:val="000000"/>
          <w:sz w:val="24"/>
          <w:szCs w:val="24"/>
        </w:rPr>
        <w:t>Marks, 2000</w:t>
      </w:r>
      <w:r w:rsidR="00C46174"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i/>
          <w:iCs/>
          <w:color w:val="000000"/>
          <w:sz w:val="24"/>
          <w:szCs w:val="24"/>
        </w:rPr>
        <w:t>school engagement</w:t>
      </w:r>
      <w:r w:rsidR="002740AE" w:rsidRPr="0032506F">
        <w:rPr>
          <w:rFonts w:ascii="Times New Roman" w:eastAsia="Calibri" w:hAnsi="Times New Roman" w:cs="Times New Roman"/>
          <w:bCs/>
          <w:i/>
          <w:iCs/>
          <w:color w:val="000000"/>
          <w:sz w:val="24"/>
          <w:szCs w:val="24"/>
        </w:rPr>
        <w:t xml:space="preserve"> </w:t>
      </w:r>
      <w:r w:rsidR="002740AE" w:rsidRPr="0032506F">
        <w:rPr>
          <w:rFonts w:ascii="Times New Roman" w:eastAsia="Calibri" w:hAnsi="Times New Roman" w:cs="Times New Roman"/>
          <w:bCs/>
          <w:color w:val="000000"/>
          <w:sz w:val="24"/>
          <w:szCs w:val="24"/>
        </w:rPr>
        <w:t>(</w:t>
      </w:r>
      <w:r w:rsidR="00750E19" w:rsidRPr="0032506F">
        <w:rPr>
          <w:rFonts w:ascii="Times New Roman" w:eastAsia="Calibri" w:hAnsi="Times New Roman" w:cs="Times New Roman"/>
          <w:bCs/>
          <w:color w:val="000000"/>
          <w:sz w:val="24"/>
          <w:szCs w:val="24"/>
        </w:rPr>
        <w:t xml:space="preserve">e.g., </w:t>
      </w:r>
      <w:r w:rsidR="002740AE" w:rsidRPr="0032506F">
        <w:rPr>
          <w:rFonts w:ascii="Times New Roman" w:eastAsia="Calibri" w:hAnsi="Times New Roman" w:cs="Times New Roman"/>
          <w:bCs/>
          <w:color w:val="000000"/>
          <w:sz w:val="24"/>
          <w:szCs w:val="24"/>
        </w:rPr>
        <w:t>Fredricks et al., 2004</w:t>
      </w:r>
      <w:r w:rsidR="001D3DD0" w:rsidRPr="0032506F">
        <w:rPr>
          <w:rFonts w:ascii="Times New Roman" w:eastAsia="Calibri" w:hAnsi="Times New Roman" w:cs="Times New Roman"/>
          <w:bCs/>
          <w:color w:val="000000"/>
          <w:sz w:val="24"/>
          <w:szCs w:val="24"/>
        </w:rPr>
        <w:t xml:space="preserve">; </w:t>
      </w:r>
      <w:r w:rsidR="00C123AE" w:rsidRPr="0032506F">
        <w:rPr>
          <w:rFonts w:ascii="Times New Roman" w:eastAsia="Calibri" w:hAnsi="Times New Roman" w:cs="Times New Roman"/>
          <w:bCs/>
          <w:color w:val="000000"/>
          <w:sz w:val="24"/>
          <w:szCs w:val="24"/>
        </w:rPr>
        <w:t xml:space="preserve">Furlong et al., 2003; </w:t>
      </w:r>
      <w:r w:rsidR="008E7E40" w:rsidRPr="0032506F">
        <w:rPr>
          <w:rFonts w:ascii="Times New Roman" w:eastAsia="Calibri" w:hAnsi="Times New Roman" w:cs="Times New Roman"/>
          <w:bCs/>
          <w:color w:val="000000"/>
          <w:sz w:val="24"/>
          <w:szCs w:val="24"/>
        </w:rPr>
        <w:t xml:space="preserve">Jimerson et al., 2003; </w:t>
      </w:r>
      <w:r w:rsidR="001D3DD0" w:rsidRPr="0032506F">
        <w:rPr>
          <w:rFonts w:ascii="Times New Roman" w:eastAsia="Calibri" w:hAnsi="Times New Roman" w:cs="Times New Roman"/>
          <w:bCs/>
          <w:color w:val="000000"/>
          <w:sz w:val="24"/>
          <w:szCs w:val="24"/>
        </w:rPr>
        <w:t>Wang &amp; Fredricks, 2014</w:t>
      </w:r>
      <w:r w:rsidR="002740AE"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i/>
          <w:iCs/>
          <w:color w:val="000000"/>
          <w:sz w:val="24"/>
          <w:szCs w:val="24"/>
        </w:rPr>
        <w:t>academic engagement</w:t>
      </w:r>
      <w:r w:rsidR="004A7F9B" w:rsidRPr="0032506F">
        <w:rPr>
          <w:rFonts w:ascii="Times New Roman" w:eastAsia="Calibri" w:hAnsi="Times New Roman" w:cs="Times New Roman"/>
          <w:bCs/>
          <w:i/>
          <w:iCs/>
          <w:color w:val="000000"/>
          <w:sz w:val="24"/>
          <w:szCs w:val="24"/>
        </w:rPr>
        <w:t xml:space="preserve"> </w:t>
      </w:r>
      <w:r w:rsidR="004A7F9B" w:rsidRPr="0032506F">
        <w:rPr>
          <w:rFonts w:ascii="Times New Roman" w:eastAsia="Calibri" w:hAnsi="Times New Roman" w:cs="Times New Roman"/>
          <w:bCs/>
          <w:color w:val="000000"/>
          <w:sz w:val="24"/>
          <w:szCs w:val="24"/>
        </w:rPr>
        <w:t>(</w:t>
      </w:r>
      <w:r w:rsidR="00750E19" w:rsidRPr="0032506F">
        <w:rPr>
          <w:rFonts w:ascii="Times New Roman" w:eastAsia="Calibri" w:hAnsi="Times New Roman" w:cs="Times New Roman"/>
          <w:bCs/>
          <w:color w:val="000000"/>
          <w:sz w:val="24"/>
          <w:szCs w:val="24"/>
        </w:rPr>
        <w:t xml:space="preserve">e.g., </w:t>
      </w:r>
      <w:r w:rsidR="004A7F9B" w:rsidRPr="0032506F">
        <w:rPr>
          <w:rFonts w:ascii="Times New Roman" w:eastAsia="Calibri" w:hAnsi="Times New Roman" w:cs="Times New Roman"/>
          <w:bCs/>
          <w:color w:val="000000"/>
          <w:sz w:val="24"/>
          <w:szCs w:val="24"/>
        </w:rPr>
        <w:t>Fredricks, 2015)</w:t>
      </w:r>
      <w:r w:rsidRPr="0032506F">
        <w:rPr>
          <w:rFonts w:ascii="Times New Roman" w:eastAsia="Calibri" w:hAnsi="Times New Roman" w:cs="Times New Roman"/>
          <w:bCs/>
          <w:color w:val="000000"/>
          <w:sz w:val="24"/>
          <w:szCs w:val="24"/>
        </w:rPr>
        <w:t>,</w:t>
      </w:r>
      <w:r w:rsidR="00540AAA"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learner engagement</w:t>
      </w:r>
      <w:r w:rsidR="00BF5BD8" w:rsidRPr="0032506F">
        <w:rPr>
          <w:rFonts w:ascii="Times New Roman" w:eastAsia="Calibri" w:hAnsi="Times New Roman" w:cs="Times New Roman"/>
          <w:bCs/>
          <w:i/>
          <w:iCs/>
          <w:color w:val="000000"/>
          <w:sz w:val="24"/>
          <w:szCs w:val="24"/>
        </w:rPr>
        <w:t xml:space="preserve"> </w:t>
      </w:r>
      <w:r w:rsidR="00BF5BD8" w:rsidRPr="0032506F">
        <w:rPr>
          <w:rFonts w:ascii="Times New Roman" w:eastAsia="Calibri" w:hAnsi="Times New Roman" w:cs="Times New Roman"/>
          <w:bCs/>
          <w:color w:val="000000"/>
          <w:sz w:val="24"/>
          <w:szCs w:val="24"/>
        </w:rPr>
        <w:t>(Deng et al., 2020)</w:t>
      </w:r>
      <w:r w:rsidR="00BF5BD8" w:rsidRPr="0032506F">
        <w:rPr>
          <w:rFonts w:ascii="Times New Roman" w:eastAsia="Calibri" w:hAnsi="Times New Roman" w:cs="Times New Roman"/>
          <w:bCs/>
          <w:i/>
          <w:iCs/>
          <w:color w:val="000000"/>
          <w:sz w:val="24"/>
          <w:szCs w:val="24"/>
        </w:rPr>
        <w:t xml:space="preserve">. </w:t>
      </w:r>
      <w:r w:rsidRPr="0032506F">
        <w:rPr>
          <w:rFonts w:ascii="Times New Roman" w:eastAsia="Calibri" w:hAnsi="Times New Roman" w:cs="Times New Roman"/>
          <w:bCs/>
          <w:color w:val="000000"/>
          <w:sz w:val="24"/>
          <w:szCs w:val="24"/>
        </w:rPr>
        <w:t xml:space="preserve">Among all these different terms and names, </w:t>
      </w:r>
      <w:r w:rsidRPr="0032506F">
        <w:rPr>
          <w:rFonts w:ascii="Times New Roman" w:eastAsia="Calibri" w:hAnsi="Times New Roman" w:cs="Times New Roman"/>
          <w:bCs/>
          <w:i/>
          <w:iCs/>
          <w:color w:val="000000"/>
          <w:sz w:val="24"/>
          <w:szCs w:val="24"/>
        </w:rPr>
        <w:t>student engagement</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school engagement</w:t>
      </w:r>
      <w:r w:rsidRPr="0032506F">
        <w:rPr>
          <w:rFonts w:ascii="Times New Roman" w:eastAsia="Calibri" w:hAnsi="Times New Roman" w:cs="Times New Roman"/>
          <w:bCs/>
          <w:color w:val="000000"/>
          <w:sz w:val="24"/>
          <w:szCs w:val="24"/>
        </w:rPr>
        <w:t xml:space="preserve"> are most widely used two terms in the relevant literature (Fredricks &amp; McColskey, 2012). In this study, the terms </w:t>
      </w:r>
      <w:r w:rsidRPr="0032506F">
        <w:rPr>
          <w:rFonts w:ascii="Times New Roman" w:eastAsia="Calibri" w:hAnsi="Times New Roman" w:cs="Times New Roman"/>
          <w:bCs/>
          <w:i/>
          <w:iCs/>
          <w:color w:val="000000"/>
          <w:sz w:val="24"/>
          <w:szCs w:val="24"/>
        </w:rPr>
        <w:t>engagement</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student engagement</w:t>
      </w:r>
      <w:r w:rsidRPr="0032506F">
        <w:rPr>
          <w:rFonts w:ascii="Times New Roman" w:eastAsia="Calibri" w:hAnsi="Times New Roman" w:cs="Times New Roman"/>
          <w:bCs/>
          <w:color w:val="000000"/>
          <w:sz w:val="24"/>
          <w:szCs w:val="24"/>
        </w:rPr>
        <w:t xml:space="preserve"> </w:t>
      </w:r>
      <w:r w:rsidR="00953B09" w:rsidRPr="0032506F">
        <w:rPr>
          <w:rFonts w:ascii="Times New Roman" w:eastAsia="Calibri" w:hAnsi="Times New Roman" w:cs="Times New Roman"/>
          <w:bCs/>
          <w:color w:val="000000"/>
          <w:sz w:val="24"/>
          <w:szCs w:val="24"/>
        </w:rPr>
        <w:t xml:space="preserve">are used </w:t>
      </w:r>
      <w:r w:rsidRPr="0032506F">
        <w:rPr>
          <w:rFonts w:ascii="Times New Roman" w:eastAsia="Calibri" w:hAnsi="Times New Roman" w:cs="Times New Roman"/>
          <w:bCs/>
          <w:color w:val="000000"/>
          <w:sz w:val="24"/>
          <w:szCs w:val="24"/>
        </w:rPr>
        <w:t xml:space="preserve">interchangeably to refer to students’ behavioral, emotional, and cognitive involvement in their own academic learning process in online courses of higher education. </w:t>
      </w:r>
    </w:p>
    <w:p w14:paraId="27308C29" w14:textId="3502F54D"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bCs/>
          <w:color w:val="000000"/>
          <w:sz w:val="24"/>
          <w:szCs w:val="24"/>
        </w:rPr>
        <w:t>Th</w:t>
      </w:r>
      <w:r w:rsidR="009E5722" w:rsidRPr="0032506F">
        <w:rPr>
          <w:rFonts w:ascii="Times New Roman" w:eastAsia="Calibri" w:hAnsi="Times New Roman" w:cs="Times New Roman"/>
          <w:bCs/>
          <w:color w:val="000000"/>
          <w:sz w:val="24"/>
          <w:szCs w:val="24"/>
        </w:rPr>
        <w:t xml:space="preserve">e </w:t>
      </w:r>
      <w:r w:rsidRPr="0032506F">
        <w:rPr>
          <w:rFonts w:ascii="Times New Roman" w:eastAsia="Calibri" w:hAnsi="Times New Roman" w:cs="Times New Roman"/>
          <w:bCs/>
          <w:color w:val="000000"/>
          <w:sz w:val="24"/>
          <w:szCs w:val="24"/>
        </w:rPr>
        <w:t xml:space="preserve">diversity </w:t>
      </w:r>
      <w:r w:rsidR="00F732DB" w:rsidRPr="0032506F">
        <w:rPr>
          <w:rFonts w:ascii="Times New Roman" w:eastAsia="Calibri" w:hAnsi="Times New Roman" w:cs="Times New Roman"/>
          <w:bCs/>
          <w:color w:val="000000"/>
          <w:sz w:val="24"/>
          <w:szCs w:val="24"/>
        </w:rPr>
        <w:t>of</w:t>
      </w:r>
      <w:r w:rsidR="00A353F0" w:rsidRPr="0032506F">
        <w:rPr>
          <w:rFonts w:ascii="Times New Roman" w:eastAsia="Calibri" w:hAnsi="Times New Roman" w:cs="Times New Roman"/>
          <w:bCs/>
          <w:color w:val="000000"/>
          <w:sz w:val="24"/>
          <w:szCs w:val="24"/>
        </w:rPr>
        <w:t xml:space="preserve"> the engagement terms</w:t>
      </w:r>
      <w:r w:rsidRPr="0032506F">
        <w:rPr>
          <w:rFonts w:ascii="Times New Roman" w:eastAsia="Calibri" w:hAnsi="Times New Roman" w:cs="Times New Roman"/>
          <w:bCs/>
          <w:color w:val="000000"/>
          <w:sz w:val="24"/>
          <w:szCs w:val="24"/>
        </w:rPr>
        <w:t xml:space="preserve"> is also seen in myriad definitions</w:t>
      </w:r>
      <w:r w:rsidR="009E5722"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and conceptualizations of engagement</w:t>
      </w:r>
      <w:r w:rsidR="00B375DB"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(Henrie et al., 2015; Wang et al., 2016) </w:t>
      </w:r>
      <w:r w:rsidR="00B375DB" w:rsidRPr="0032506F">
        <w:rPr>
          <w:rFonts w:ascii="Times New Roman" w:eastAsia="Calibri" w:hAnsi="Times New Roman" w:cs="Times New Roman"/>
          <w:bCs/>
          <w:color w:val="000000"/>
          <w:sz w:val="24"/>
          <w:szCs w:val="24"/>
        </w:rPr>
        <w:t xml:space="preserve">used by researchers </w:t>
      </w:r>
      <w:r w:rsidRPr="0032506F">
        <w:rPr>
          <w:rFonts w:ascii="Times New Roman" w:eastAsia="Calibri" w:hAnsi="Times New Roman" w:cs="Times New Roman"/>
          <w:bCs/>
          <w:color w:val="000000"/>
          <w:sz w:val="24"/>
          <w:szCs w:val="24"/>
        </w:rPr>
        <w:t xml:space="preserve">who theoretically and empirically studied engagement in both K-12 and higher education settings (e.g., Astin, 1984; Coates, 2007; Kuh, 2003; Fredricks et al., 2004; Richardson &amp; Newby, 2006). For instance, some researchers have defined and conceptualized </w:t>
      </w:r>
      <w:r w:rsidR="00B375DB" w:rsidRPr="0032506F">
        <w:rPr>
          <w:rFonts w:ascii="Times New Roman" w:eastAsia="Calibri" w:hAnsi="Times New Roman" w:cs="Times New Roman"/>
          <w:bCs/>
          <w:color w:val="000000"/>
          <w:sz w:val="24"/>
          <w:szCs w:val="24"/>
        </w:rPr>
        <w:t>engagement</w:t>
      </w:r>
      <w:r w:rsidRPr="0032506F">
        <w:rPr>
          <w:rFonts w:ascii="Times New Roman" w:eastAsia="Calibri" w:hAnsi="Times New Roman" w:cs="Times New Roman"/>
          <w:bCs/>
          <w:color w:val="000000"/>
          <w:sz w:val="24"/>
          <w:szCs w:val="24"/>
        </w:rPr>
        <w:t xml:space="preserve"> by referring to the </w:t>
      </w:r>
      <w:r w:rsidRPr="0032506F">
        <w:rPr>
          <w:rFonts w:ascii="Times New Roman" w:eastAsia="Calibri" w:hAnsi="Times New Roman" w:cs="Times New Roman"/>
          <w:bCs/>
          <w:color w:val="000000"/>
          <w:sz w:val="24"/>
          <w:szCs w:val="24"/>
        </w:rPr>
        <w:lastRenderedPageBreak/>
        <w:t>amount of physical and psychological energy, time, attention, interest, personal or psychological investment, and effort students devote to their academic learning process as well as their involvement in non-academic activities at their institutions (e.g., Astin, 1984; Coates, 2007; Kuh, 2003; Marks, 2000; Newmann et al., 1992; Richardson &amp; Newby, 2006; Sun &amp; Rueda, 2012)</w:t>
      </w:r>
      <w:r w:rsidR="00B375DB"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 </w:t>
      </w:r>
      <w:r w:rsidR="00B375DB" w:rsidRPr="0032506F">
        <w:rPr>
          <w:rFonts w:ascii="Times New Roman" w:eastAsia="Calibri" w:hAnsi="Times New Roman" w:cs="Times New Roman"/>
          <w:bCs/>
          <w:color w:val="000000"/>
          <w:sz w:val="24"/>
          <w:szCs w:val="24"/>
        </w:rPr>
        <w:t>O</w:t>
      </w:r>
      <w:r w:rsidRPr="0032506F">
        <w:rPr>
          <w:rFonts w:ascii="Times New Roman" w:eastAsia="Calibri" w:hAnsi="Times New Roman" w:cs="Times New Roman"/>
          <w:bCs/>
          <w:color w:val="000000"/>
          <w:sz w:val="24"/>
          <w:szCs w:val="24"/>
        </w:rPr>
        <w:t xml:space="preserve">thers have </w:t>
      </w:r>
      <w:r w:rsidR="00A83719" w:rsidRPr="0032506F">
        <w:rPr>
          <w:rFonts w:ascii="Times New Roman" w:eastAsia="Calibri" w:hAnsi="Times New Roman" w:cs="Times New Roman"/>
          <w:bCs/>
          <w:color w:val="000000"/>
          <w:sz w:val="24"/>
          <w:szCs w:val="24"/>
        </w:rPr>
        <w:t>described</w:t>
      </w:r>
      <w:r w:rsidRPr="0032506F">
        <w:rPr>
          <w:rFonts w:ascii="Times New Roman" w:eastAsia="Calibri" w:hAnsi="Times New Roman" w:cs="Times New Roman"/>
          <w:bCs/>
          <w:color w:val="000000"/>
          <w:sz w:val="24"/>
          <w:szCs w:val="24"/>
        </w:rPr>
        <w:t xml:space="preserve"> engagement as school engagement and identification with school by using students’ behavioral and affective characteristics, such as student participation in learning activities and </w:t>
      </w:r>
      <w:r w:rsidR="00407648" w:rsidRPr="0032506F">
        <w:rPr>
          <w:rFonts w:ascii="Times New Roman" w:eastAsia="Calibri" w:hAnsi="Times New Roman" w:cs="Times New Roman"/>
          <w:bCs/>
          <w:color w:val="000000"/>
          <w:sz w:val="24"/>
          <w:szCs w:val="24"/>
        </w:rPr>
        <w:t xml:space="preserve">student participation </w:t>
      </w:r>
      <w:r w:rsidRPr="0032506F">
        <w:rPr>
          <w:rFonts w:ascii="Times New Roman" w:eastAsia="Calibri" w:hAnsi="Times New Roman" w:cs="Times New Roman"/>
          <w:bCs/>
          <w:color w:val="000000"/>
          <w:sz w:val="24"/>
          <w:szCs w:val="24"/>
        </w:rPr>
        <w:t>in school-level activities, their sense of belonging to school, positive emotions about schooling, and valuing school-related outcomes and education in general, as the subdimensions of engagement (e.g., Finn, 1989; Skinner &amp; Belmont, 1993; Voelkl, 1997).</w:t>
      </w:r>
      <w:r w:rsidRPr="0032506F">
        <w:rPr>
          <w:rFonts w:ascii="Times New Roman" w:eastAsia="Calibri" w:hAnsi="Times New Roman" w:cs="Times New Roman"/>
          <w:color w:val="000000"/>
          <w:sz w:val="24"/>
          <w:szCs w:val="24"/>
        </w:rPr>
        <w:t xml:space="preserve"> As Gibbs (2014) stated, the term </w:t>
      </w:r>
      <w:r w:rsidRPr="0032506F">
        <w:rPr>
          <w:rFonts w:ascii="Times New Roman" w:eastAsia="Calibri" w:hAnsi="Times New Roman" w:cs="Times New Roman"/>
          <w:i/>
          <w:color w:val="000000"/>
          <w:sz w:val="24"/>
          <w:szCs w:val="24"/>
        </w:rPr>
        <w:t>student engagement</w:t>
      </w:r>
      <w:r w:rsidRPr="0032506F">
        <w:rPr>
          <w:rFonts w:ascii="Times New Roman" w:eastAsia="Calibri" w:hAnsi="Times New Roman" w:cs="Times New Roman"/>
          <w:color w:val="000000"/>
          <w:sz w:val="24"/>
          <w:szCs w:val="24"/>
        </w:rPr>
        <w:t xml:space="preserve"> has become such a buzzword in higher education used in diverse ways and for many different purposes, and what people </w:t>
      </w:r>
      <w:proofErr w:type="gramStart"/>
      <w:r w:rsidRPr="0032506F">
        <w:rPr>
          <w:rFonts w:ascii="Times New Roman" w:eastAsia="Calibri" w:hAnsi="Times New Roman" w:cs="Times New Roman"/>
          <w:color w:val="000000"/>
          <w:sz w:val="24"/>
          <w:szCs w:val="24"/>
        </w:rPr>
        <w:t>actually mean</w:t>
      </w:r>
      <w:proofErr w:type="gramEnd"/>
      <w:r w:rsidRPr="0032506F">
        <w:rPr>
          <w:rFonts w:ascii="Times New Roman" w:eastAsia="Calibri" w:hAnsi="Times New Roman" w:cs="Times New Roman"/>
          <w:color w:val="000000"/>
          <w:sz w:val="24"/>
          <w:szCs w:val="24"/>
        </w:rPr>
        <w:t xml:space="preserve"> by this term often remains vague and obfuscated with so many other terms or constructs (Groccia, 2018).   </w:t>
      </w:r>
    </w:p>
    <w:p w14:paraId="7F1A8190" w14:textId="64B9B7D5" w:rsidR="00D246E9" w:rsidRPr="0032506F" w:rsidRDefault="004443C9"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w:t>
      </w:r>
      <w:r w:rsidR="0082746B" w:rsidRPr="0032506F">
        <w:rPr>
          <w:rFonts w:ascii="Times New Roman" w:eastAsia="Calibri" w:hAnsi="Times New Roman" w:cs="Times New Roman"/>
          <w:color w:val="000000"/>
          <w:sz w:val="24"/>
          <w:szCs w:val="24"/>
        </w:rPr>
        <w:t xml:space="preserve"> careful review of the seminal literature of student engagement </w:t>
      </w:r>
      <w:r w:rsidRPr="0032506F">
        <w:rPr>
          <w:rFonts w:ascii="Times New Roman" w:eastAsia="Calibri" w:hAnsi="Times New Roman" w:cs="Times New Roman"/>
          <w:color w:val="000000"/>
          <w:sz w:val="24"/>
          <w:szCs w:val="24"/>
        </w:rPr>
        <w:t xml:space="preserve">also </w:t>
      </w:r>
      <w:r w:rsidR="0082746B" w:rsidRPr="0032506F">
        <w:rPr>
          <w:rFonts w:ascii="Times New Roman" w:eastAsia="Calibri" w:hAnsi="Times New Roman" w:cs="Times New Roman"/>
          <w:color w:val="000000"/>
          <w:sz w:val="24"/>
          <w:szCs w:val="24"/>
        </w:rPr>
        <w:t>indicates that affective/psychological and cognitive dimensions have been less frequently incorporated into the earlier definitions and conceptualizations of engagement than its behavioral dimension, which is included in almost all definitions of engagement (Appleton et al., 2008; Jimerson et al., 2003). Moreover, despite the consensus on the multifaceted composition of student engagement (Ainley, 2012; Deng et al., 2020</w:t>
      </w:r>
      <w:r w:rsidR="0007618B" w:rsidRPr="0032506F">
        <w:rPr>
          <w:rFonts w:ascii="Times New Roman" w:eastAsia="Calibri" w:hAnsi="Times New Roman" w:cs="Times New Roman"/>
          <w:color w:val="000000"/>
          <w:sz w:val="24"/>
          <w:szCs w:val="24"/>
        </w:rPr>
        <w:t xml:space="preserve">; </w:t>
      </w:r>
      <w:r w:rsidR="003D7A3C" w:rsidRPr="0032506F">
        <w:rPr>
          <w:rFonts w:ascii="Times New Roman" w:eastAsia="Calibri" w:hAnsi="Times New Roman" w:cs="Times New Roman"/>
          <w:color w:val="000000"/>
          <w:sz w:val="24"/>
          <w:szCs w:val="24"/>
        </w:rPr>
        <w:t xml:space="preserve">Fredricks, 2015; </w:t>
      </w:r>
      <w:r w:rsidR="0007618B" w:rsidRPr="0032506F">
        <w:rPr>
          <w:rFonts w:ascii="Times New Roman" w:eastAsia="Calibri" w:hAnsi="Times New Roman" w:cs="Times New Roman"/>
          <w:color w:val="000000"/>
          <w:sz w:val="24"/>
          <w:szCs w:val="24"/>
        </w:rPr>
        <w:t xml:space="preserve">Hoi &amp; </w:t>
      </w:r>
      <w:r w:rsidR="00B54588" w:rsidRPr="0032506F">
        <w:rPr>
          <w:rFonts w:ascii="Times New Roman" w:eastAsia="Calibri" w:hAnsi="Times New Roman" w:cs="Times New Roman"/>
          <w:color w:val="000000"/>
          <w:sz w:val="24"/>
          <w:szCs w:val="24"/>
        </w:rPr>
        <w:t>Le Hang, 2021</w:t>
      </w:r>
      <w:r w:rsidR="0082746B" w:rsidRPr="0032506F">
        <w:rPr>
          <w:rFonts w:ascii="Times New Roman" w:eastAsia="Calibri" w:hAnsi="Times New Roman" w:cs="Times New Roman"/>
          <w:color w:val="000000"/>
          <w:sz w:val="24"/>
          <w:szCs w:val="24"/>
        </w:rPr>
        <w:t xml:space="preserve">), there is still no scholarly consensus on the exact number of the subdimensions of engagement “which range from two (i.e., behavior and emotion) to four (i.e., academic, behavioral, cognitive, and psychological/affective)” (Fredricks, 2015, p. 31). </w:t>
      </w:r>
      <w:r w:rsidR="00AF57E5" w:rsidRPr="0032506F">
        <w:rPr>
          <w:rFonts w:ascii="Times New Roman" w:eastAsia="Calibri" w:hAnsi="Times New Roman" w:cs="Times New Roman"/>
          <w:color w:val="000000"/>
          <w:sz w:val="24"/>
          <w:szCs w:val="24"/>
        </w:rPr>
        <w:t>A</w:t>
      </w:r>
      <w:r w:rsidR="0082746B" w:rsidRPr="0032506F">
        <w:rPr>
          <w:rFonts w:ascii="Times New Roman" w:eastAsia="Calibri" w:hAnsi="Times New Roman" w:cs="Times New Roman"/>
          <w:color w:val="000000"/>
          <w:sz w:val="24"/>
          <w:szCs w:val="24"/>
        </w:rPr>
        <w:t>gentic engagement</w:t>
      </w:r>
      <w:r w:rsidR="00AF57E5" w:rsidRPr="0032506F">
        <w:rPr>
          <w:rFonts w:ascii="Times New Roman" w:eastAsia="Calibri" w:hAnsi="Times New Roman" w:cs="Times New Roman"/>
          <w:color w:val="000000"/>
          <w:sz w:val="24"/>
          <w:szCs w:val="24"/>
        </w:rPr>
        <w:t xml:space="preserve"> (Reeve, 2013) and </w:t>
      </w:r>
      <w:r w:rsidR="000F2036" w:rsidRPr="0032506F">
        <w:rPr>
          <w:rFonts w:ascii="Times New Roman" w:eastAsia="Calibri" w:hAnsi="Times New Roman" w:cs="Times New Roman"/>
          <w:color w:val="000000"/>
          <w:sz w:val="24"/>
          <w:szCs w:val="24"/>
        </w:rPr>
        <w:t>social engagement</w:t>
      </w:r>
      <w:r w:rsidR="005E3A79" w:rsidRPr="0032506F">
        <w:rPr>
          <w:rFonts w:ascii="Times New Roman" w:eastAsia="Calibri" w:hAnsi="Times New Roman" w:cs="Times New Roman"/>
          <w:color w:val="000000"/>
          <w:sz w:val="24"/>
          <w:szCs w:val="24"/>
        </w:rPr>
        <w:t xml:space="preserve"> (</w:t>
      </w:r>
      <w:r w:rsidR="00E32CF9" w:rsidRPr="0032506F">
        <w:rPr>
          <w:rFonts w:ascii="Times New Roman" w:eastAsia="Calibri" w:hAnsi="Times New Roman" w:cs="Times New Roman"/>
          <w:color w:val="000000"/>
          <w:sz w:val="24"/>
          <w:szCs w:val="24"/>
        </w:rPr>
        <w:t>Hoi &amp; Le Hang, 2021)</w:t>
      </w:r>
      <w:r w:rsidR="0082746B" w:rsidRPr="0032506F">
        <w:rPr>
          <w:rFonts w:ascii="Times New Roman" w:eastAsia="Calibri" w:hAnsi="Times New Roman" w:cs="Times New Roman"/>
          <w:color w:val="000000"/>
          <w:sz w:val="24"/>
          <w:szCs w:val="24"/>
        </w:rPr>
        <w:t xml:space="preserve"> </w:t>
      </w:r>
      <w:r w:rsidR="00D70754" w:rsidRPr="0032506F">
        <w:rPr>
          <w:rFonts w:ascii="Times New Roman" w:eastAsia="Calibri" w:hAnsi="Times New Roman" w:cs="Times New Roman"/>
          <w:color w:val="000000"/>
          <w:sz w:val="24"/>
          <w:szCs w:val="24"/>
        </w:rPr>
        <w:t xml:space="preserve">are </w:t>
      </w:r>
      <w:r w:rsidR="00E32CF9" w:rsidRPr="0032506F">
        <w:rPr>
          <w:rFonts w:ascii="Times New Roman" w:eastAsia="Calibri" w:hAnsi="Times New Roman" w:cs="Times New Roman"/>
          <w:color w:val="000000"/>
          <w:sz w:val="24"/>
          <w:szCs w:val="24"/>
        </w:rPr>
        <w:t xml:space="preserve">other </w:t>
      </w:r>
      <w:r w:rsidR="0082746B" w:rsidRPr="0032506F">
        <w:rPr>
          <w:rFonts w:ascii="Times New Roman" w:eastAsia="Calibri" w:hAnsi="Times New Roman" w:cs="Times New Roman"/>
          <w:color w:val="000000"/>
          <w:sz w:val="24"/>
          <w:szCs w:val="24"/>
        </w:rPr>
        <w:t>dimension</w:t>
      </w:r>
      <w:r w:rsidR="00E32CF9" w:rsidRPr="0032506F">
        <w:rPr>
          <w:rFonts w:ascii="Times New Roman" w:eastAsia="Calibri" w:hAnsi="Times New Roman" w:cs="Times New Roman"/>
          <w:color w:val="000000"/>
          <w:sz w:val="24"/>
          <w:szCs w:val="24"/>
        </w:rPr>
        <w:t>s</w:t>
      </w:r>
      <w:r w:rsidR="0082746B" w:rsidRPr="0032506F">
        <w:rPr>
          <w:rFonts w:ascii="Times New Roman" w:eastAsia="Calibri" w:hAnsi="Times New Roman" w:cs="Times New Roman"/>
          <w:color w:val="000000"/>
          <w:sz w:val="24"/>
          <w:szCs w:val="24"/>
        </w:rPr>
        <w:t xml:space="preserve"> of student engagement</w:t>
      </w:r>
      <w:r w:rsidR="002D320B" w:rsidRPr="0032506F">
        <w:rPr>
          <w:rFonts w:ascii="Times New Roman" w:eastAsia="Calibri" w:hAnsi="Times New Roman" w:cs="Times New Roman"/>
          <w:color w:val="000000"/>
          <w:sz w:val="24"/>
          <w:szCs w:val="24"/>
        </w:rPr>
        <w:t xml:space="preserve"> found</w:t>
      </w:r>
      <w:r w:rsidR="0082746B" w:rsidRPr="0032506F">
        <w:rPr>
          <w:rFonts w:ascii="Times New Roman" w:eastAsia="Calibri" w:hAnsi="Times New Roman" w:cs="Times New Roman"/>
          <w:color w:val="000000"/>
          <w:sz w:val="24"/>
          <w:szCs w:val="24"/>
        </w:rPr>
        <w:t xml:space="preserve"> in the </w:t>
      </w:r>
      <w:r w:rsidR="0082746B" w:rsidRPr="0032506F">
        <w:rPr>
          <w:rFonts w:ascii="Times New Roman" w:eastAsia="Calibri" w:hAnsi="Times New Roman" w:cs="Times New Roman"/>
          <w:color w:val="000000"/>
          <w:sz w:val="24"/>
          <w:szCs w:val="24"/>
        </w:rPr>
        <w:lastRenderedPageBreak/>
        <w:t xml:space="preserve">relevant literature. There is also no consistency in the naming of these different </w:t>
      </w:r>
      <w:r w:rsidR="00B54588" w:rsidRPr="0032506F">
        <w:rPr>
          <w:rFonts w:ascii="Times New Roman" w:eastAsia="Calibri" w:hAnsi="Times New Roman" w:cs="Times New Roman"/>
          <w:color w:val="000000"/>
          <w:sz w:val="24"/>
          <w:szCs w:val="24"/>
        </w:rPr>
        <w:t>dimensions</w:t>
      </w:r>
      <w:r w:rsidR="0082746B" w:rsidRPr="0032506F">
        <w:rPr>
          <w:rFonts w:ascii="Times New Roman" w:eastAsia="Calibri" w:hAnsi="Times New Roman" w:cs="Times New Roman"/>
          <w:color w:val="000000"/>
          <w:sz w:val="24"/>
          <w:szCs w:val="24"/>
        </w:rPr>
        <w:t xml:space="preserve"> of engagement (Appleton et al., 2008</w:t>
      </w:r>
      <w:r w:rsidR="00283FCA" w:rsidRPr="0032506F">
        <w:rPr>
          <w:rFonts w:ascii="Times New Roman" w:eastAsia="Calibri" w:hAnsi="Times New Roman" w:cs="Times New Roman"/>
          <w:color w:val="000000"/>
          <w:sz w:val="24"/>
          <w:szCs w:val="24"/>
        </w:rPr>
        <w:t>; Fredricks, 2015</w:t>
      </w:r>
      <w:r w:rsidR="0082746B" w:rsidRPr="0032506F">
        <w:rPr>
          <w:rFonts w:ascii="Times New Roman" w:eastAsia="Calibri" w:hAnsi="Times New Roman" w:cs="Times New Roman"/>
          <w:color w:val="000000"/>
          <w:sz w:val="24"/>
          <w:szCs w:val="24"/>
        </w:rPr>
        <w:t xml:space="preserve">). For example, while Fredricks et al. (2004) used the terms </w:t>
      </w:r>
      <w:r w:rsidR="0082746B" w:rsidRPr="0032506F">
        <w:rPr>
          <w:rFonts w:ascii="Times New Roman" w:eastAsia="Calibri" w:hAnsi="Times New Roman" w:cs="Times New Roman"/>
          <w:i/>
          <w:iCs/>
          <w:color w:val="000000"/>
          <w:sz w:val="24"/>
          <w:szCs w:val="24"/>
        </w:rPr>
        <w:t>behavioral</w:t>
      </w:r>
      <w:r w:rsidR="0082746B" w:rsidRPr="0032506F">
        <w:rPr>
          <w:rFonts w:ascii="Times New Roman" w:eastAsia="Calibri" w:hAnsi="Times New Roman" w:cs="Times New Roman"/>
          <w:color w:val="000000"/>
          <w:sz w:val="24"/>
          <w:szCs w:val="24"/>
        </w:rPr>
        <w:t xml:space="preserve">, </w:t>
      </w:r>
      <w:r w:rsidR="0082746B" w:rsidRPr="0032506F">
        <w:rPr>
          <w:rFonts w:ascii="Times New Roman" w:eastAsia="Calibri" w:hAnsi="Times New Roman" w:cs="Times New Roman"/>
          <w:i/>
          <w:iCs/>
          <w:color w:val="000000"/>
          <w:sz w:val="24"/>
          <w:szCs w:val="24"/>
        </w:rPr>
        <w:t>emotional</w:t>
      </w:r>
      <w:r w:rsidR="0082746B" w:rsidRPr="0032506F">
        <w:rPr>
          <w:rFonts w:ascii="Times New Roman" w:eastAsia="Calibri" w:hAnsi="Times New Roman" w:cs="Times New Roman"/>
          <w:color w:val="000000"/>
          <w:sz w:val="24"/>
          <w:szCs w:val="24"/>
        </w:rPr>
        <w:t xml:space="preserve">, and </w:t>
      </w:r>
      <w:r w:rsidR="0082746B" w:rsidRPr="0032506F">
        <w:rPr>
          <w:rFonts w:ascii="Times New Roman" w:eastAsia="Calibri" w:hAnsi="Times New Roman" w:cs="Times New Roman"/>
          <w:i/>
          <w:iCs/>
          <w:color w:val="000000"/>
          <w:sz w:val="24"/>
          <w:szCs w:val="24"/>
        </w:rPr>
        <w:t>cognitive</w:t>
      </w:r>
      <w:r w:rsidR="0082746B" w:rsidRPr="0032506F">
        <w:rPr>
          <w:rFonts w:ascii="Times New Roman" w:eastAsia="Calibri" w:hAnsi="Times New Roman" w:cs="Times New Roman"/>
          <w:color w:val="000000"/>
          <w:sz w:val="24"/>
          <w:szCs w:val="24"/>
        </w:rPr>
        <w:t xml:space="preserve"> to describe the three subdimensions of engagement, </w:t>
      </w:r>
      <w:proofErr w:type="gramStart"/>
      <w:r w:rsidR="0082746B" w:rsidRPr="0032506F">
        <w:rPr>
          <w:rFonts w:ascii="Times New Roman" w:eastAsia="Calibri" w:hAnsi="Times New Roman" w:cs="Times New Roman"/>
          <w:color w:val="000000"/>
          <w:sz w:val="24"/>
          <w:szCs w:val="24"/>
        </w:rPr>
        <w:t>Wang</w:t>
      </w:r>
      <w:proofErr w:type="gramEnd"/>
      <w:r w:rsidR="0082746B" w:rsidRPr="0032506F">
        <w:rPr>
          <w:rFonts w:ascii="Times New Roman" w:eastAsia="Calibri" w:hAnsi="Times New Roman" w:cs="Times New Roman"/>
          <w:color w:val="000000"/>
          <w:sz w:val="24"/>
          <w:szCs w:val="24"/>
        </w:rPr>
        <w:t xml:space="preserve"> and Holcombe (2010) used the terms </w:t>
      </w:r>
      <w:r w:rsidR="0082746B" w:rsidRPr="0032506F">
        <w:rPr>
          <w:rFonts w:ascii="Times New Roman" w:eastAsia="Calibri" w:hAnsi="Times New Roman" w:cs="Times New Roman"/>
          <w:i/>
          <w:iCs/>
          <w:color w:val="000000"/>
          <w:sz w:val="24"/>
          <w:szCs w:val="24"/>
        </w:rPr>
        <w:t>use of self-regulation strategies</w:t>
      </w:r>
      <w:r w:rsidR="0082746B" w:rsidRPr="0032506F">
        <w:rPr>
          <w:rFonts w:ascii="Times New Roman" w:eastAsia="Calibri" w:hAnsi="Times New Roman" w:cs="Times New Roman"/>
          <w:color w:val="000000"/>
          <w:sz w:val="24"/>
          <w:szCs w:val="24"/>
        </w:rPr>
        <w:t xml:space="preserve">, </w:t>
      </w:r>
      <w:r w:rsidR="0082746B" w:rsidRPr="0032506F">
        <w:rPr>
          <w:rFonts w:ascii="Times New Roman" w:eastAsia="Calibri" w:hAnsi="Times New Roman" w:cs="Times New Roman"/>
          <w:i/>
          <w:iCs/>
          <w:color w:val="000000"/>
          <w:sz w:val="24"/>
          <w:szCs w:val="24"/>
        </w:rPr>
        <w:t>sense of identification with school</w:t>
      </w:r>
      <w:r w:rsidR="0082746B" w:rsidRPr="0032506F">
        <w:rPr>
          <w:rFonts w:ascii="Times New Roman" w:eastAsia="Calibri" w:hAnsi="Times New Roman" w:cs="Times New Roman"/>
          <w:color w:val="000000"/>
          <w:sz w:val="24"/>
          <w:szCs w:val="24"/>
        </w:rPr>
        <w:t xml:space="preserve">, and </w:t>
      </w:r>
      <w:r w:rsidR="0082746B" w:rsidRPr="0032506F">
        <w:rPr>
          <w:rFonts w:ascii="Times New Roman" w:eastAsia="Calibri" w:hAnsi="Times New Roman" w:cs="Times New Roman"/>
          <w:i/>
          <w:iCs/>
          <w:color w:val="000000"/>
          <w:sz w:val="24"/>
          <w:szCs w:val="24"/>
        </w:rPr>
        <w:t>school participation</w:t>
      </w:r>
      <w:r w:rsidR="0082746B" w:rsidRPr="0032506F">
        <w:rPr>
          <w:rFonts w:ascii="Times New Roman" w:eastAsia="Calibri" w:hAnsi="Times New Roman" w:cs="Times New Roman"/>
          <w:color w:val="000000"/>
          <w:sz w:val="24"/>
          <w:szCs w:val="24"/>
        </w:rPr>
        <w:t xml:space="preserve"> to actually refer to cognitive engagement, emotional/affective engagement, and behavioral engagement respectively</w:t>
      </w:r>
      <w:r w:rsidR="003C2005" w:rsidRPr="0032506F">
        <w:rPr>
          <w:rFonts w:ascii="Times New Roman" w:eastAsia="Calibri" w:hAnsi="Times New Roman" w:cs="Times New Roman"/>
          <w:color w:val="000000"/>
          <w:sz w:val="24"/>
          <w:szCs w:val="24"/>
        </w:rPr>
        <w:t>.</w:t>
      </w:r>
      <w:r w:rsidR="0082746B" w:rsidRPr="0032506F">
        <w:rPr>
          <w:rFonts w:ascii="Times New Roman" w:eastAsia="Calibri" w:hAnsi="Times New Roman" w:cs="Times New Roman"/>
          <w:color w:val="000000"/>
          <w:sz w:val="24"/>
          <w:szCs w:val="24"/>
        </w:rPr>
        <w:t xml:space="preserve"> </w:t>
      </w:r>
    </w:p>
    <w:p w14:paraId="4E2E9FCF" w14:textId="2CDC5E4E" w:rsidR="00D246E9" w:rsidRPr="0032506F" w:rsidRDefault="00F4581F" w:rsidP="00D246E9">
      <w:pPr>
        <w:pStyle w:val="Heading2"/>
      </w:pPr>
      <w:bookmarkStart w:id="30" w:name="_Toc102489435"/>
      <w:r w:rsidRPr="0032506F">
        <w:t>Conceptualization</w:t>
      </w:r>
      <w:r w:rsidR="005C2FB0" w:rsidRPr="0032506F">
        <w:t>s of Student Engagement in Online Learning Environments</w:t>
      </w:r>
      <w:bookmarkEnd w:id="30"/>
    </w:p>
    <w:p w14:paraId="4E0A4BD9" w14:textId="2824714F"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There is still no</w:t>
      </w:r>
      <w:r w:rsidR="001965C8" w:rsidRPr="0032506F">
        <w:rPr>
          <w:rFonts w:ascii="Times New Roman" w:eastAsia="Calibri" w:hAnsi="Times New Roman" w:cs="Times New Roman"/>
          <w:color w:val="000000"/>
          <w:sz w:val="24"/>
          <w:szCs w:val="24"/>
        </w:rPr>
        <w:t xml:space="preserve"> agreed conceptualization</w:t>
      </w:r>
      <w:r w:rsidRPr="0032506F">
        <w:rPr>
          <w:rFonts w:ascii="Times New Roman" w:eastAsia="Calibri" w:hAnsi="Times New Roman" w:cs="Times New Roman"/>
          <w:color w:val="000000"/>
          <w:sz w:val="24"/>
          <w:szCs w:val="24"/>
        </w:rPr>
        <w:t xml:space="preserve"> of online student engagement in the relevant literature</w:t>
      </w:r>
      <w:r w:rsidR="001965C8"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since different researchers use different </w:t>
      </w:r>
      <w:r w:rsidR="00346B7C" w:rsidRPr="0032506F">
        <w:rPr>
          <w:rFonts w:ascii="Times New Roman" w:eastAsia="Calibri" w:hAnsi="Times New Roman" w:cs="Times New Roman"/>
          <w:color w:val="000000"/>
          <w:sz w:val="24"/>
          <w:szCs w:val="24"/>
        </w:rPr>
        <w:t>terms</w:t>
      </w:r>
      <w:r w:rsidR="00360608" w:rsidRPr="0032506F">
        <w:rPr>
          <w:rFonts w:ascii="Times New Roman" w:eastAsia="Calibri" w:hAnsi="Times New Roman" w:cs="Times New Roman"/>
          <w:color w:val="000000"/>
          <w:sz w:val="24"/>
          <w:szCs w:val="24"/>
        </w:rPr>
        <w:t xml:space="preserve"> or constructs</w:t>
      </w:r>
      <w:r w:rsidRPr="0032506F">
        <w:rPr>
          <w:rFonts w:ascii="Times New Roman" w:eastAsia="Calibri" w:hAnsi="Times New Roman" w:cs="Times New Roman"/>
          <w:color w:val="000000"/>
          <w:sz w:val="24"/>
          <w:szCs w:val="24"/>
        </w:rPr>
        <w:t xml:space="preserve"> to refer to </w:t>
      </w:r>
      <w:r w:rsidR="008A41C5" w:rsidRPr="0032506F">
        <w:rPr>
          <w:rFonts w:ascii="Times New Roman" w:eastAsia="Calibri" w:hAnsi="Times New Roman" w:cs="Times New Roman"/>
          <w:color w:val="000000"/>
          <w:sz w:val="24"/>
          <w:szCs w:val="24"/>
        </w:rPr>
        <w:t xml:space="preserve">and examine </w:t>
      </w:r>
      <w:r w:rsidR="001F5FFD" w:rsidRPr="0032506F">
        <w:rPr>
          <w:rFonts w:ascii="Times New Roman" w:eastAsia="Calibri" w:hAnsi="Times New Roman" w:cs="Times New Roman"/>
          <w:color w:val="000000"/>
          <w:sz w:val="24"/>
          <w:szCs w:val="24"/>
        </w:rPr>
        <w:t xml:space="preserve">online </w:t>
      </w:r>
      <w:r w:rsidRPr="0032506F">
        <w:rPr>
          <w:rFonts w:ascii="Times New Roman" w:eastAsia="Calibri" w:hAnsi="Times New Roman" w:cs="Times New Roman"/>
          <w:color w:val="000000"/>
          <w:sz w:val="24"/>
          <w:szCs w:val="24"/>
        </w:rPr>
        <w:t>student engagement (</w:t>
      </w:r>
      <w:r w:rsidR="00360608" w:rsidRPr="0032506F">
        <w:rPr>
          <w:rFonts w:ascii="Times New Roman" w:eastAsia="Calibri" w:hAnsi="Times New Roman" w:cs="Times New Roman"/>
          <w:color w:val="000000"/>
          <w:sz w:val="24"/>
          <w:szCs w:val="24"/>
        </w:rPr>
        <w:t xml:space="preserve">Bolliger &amp; Martin, 2021; </w:t>
      </w:r>
      <w:r w:rsidRPr="0032506F">
        <w:rPr>
          <w:rFonts w:ascii="Times New Roman" w:eastAsia="Calibri" w:hAnsi="Times New Roman" w:cs="Times New Roman"/>
          <w:color w:val="000000"/>
          <w:sz w:val="24"/>
          <w:szCs w:val="24"/>
        </w:rPr>
        <w:t>Dixson et al., 2017; Martin</w:t>
      </w:r>
      <w:r w:rsidR="00360608" w:rsidRPr="0032506F">
        <w:rPr>
          <w:rFonts w:ascii="Times New Roman" w:eastAsia="Calibri" w:hAnsi="Times New Roman" w:cs="Times New Roman"/>
          <w:color w:val="000000"/>
          <w:sz w:val="24"/>
          <w:szCs w:val="24"/>
        </w:rPr>
        <w:t>, Sun &amp; Westine, 2020</w:t>
      </w:r>
      <w:r w:rsidRPr="0032506F">
        <w:rPr>
          <w:rFonts w:ascii="Times New Roman" w:eastAsia="Calibri" w:hAnsi="Times New Roman" w:cs="Times New Roman"/>
          <w:color w:val="000000"/>
          <w:sz w:val="24"/>
          <w:szCs w:val="24"/>
        </w:rPr>
        <w:t xml:space="preserve">). One camp of researchers studying engagement in online courses defined it by highlighting the role of student effort in engagement. For example, Kucuk and Richardson (2019) defined student engagement in their study as “active involvement in course activities with continuous efforts to attain desired learning outcomes” (p. 199). Park and Yun (2018) defined engagement as “the quality of students’ efforts to achieve designed outcomes” (p. 45). Similarly, Sun and Rueda (2012) defined engagement in academic learning environments as “the quality of effort students make to perform well and achieve desired outcomes” (p. 193). With a similar emphasis on conscious student effort and investment in learning, Bigatel and Edel-Malizia (2018) defined student engagement as “the time and physical energy that students expend on activities in their academic experience” (p. 59). </w:t>
      </w:r>
    </w:p>
    <w:p w14:paraId="7C0C931A" w14:textId="5B220A2B"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All these engagement definitions used by online engagement researchers emphasize the importance of student effort in achieving certain learning outcomes. Extending the scope of student engagement beyond student efforts and investment to be successful, Dixson (2015) </w:t>
      </w:r>
      <w:r w:rsidRPr="0032506F">
        <w:rPr>
          <w:rFonts w:ascii="Times New Roman" w:eastAsia="Calibri" w:hAnsi="Times New Roman" w:cs="Times New Roman"/>
          <w:color w:val="000000"/>
          <w:sz w:val="24"/>
          <w:szCs w:val="24"/>
        </w:rPr>
        <w:lastRenderedPageBreak/>
        <w:t xml:space="preserve">defined online student engagement as “students putting time, energy, thought, effort, and, to some extent, feelings into their learning” (p. 4). According to this definition, </w:t>
      </w:r>
      <w:r w:rsidR="00AA338A" w:rsidRPr="0032506F">
        <w:rPr>
          <w:rFonts w:ascii="Times New Roman" w:eastAsia="Calibri" w:hAnsi="Times New Roman" w:cs="Times New Roman"/>
          <w:color w:val="000000"/>
          <w:sz w:val="24"/>
          <w:szCs w:val="24"/>
        </w:rPr>
        <w:t xml:space="preserve">when </w:t>
      </w:r>
      <w:r w:rsidRPr="0032506F">
        <w:rPr>
          <w:rFonts w:ascii="Times New Roman" w:eastAsia="Calibri" w:hAnsi="Times New Roman" w:cs="Times New Roman"/>
          <w:color w:val="000000"/>
          <w:sz w:val="24"/>
          <w:szCs w:val="24"/>
        </w:rPr>
        <w:t>online students</w:t>
      </w:r>
      <w:r w:rsidR="00AA338A"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are engaged in online learning, </w:t>
      </w:r>
      <w:r w:rsidR="00C24B3C" w:rsidRPr="0032506F">
        <w:rPr>
          <w:rFonts w:ascii="Times New Roman" w:eastAsia="Calibri" w:hAnsi="Times New Roman" w:cs="Times New Roman"/>
          <w:color w:val="000000"/>
          <w:sz w:val="24"/>
          <w:szCs w:val="24"/>
        </w:rPr>
        <w:t xml:space="preserve">they </w:t>
      </w:r>
      <w:r w:rsidRPr="0032506F">
        <w:rPr>
          <w:rFonts w:ascii="Times New Roman" w:eastAsia="Calibri" w:hAnsi="Times New Roman" w:cs="Times New Roman"/>
          <w:color w:val="000000"/>
          <w:sz w:val="24"/>
          <w:szCs w:val="24"/>
        </w:rPr>
        <w:t xml:space="preserve">not only display certain behavioral indicators of engagement such as allocating </w:t>
      </w:r>
      <w:proofErr w:type="gramStart"/>
      <w:r w:rsidRPr="0032506F">
        <w:rPr>
          <w:rFonts w:ascii="Times New Roman" w:eastAsia="Calibri" w:hAnsi="Times New Roman" w:cs="Times New Roman"/>
          <w:color w:val="000000"/>
          <w:sz w:val="24"/>
          <w:szCs w:val="24"/>
        </w:rPr>
        <w:t>sufficient amounts of</w:t>
      </w:r>
      <w:proofErr w:type="gramEnd"/>
      <w:r w:rsidRPr="0032506F">
        <w:rPr>
          <w:rFonts w:ascii="Times New Roman" w:eastAsia="Calibri" w:hAnsi="Times New Roman" w:cs="Times New Roman"/>
          <w:color w:val="000000"/>
          <w:sz w:val="24"/>
          <w:szCs w:val="24"/>
        </w:rPr>
        <w:t xml:space="preserve"> time, energy, and efforts, but they </w:t>
      </w:r>
      <w:r w:rsidR="00C24B3C" w:rsidRPr="0032506F">
        <w:rPr>
          <w:rFonts w:ascii="Times New Roman" w:eastAsia="Calibri" w:hAnsi="Times New Roman" w:cs="Times New Roman"/>
          <w:color w:val="000000"/>
          <w:sz w:val="24"/>
          <w:szCs w:val="24"/>
        </w:rPr>
        <w:t xml:space="preserve">also </w:t>
      </w:r>
      <w:r w:rsidRPr="0032506F">
        <w:rPr>
          <w:rFonts w:ascii="Times New Roman" w:eastAsia="Calibri" w:hAnsi="Times New Roman" w:cs="Times New Roman"/>
          <w:color w:val="000000"/>
          <w:sz w:val="24"/>
          <w:szCs w:val="24"/>
        </w:rPr>
        <w:t xml:space="preserve">are cognitively and emotionally involved in the online learning process (Dixson, 2015). This shift from mere behavioral indicators of student engagement towards more cognitive or emotional dimensions was emphasized in earlier definitions of student engagement in online learning environments. For example, Richardson and Newby (2006) defined the cognitive dimension of student engagement in online learning as “the integration and utilization of students’ motivations and strategies in the course of their learning” (p. 25), highlighting what motivates online learners to study and learn, and what learning strategies or approaches they employ to achieve their different motivations. </w:t>
      </w:r>
    </w:p>
    <w:p w14:paraId="09745365" w14:textId="1DF2FC9D" w:rsidR="0082746B" w:rsidRPr="0032506F" w:rsidRDefault="00556F97"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Online engagement</w:t>
      </w:r>
      <w:r w:rsidR="0082746B" w:rsidRPr="0032506F">
        <w:rPr>
          <w:rFonts w:ascii="Times New Roman" w:eastAsia="Calibri" w:hAnsi="Times New Roman" w:cs="Times New Roman"/>
          <w:color w:val="000000"/>
          <w:sz w:val="24"/>
          <w:szCs w:val="24"/>
        </w:rPr>
        <w:t xml:space="preserve"> has also been described by another camp of researchers who followed an interaction and sense of community framework in online learning</w:t>
      </w:r>
      <w:r w:rsidR="00AD5226" w:rsidRPr="0032506F">
        <w:rPr>
          <w:rFonts w:ascii="Times New Roman" w:eastAsia="Calibri" w:hAnsi="Times New Roman" w:cs="Times New Roman"/>
          <w:color w:val="000000"/>
          <w:sz w:val="24"/>
          <w:szCs w:val="24"/>
        </w:rPr>
        <w:t>.</w:t>
      </w:r>
      <w:r w:rsidR="0082746B" w:rsidRPr="0032506F">
        <w:rPr>
          <w:rFonts w:ascii="Times New Roman" w:eastAsia="Calibri" w:hAnsi="Times New Roman" w:cs="Times New Roman"/>
          <w:color w:val="000000"/>
          <w:sz w:val="24"/>
          <w:szCs w:val="24"/>
        </w:rPr>
        <w:t xml:space="preserve"> For example, Lear et al. (2010) defined an engaged online learner as a function of online learner interactions with other learners, with their instructors, and with the content and a concomitant sense of community in an online learning environment. Following a similar approach, Martin and Bolliger (2018) also defined online student engagement as emerging from online students interacting with their peers, with their instructors, and with the content. </w:t>
      </w:r>
    </w:p>
    <w:p w14:paraId="4EB00269" w14:textId="02F48B8D"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Other online engagement researchers conceptualized engagement as a three-component construc</w:t>
      </w:r>
      <w:r w:rsidR="001805FA" w:rsidRPr="0032506F">
        <w:rPr>
          <w:rFonts w:ascii="Times New Roman" w:eastAsia="Calibri" w:hAnsi="Times New Roman" w:cs="Times New Roman"/>
          <w:color w:val="000000"/>
          <w:sz w:val="24"/>
          <w:szCs w:val="24"/>
        </w:rPr>
        <w:t>t in line with</w:t>
      </w:r>
      <w:r w:rsidRPr="0032506F">
        <w:rPr>
          <w:rFonts w:ascii="Times New Roman" w:eastAsia="Calibri" w:hAnsi="Times New Roman" w:cs="Times New Roman"/>
          <w:color w:val="000000"/>
          <w:sz w:val="24"/>
          <w:szCs w:val="24"/>
        </w:rPr>
        <w:t xml:space="preserve"> Fredricks et al.</w:t>
      </w:r>
      <w:r w:rsidR="001805FA" w:rsidRPr="0032506F">
        <w:rPr>
          <w:rFonts w:ascii="Times New Roman" w:eastAsia="Calibri" w:hAnsi="Times New Roman" w:cs="Times New Roman"/>
          <w:color w:val="000000"/>
          <w:sz w:val="24"/>
          <w:szCs w:val="24"/>
        </w:rPr>
        <w:t>’s</w:t>
      </w:r>
      <w:r w:rsidRPr="0032506F">
        <w:rPr>
          <w:rFonts w:ascii="Times New Roman" w:eastAsia="Calibri" w:hAnsi="Times New Roman" w:cs="Times New Roman"/>
          <w:color w:val="000000"/>
          <w:sz w:val="24"/>
          <w:szCs w:val="24"/>
        </w:rPr>
        <w:t xml:space="preserve"> (2004)</w:t>
      </w:r>
      <w:r w:rsidR="001805FA" w:rsidRPr="0032506F">
        <w:rPr>
          <w:rFonts w:ascii="Times New Roman" w:eastAsia="Calibri" w:hAnsi="Times New Roman" w:cs="Times New Roman"/>
          <w:color w:val="000000"/>
          <w:sz w:val="24"/>
          <w:szCs w:val="24"/>
        </w:rPr>
        <w:t xml:space="preserve"> tripartite conception</w:t>
      </w:r>
      <w:r w:rsidRPr="0032506F">
        <w:rPr>
          <w:rFonts w:ascii="Times New Roman" w:eastAsia="Calibri" w:hAnsi="Times New Roman" w:cs="Times New Roman"/>
          <w:color w:val="000000"/>
          <w:sz w:val="24"/>
          <w:szCs w:val="24"/>
        </w:rPr>
        <w:t xml:space="preserve">, but with different concepts. For instance, Vayre and Vonthron (2017) conceptualized online learner engagement, based on Brault-Labbe and Dube’s (2010) theoretical framework, as being made up of perseverance, </w:t>
      </w:r>
      <w:r w:rsidRPr="0032506F">
        <w:rPr>
          <w:rFonts w:ascii="Times New Roman" w:eastAsia="Calibri" w:hAnsi="Times New Roman" w:cs="Times New Roman"/>
          <w:color w:val="000000"/>
          <w:sz w:val="24"/>
          <w:szCs w:val="24"/>
        </w:rPr>
        <w:lastRenderedPageBreak/>
        <w:t xml:space="preserve">enthusiasm, and reconciliation, which corresponds to behavioral engagement, emotional engagement, and cognitive engagement in online learning environments respectively (Vayre &amp; Vonthron, 2017). </w:t>
      </w:r>
      <w:r w:rsidR="00EB40C9" w:rsidRPr="0032506F">
        <w:rPr>
          <w:rFonts w:ascii="Times New Roman" w:eastAsia="Calibri" w:hAnsi="Times New Roman" w:cs="Times New Roman"/>
          <w:color w:val="000000"/>
          <w:sz w:val="24"/>
          <w:szCs w:val="24"/>
        </w:rPr>
        <w:t>Others</w:t>
      </w:r>
      <w:r w:rsidRPr="0032506F">
        <w:rPr>
          <w:rFonts w:ascii="Times New Roman" w:eastAsia="Calibri" w:hAnsi="Times New Roman" w:cs="Times New Roman"/>
          <w:color w:val="000000"/>
          <w:sz w:val="24"/>
          <w:szCs w:val="24"/>
        </w:rPr>
        <w:t xml:space="preserve"> have extended the three core dimensions of student engagement (i.e., behavioral, emotional, cognitive) in online learning environments. For example, </w:t>
      </w:r>
      <w:r w:rsidR="000633B6" w:rsidRPr="0032506F">
        <w:rPr>
          <w:rFonts w:ascii="Times New Roman" w:eastAsia="Calibri" w:hAnsi="Times New Roman" w:cs="Times New Roman"/>
          <w:color w:val="000000"/>
          <w:sz w:val="24"/>
          <w:szCs w:val="24"/>
        </w:rPr>
        <w:t>social engagement</w:t>
      </w:r>
      <w:r w:rsidR="0096020A" w:rsidRPr="0032506F">
        <w:rPr>
          <w:rFonts w:ascii="Times New Roman" w:eastAsia="Calibri" w:hAnsi="Times New Roman" w:cs="Times New Roman"/>
          <w:color w:val="000000"/>
          <w:sz w:val="24"/>
          <w:szCs w:val="24"/>
        </w:rPr>
        <w:t xml:space="preserve"> has been </w:t>
      </w:r>
      <w:r w:rsidR="00992C9E" w:rsidRPr="0032506F">
        <w:rPr>
          <w:rFonts w:ascii="Times New Roman" w:eastAsia="Calibri" w:hAnsi="Times New Roman" w:cs="Times New Roman"/>
          <w:color w:val="000000"/>
          <w:sz w:val="24"/>
          <w:szCs w:val="24"/>
        </w:rPr>
        <w:t xml:space="preserve">added as a fourth dimension to </w:t>
      </w:r>
      <w:r w:rsidRPr="0032506F">
        <w:rPr>
          <w:rFonts w:ascii="Times New Roman" w:eastAsia="Calibri" w:hAnsi="Times New Roman" w:cs="Times New Roman"/>
          <w:color w:val="000000"/>
          <w:sz w:val="24"/>
          <w:szCs w:val="24"/>
        </w:rPr>
        <w:t>the</w:t>
      </w:r>
      <w:r w:rsidR="00992C9E" w:rsidRPr="0032506F">
        <w:rPr>
          <w:rFonts w:ascii="Times New Roman" w:eastAsia="Calibri" w:hAnsi="Times New Roman" w:cs="Times New Roman"/>
          <w:color w:val="000000"/>
          <w:sz w:val="24"/>
          <w:szCs w:val="24"/>
        </w:rPr>
        <w:t xml:space="preserve"> behavioral, emotional, and cognitive</w:t>
      </w:r>
      <w:r w:rsidRPr="0032506F">
        <w:rPr>
          <w:rFonts w:ascii="Times New Roman" w:eastAsia="Calibri" w:hAnsi="Times New Roman" w:cs="Times New Roman"/>
          <w:color w:val="000000"/>
          <w:sz w:val="24"/>
          <w:szCs w:val="24"/>
        </w:rPr>
        <w:t xml:space="preserve"> dimensions</w:t>
      </w:r>
      <w:r w:rsidR="00992C9E" w:rsidRPr="0032506F">
        <w:rPr>
          <w:rFonts w:ascii="Times New Roman" w:eastAsia="Calibri" w:hAnsi="Times New Roman" w:cs="Times New Roman"/>
          <w:color w:val="000000"/>
          <w:sz w:val="24"/>
          <w:szCs w:val="24"/>
        </w:rPr>
        <w:t xml:space="preserve"> </w:t>
      </w:r>
      <w:proofErr w:type="gramStart"/>
      <w:r w:rsidRPr="0032506F">
        <w:rPr>
          <w:rFonts w:ascii="Times New Roman" w:eastAsia="Calibri" w:hAnsi="Times New Roman" w:cs="Times New Roman"/>
          <w:color w:val="000000"/>
          <w:sz w:val="24"/>
          <w:szCs w:val="24"/>
        </w:rPr>
        <w:t>in order to</w:t>
      </w:r>
      <w:proofErr w:type="gramEnd"/>
      <w:r w:rsidRPr="0032506F">
        <w:rPr>
          <w:rFonts w:ascii="Times New Roman" w:eastAsia="Calibri" w:hAnsi="Times New Roman" w:cs="Times New Roman"/>
          <w:color w:val="000000"/>
          <w:sz w:val="24"/>
          <w:szCs w:val="24"/>
        </w:rPr>
        <w:t xml:space="preserve"> conceptualize</w:t>
      </w:r>
      <w:r w:rsidR="00992C9E" w:rsidRPr="0032506F">
        <w:rPr>
          <w:rFonts w:ascii="Times New Roman" w:eastAsia="Calibri" w:hAnsi="Times New Roman" w:cs="Times New Roman"/>
          <w:color w:val="000000"/>
          <w:sz w:val="24"/>
          <w:szCs w:val="24"/>
        </w:rPr>
        <w:t xml:space="preserve"> and assess</w:t>
      </w:r>
      <w:r w:rsidRPr="0032506F">
        <w:rPr>
          <w:rFonts w:ascii="Times New Roman" w:eastAsia="Calibri" w:hAnsi="Times New Roman" w:cs="Times New Roman"/>
          <w:color w:val="000000"/>
          <w:sz w:val="24"/>
          <w:szCs w:val="24"/>
        </w:rPr>
        <w:t xml:space="preserve"> online student engagement</w:t>
      </w:r>
      <w:r w:rsidR="00992C9E" w:rsidRPr="0032506F">
        <w:rPr>
          <w:rFonts w:ascii="Times New Roman" w:eastAsia="Calibri" w:hAnsi="Times New Roman" w:cs="Times New Roman"/>
          <w:color w:val="000000"/>
          <w:sz w:val="24"/>
          <w:szCs w:val="24"/>
        </w:rPr>
        <w:t xml:space="preserve"> (e.g., Deng et al., 2020; </w:t>
      </w:r>
      <w:r w:rsidR="001805FA" w:rsidRPr="0032506F">
        <w:rPr>
          <w:rFonts w:ascii="Times New Roman" w:eastAsia="Calibri" w:hAnsi="Times New Roman" w:cs="Times New Roman"/>
          <w:color w:val="000000"/>
          <w:sz w:val="24"/>
          <w:szCs w:val="24"/>
        </w:rPr>
        <w:t xml:space="preserve">Hoi &amp; Le Hang, 2021). </w:t>
      </w:r>
    </w:p>
    <w:p w14:paraId="5159633D" w14:textId="55E71990"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In the online learning research literature, engagement </w:t>
      </w:r>
      <w:r w:rsidR="001B40EB" w:rsidRPr="0032506F">
        <w:rPr>
          <w:rFonts w:ascii="Times New Roman" w:eastAsia="Calibri" w:hAnsi="Times New Roman" w:cs="Times New Roman"/>
          <w:color w:val="000000"/>
          <w:sz w:val="24"/>
          <w:szCs w:val="24"/>
        </w:rPr>
        <w:t>has been referred to and investigated</w:t>
      </w:r>
      <w:r w:rsidRPr="0032506F">
        <w:rPr>
          <w:rFonts w:ascii="Times New Roman" w:eastAsia="Calibri" w:hAnsi="Times New Roman" w:cs="Times New Roman"/>
          <w:color w:val="000000"/>
          <w:sz w:val="24"/>
          <w:szCs w:val="24"/>
        </w:rPr>
        <w:t xml:space="preserve"> </w:t>
      </w:r>
      <w:r w:rsidR="001B40EB" w:rsidRPr="0032506F">
        <w:rPr>
          <w:rFonts w:ascii="Times New Roman" w:eastAsia="Calibri" w:hAnsi="Times New Roman" w:cs="Times New Roman"/>
          <w:color w:val="000000"/>
          <w:sz w:val="24"/>
          <w:szCs w:val="24"/>
        </w:rPr>
        <w:t>through</w:t>
      </w:r>
      <w:r w:rsidRPr="0032506F">
        <w:rPr>
          <w:rFonts w:ascii="Times New Roman" w:eastAsia="Calibri" w:hAnsi="Times New Roman" w:cs="Times New Roman"/>
          <w:color w:val="000000"/>
          <w:sz w:val="24"/>
          <w:szCs w:val="24"/>
        </w:rPr>
        <w:t xml:space="preserve"> </w:t>
      </w:r>
      <w:r w:rsidR="009443E4" w:rsidRPr="0032506F">
        <w:rPr>
          <w:rFonts w:ascii="Times New Roman" w:eastAsia="Calibri" w:hAnsi="Times New Roman" w:cs="Times New Roman"/>
          <w:color w:val="000000"/>
          <w:sz w:val="24"/>
          <w:szCs w:val="24"/>
        </w:rPr>
        <w:t>different constructs in</w:t>
      </w:r>
      <w:r w:rsidRPr="0032506F">
        <w:rPr>
          <w:rFonts w:ascii="Times New Roman" w:eastAsia="Calibri" w:hAnsi="Times New Roman" w:cs="Times New Roman"/>
          <w:color w:val="000000"/>
          <w:sz w:val="24"/>
          <w:szCs w:val="24"/>
        </w:rPr>
        <w:t xml:space="preserve"> online learning </w:t>
      </w:r>
      <w:r w:rsidR="009443E4" w:rsidRPr="0032506F">
        <w:rPr>
          <w:rFonts w:ascii="Times New Roman" w:eastAsia="Calibri" w:hAnsi="Times New Roman" w:cs="Times New Roman"/>
          <w:color w:val="000000"/>
          <w:sz w:val="24"/>
          <w:szCs w:val="24"/>
        </w:rPr>
        <w:t>including</w:t>
      </w:r>
      <w:r w:rsidRPr="0032506F">
        <w:rPr>
          <w:rFonts w:ascii="Times New Roman" w:eastAsia="Calibri" w:hAnsi="Times New Roman" w:cs="Times New Roman"/>
          <w:color w:val="000000"/>
          <w:sz w:val="24"/>
          <w:szCs w:val="24"/>
        </w:rPr>
        <w:t xml:space="preserve"> interaction, community building, presences, communication, and collaboration</w:t>
      </w:r>
      <w:r w:rsidR="00A974B4" w:rsidRPr="0032506F">
        <w:rPr>
          <w:rFonts w:ascii="Times New Roman" w:eastAsia="Calibri" w:hAnsi="Times New Roman" w:cs="Times New Roman"/>
          <w:color w:val="000000"/>
          <w:sz w:val="24"/>
          <w:szCs w:val="24"/>
        </w:rPr>
        <w:t xml:space="preserve"> (</w:t>
      </w:r>
      <w:r w:rsidR="00081D3E" w:rsidRPr="0032506F">
        <w:rPr>
          <w:rFonts w:ascii="Times New Roman" w:eastAsia="Calibri" w:hAnsi="Times New Roman" w:cs="Times New Roman"/>
          <w:color w:val="000000"/>
          <w:sz w:val="24"/>
          <w:szCs w:val="24"/>
        </w:rPr>
        <w:t xml:space="preserve">Bolliger &amp; Martin, 2021; </w:t>
      </w:r>
      <w:r w:rsidR="00A974B4" w:rsidRPr="0032506F">
        <w:rPr>
          <w:rFonts w:ascii="Times New Roman" w:eastAsia="Calibri" w:hAnsi="Times New Roman" w:cs="Times New Roman"/>
          <w:color w:val="000000"/>
          <w:sz w:val="24"/>
          <w:szCs w:val="24"/>
        </w:rPr>
        <w:t>Martin,</w:t>
      </w:r>
      <w:r w:rsidR="00081D3E" w:rsidRPr="0032506F">
        <w:rPr>
          <w:rFonts w:ascii="Times New Roman" w:eastAsia="Calibri" w:hAnsi="Times New Roman" w:cs="Times New Roman"/>
          <w:color w:val="000000"/>
          <w:sz w:val="24"/>
          <w:szCs w:val="24"/>
        </w:rPr>
        <w:t xml:space="preserve"> Sun, &amp; Westine,</w:t>
      </w:r>
      <w:r w:rsidR="00A974B4" w:rsidRPr="0032506F">
        <w:rPr>
          <w:rFonts w:ascii="Times New Roman" w:eastAsia="Calibri" w:hAnsi="Times New Roman" w:cs="Times New Roman"/>
          <w:color w:val="000000"/>
          <w:sz w:val="24"/>
          <w:szCs w:val="24"/>
        </w:rPr>
        <w:t xml:space="preserve"> 2020)</w:t>
      </w:r>
      <w:r w:rsidRPr="0032506F">
        <w:rPr>
          <w:rFonts w:ascii="Times New Roman" w:eastAsia="Calibri" w:hAnsi="Times New Roman" w:cs="Times New Roman"/>
          <w:color w:val="000000"/>
          <w:sz w:val="24"/>
          <w:szCs w:val="24"/>
        </w:rPr>
        <w:t>, which</w:t>
      </w:r>
      <w:r w:rsidR="00B8757A" w:rsidRPr="0032506F">
        <w:rPr>
          <w:rFonts w:ascii="Times New Roman" w:eastAsia="Calibri" w:hAnsi="Times New Roman" w:cs="Times New Roman"/>
          <w:color w:val="000000"/>
          <w:sz w:val="24"/>
          <w:szCs w:val="24"/>
        </w:rPr>
        <w:t xml:space="preserve"> clearly</w:t>
      </w:r>
      <w:r w:rsidRPr="0032506F">
        <w:rPr>
          <w:rFonts w:ascii="Times New Roman" w:eastAsia="Calibri" w:hAnsi="Times New Roman" w:cs="Times New Roman"/>
          <w:color w:val="000000"/>
          <w:sz w:val="24"/>
          <w:szCs w:val="24"/>
        </w:rPr>
        <w:t xml:space="preserve"> indicates the messiness and inconsistency of the conceptualizations of the construct of student engagement in online learning environments. Furthermore, although student engagement is generally conceptualized as a multifaceted construct by consensus in the relevant literature (Hoi &amp; Le Hang, 2021), there are still online learning studies treat</w:t>
      </w:r>
      <w:r w:rsidR="007150F6" w:rsidRPr="0032506F">
        <w:rPr>
          <w:rFonts w:ascii="Times New Roman" w:eastAsia="Calibri" w:hAnsi="Times New Roman" w:cs="Times New Roman"/>
          <w:color w:val="000000"/>
          <w:sz w:val="24"/>
          <w:szCs w:val="24"/>
        </w:rPr>
        <w:t>ing</w:t>
      </w:r>
      <w:r w:rsidRPr="0032506F">
        <w:rPr>
          <w:rFonts w:ascii="Times New Roman" w:eastAsia="Calibri" w:hAnsi="Times New Roman" w:cs="Times New Roman"/>
          <w:color w:val="000000"/>
          <w:sz w:val="24"/>
          <w:szCs w:val="24"/>
        </w:rPr>
        <w:t xml:space="preserve"> the construct of engagement as a one-dimensional single </w:t>
      </w:r>
      <w:r w:rsidR="00E52D6A" w:rsidRPr="0032506F">
        <w:rPr>
          <w:rFonts w:ascii="Times New Roman" w:eastAsia="Calibri" w:hAnsi="Times New Roman" w:cs="Times New Roman"/>
          <w:color w:val="000000"/>
          <w:sz w:val="24"/>
          <w:szCs w:val="24"/>
        </w:rPr>
        <w:t xml:space="preserve">overarching </w:t>
      </w:r>
      <w:r w:rsidRPr="0032506F">
        <w:rPr>
          <w:rFonts w:ascii="Times New Roman" w:eastAsia="Calibri" w:hAnsi="Times New Roman" w:cs="Times New Roman"/>
          <w:color w:val="000000"/>
          <w:sz w:val="24"/>
          <w:szCs w:val="24"/>
        </w:rPr>
        <w:t xml:space="preserve">construct (e.g., Imlawi et al., 2015; </w:t>
      </w:r>
      <w:r w:rsidRPr="0032506F">
        <w:rPr>
          <w:rFonts w:ascii="Times New Roman" w:eastAsia="Calibri" w:hAnsi="Times New Roman" w:cs="Times New Roman"/>
          <w:bCs/>
          <w:color w:val="000000"/>
          <w:sz w:val="24"/>
          <w:szCs w:val="24"/>
        </w:rPr>
        <w:t xml:space="preserve">Murillo-Zamorano et al., 2019). </w:t>
      </w:r>
    </w:p>
    <w:p w14:paraId="6D4106FB" w14:textId="4D9BB4A3"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Despite all these variations in conceptualizations and subsequent operationalizations of engagement, </w:t>
      </w:r>
      <w:r w:rsidR="00CB7365" w:rsidRPr="0032506F">
        <w:rPr>
          <w:rFonts w:ascii="Times New Roman" w:eastAsia="Calibri" w:hAnsi="Times New Roman" w:cs="Times New Roman"/>
          <w:color w:val="000000"/>
          <w:sz w:val="24"/>
          <w:szCs w:val="24"/>
        </w:rPr>
        <w:t xml:space="preserve">since Fredricks et al.’s (2004) </w:t>
      </w:r>
      <w:r w:rsidRPr="0032506F">
        <w:rPr>
          <w:rFonts w:ascii="Times New Roman" w:eastAsia="Calibri" w:hAnsi="Times New Roman" w:cs="Times New Roman"/>
          <w:color w:val="000000"/>
          <w:sz w:val="24"/>
          <w:szCs w:val="24"/>
        </w:rPr>
        <w:t xml:space="preserve">seminal review of the engagement literature </w:t>
      </w:r>
      <w:r w:rsidR="00CB7365" w:rsidRPr="0032506F">
        <w:rPr>
          <w:rFonts w:ascii="Times New Roman" w:eastAsia="Calibri" w:hAnsi="Times New Roman" w:cs="Times New Roman"/>
          <w:color w:val="000000"/>
          <w:sz w:val="24"/>
          <w:szCs w:val="24"/>
        </w:rPr>
        <w:t>concluded</w:t>
      </w:r>
      <w:r w:rsidRPr="0032506F">
        <w:rPr>
          <w:rFonts w:ascii="Times New Roman" w:eastAsia="Calibri" w:hAnsi="Times New Roman" w:cs="Times New Roman"/>
          <w:color w:val="000000"/>
          <w:sz w:val="24"/>
          <w:szCs w:val="24"/>
        </w:rPr>
        <w:t xml:space="preserve"> that “engagement can be thought of as a ‘meta’ construct” (p.60)</w:t>
      </w:r>
      <w:r w:rsidR="00AD4F7F" w:rsidRPr="0032506F">
        <w:rPr>
          <w:rFonts w:ascii="Times New Roman" w:eastAsia="Calibri" w:hAnsi="Times New Roman" w:cs="Times New Roman"/>
          <w:color w:val="000000"/>
          <w:sz w:val="24"/>
          <w:szCs w:val="24"/>
        </w:rPr>
        <w:t xml:space="preserve">, their </w:t>
      </w:r>
      <w:r w:rsidRPr="0032506F">
        <w:rPr>
          <w:rFonts w:ascii="Times New Roman" w:eastAsia="Calibri" w:hAnsi="Times New Roman" w:cs="Times New Roman"/>
          <w:color w:val="000000"/>
          <w:sz w:val="24"/>
          <w:szCs w:val="24"/>
        </w:rPr>
        <w:t>tripartite conceptualization of student engagement</w:t>
      </w:r>
      <w:r w:rsidR="00AD4F7F" w:rsidRPr="0032506F">
        <w:rPr>
          <w:rFonts w:ascii="Times New Roman" w:eastAsia="Calibri" w:hAnsi="Times New Roman" w:cs="Times New Roman"/>
          <w:color w:val="000000"/>
          <w:sz w:val="24"/>
          <w:szCs w:val="24"/>
        </w:rPr>
        <w:t xml:space="preserve"> with subdimensions</w:t>
      </w:r>
      <w:r w:rsidR="000F643F" w:rsidRPr="0032506F">
        <w:rPr>
          <w:rFonts w:ascii="Times New Roman" w:eastAsia="Calibri" w:hAnsi="Times New Roman" w:cs="Times New Roman"/>
          <w:color w:val="000000"/>
          <w:sz w:val="24"/>
          <w:szCs w:val="24"/>
        </w:rPr>
        <w:t xml:space="preserve"> conceptualized</w:t>
      </w:r>
      <w:r w:rsidR="000F643F" w:rsidRPr="0032506F">
        <w:rPr>
          <w:rFonts w:ascii="Times New Roman" w:eastAsia="Calibri" w:hAnsi="Times New Roman" w:cs="Times New Roman"/>
          <w:i/>
          <w:iCs/>
          <w:color w:val="000000"/>
          <w:sz w:val="24"/>
          <w:szCs w:val="24"/>
        </w:rPr>
        <w:t xml:space="preserve"> </w:t>
      </w:r>
      <w:r w:rsidR="00AD1CBC" w:rsidRPr="0032506F">
        <w:rPr>
          <w:rFonts w:ascii="Times New Roman" w:eastAsia="Calibri" w:hAnsi="Times New Roman" w:cs="Times New Roman"/>
          <w:color w:val="000000"/>
          <w:sz w:val="24"/>
          <w:szCs w:val="24"/>
        </w:rPr>
        <w:t xml:space="preserve">as </w:t>
      </w:r>
      <w:r w:rsidR="000F643F" w:rsidRPr="0032506F">
        <w:rPr>
          <w:rFonts w:ascii="Times New Roman" w:eastAsia="Calibri" w:hAnsi="Times New Roman" w:cs="Times New Roman"/>
          <w:i/>
          <w:iCs/>
          <w:color w:val="000000"/>
          <w:sz w:val="24"/>
          <w:szCs w:val="24"/>
        </w:rPr>
        <w:t>behavioral engagement</w:t>
      </w:r>
      <w:r w:rsidR="000F643F" w:rsidRPr="0032506F">
        <w:rPr>
          <w:rFonts w:ascii="Times New Roman" w:eastAsia="Calibri" w:hAnsi="Times New Roman" w:cs="Times New Roman"/>
          <w:color w:val="000000"/>
          <w:sz w:val="24"/>
          <w:szCs w:val="24"/>
        </w:rPr>
        <w:t xml:space="preserve">, </w:t>
      </w:r>
      <w:r w:rsidR="000F643F" w:rsidRPr="0032506F">
        <w:rPr>
          <w:rFonts w:ascii="Times New Roman" w:eastAsia="Calibri" w:hAnsi="Times New Roman" w:cs="Times New Roman"/>
          <w:i/>
          <w:iCs/>
          <w:color w:val="000000"/>
          <w:sz w:val="24"/>
          <w:szCs w:val="24"/>
        </w:rPr>
        <w:t>emotional engagement</w:t>
      </w:r>
      <w:r w:rsidR="000F643F" w:rsidRPr="0032506F">
        <w:rPr>
          <w:rFonts w:ascii="Times New Roman" w:eastAsia="Calibri" w:hAnsi="Times New Roman" w:cs="Times New Roman"/>
          <w:color w:val="000000"/>
          <w:sz w:val="24"/>
          <w:szCs w:val="24"/>
        </w:rPr>
        <w:t xml:space="preserve">, and </w:t>
      </w:r>
      <w:r w:rsidR="000F643F" w:rsidRPr="0032506F">
        <w:rPr>
          <w:rFonts w:ascii="Times New Roman" w:eastAsia="Calibri" w:hAnsi="Times New Roman" w:cs="Times New Roman"/>
          <w:i/>
          <w:iCs/>
          <w:color w:val="000000"/>
          <w:sz w:val="24"/>
          <w:szCs w:val="24"/>
        </w:rPr>
        <w:t>cognitive engagement</w:t>
      </w:r>
      <w:r w:rsidR="00A03EA8" w:rsidRPr="0032506F">
        <w:rPr>
          <w:rFonts w:ascii="Times New Roman" w:eastAsia="Calibri" w:hAnsi="Times New Roman" w:cs="Times New Roman"/>
          <w:color w:val="000000"/>
          <w:sz w:val="24"/>
          <w:szCs w:val="24"/>
        </w:rPr>
        <w:t xml:space="preserve"> </w:t>
      </w:r>
      <w:r w:rsidR="00675581" w:rsidRPr="0032506F">
        <w:rPr>
          <w:rFonts w:ascii="Times New Roman" w:eastAsia="Calibri" w:hAnsi="Times New Roman" w:cs="Times New Roman"/>
          <w:color w:val="000000"/>
          <w:sz w:val="24"/>
          <w:szCs w:val="24"/>
        </w:rPr>
        <w:t xml:space="preserve">has become the </w:t>
      </w:r>
      <w:r w:rsidR="003A14B7" w:rsidRPr="0032506F">
        <w:rPr>
          <w:rFonts w:ascii="Times New Roman" w:eastAsia="Calibri" w:hAnsi="Times New Roman" w:cs="Times New Roman"/>
          <w:color w:val="000000"/>
          <w:sz w:val="24"/>
          <w:szCs w:val="24"/>
        </w:rPr>
        <w:t>common dimensions of engagement</w:t>
      </w:r>
      <w:r w:rsidRPr="0032506F">
        <w:rPr>
          <w:rFonts w:ascii="Times New Roman" w:eastAsia="Calibri" w:hAnsi="Times New Roman" w:cs="Times New Roman"/>
          <w:color w:val="000000"/>
          <w:sz w:val="24"/>
          <w:szCs w:val="24"/>
        </w:rPr>
        <w:t xml:space="preserve"> (Henrie et al., 2015).</w:t>
      </w:r>
      <w:r w:rsidR="00972580"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Each of these dimensions is investigated individually but in a dynamic interaction with one another, which makes this meta-</w:t>
      </w:r>
      <w:r w:rsidRPr="0032506F">
        <w:rPr>
          <w:rFonts w:ascii="Times New Roman" w:eastAsia="Calibri" w:hAnsi="Times New Roman" w:cs="Times New Roman"/>
          <w:color w:val="000000"/>
          <w:sz w:val="24"/>
          <w:szCs w:val="24"/>
        </w:rPr>
        <w:lastRenderedPageBreak/>
        <w:t xml:space="preserve">conceptualization of engagement more capable of reflecting what individuals </w:t>
      </w:r>
      <w:proofErr w:type="gramStart"/>
      <w:r w:rsidRPr="0032506F">
        <w:rPr>
          <w:rFonts w:ascii="Times New Roman" w:eastAsia="Calibri" w:hAnsi="Times New Roman" w:cs="Times New Roman"/>
          <w:color w:val="000000"/>
          <w:sz w:val="24"/>
          <w:szCs w:val="24"/>
        </w:rPr>
        <w:t>actually experience</w:t>
      </w:r>
      <w:proofErr w:type="gramEnd"/>
      <w:r w:rsidRPr="0032506F">
        <w:rPr>
          <w:rFonts w:ascii="Times New Roman" w:eastAsia="Calibri" w:hAnsi="Times New Roman" w:cs="Times New Roman"/>
          <w:color w:val="000000"/>
          <w:sz w:val="24"/>
          <w:szCs w:val="24"/>
        </w:rPr>
        <w:t xml:space="preserve"> in real life situations, which are much more complex relationships occurring among behaviors, emotions, and cognitions (Fredricks et al., 2004). </w:t>
      </w:r>
      <w:r w:rsidR="007B552F" w:rsidRPr="0032506F">
        <w:rPr>
          <w:rFonts w:ascii="Times New Roman" w:eastAsia="Calibri" w:hAnsi="Times New Roman" w:cs="Times New Roman"/>
          <w:color w:val="000000"/>
          <w:sz w:val="24"/>
          <w:szCs w:val="24"/>
        </w:rPr>
        <w:t>E</w:t>
      </w:r>
      <w:r w:rsidRPr="0032506F">
        <w:rPr>
          <w:rFonts w:ascii="Times New Roman" w:eastAsia="Calibri" w:hAnsi="Times New Roman" w:cs="Times New Roman"/>
          <w:color w:val="000000"/>
          <w:sz w:val="24"/>
          <w:szCs w:val="24"/>
        </w:rPr>
        <w:t>ach dimension of engagement is also viewed as varying in intensity or quality (Fredricks et al., 2004). For example, cognitive engagement may mean simply memorizing a list of items and reproducing it when asked, or deeply understanding the items by using certain learning strategies and self-regulation skills (Fredricks et al., 2004). Moreover, engagement in this conceptualization can be specific to certain contexts or situations and can be temporary or it can sustain over longer periods of time and so can be more permanent (Fredricks et al., 2004).</w:t>
      </w:r>
      <w:r w:rsidR="00B32EDC" w:rsidRPr="0032506F">
        <w:rPr>
          <w:rFonts w:ascii="Times New Roman" w:eastAsia="Calibri" w:hAnsi="Times New Roman" w:cs="Times New Roman"/>
          <w:color w:val="000000"/>
          <w:sz w:val="24"/>
          <w:szCs w:val="24"/>
        </w:rPr>
        <w:t xml:space="preserve"> </w:t>
      </w:r>
    </w:p>
    <w:p w14:paraId="72B5B3A2" w14:textId="77777777" w:rsidR="0082746B" w:rsidRPr="0032506F" w:rsidRDefault="0082746B" w:rsidP="0082746B">
      <w:pPr>
        <w:keepNext/>
        <w:keepLines/>
        <w:spacing w:after="0" w:line="480" w:lineRule="auto"/>
        <w:outlineLvl w:val="2"/>
        <w:rPr>
          <w:rFonts w:ascii="Times New Roman" w:eastAsia="Calibri" w:hAnsi="Times New Roman" w:cs="Times New Roman"/>
          <w:b/>
          <w:bCs/>
          <w:sz w:val="24"/>
          <w:szCs w:val="24"/>
        </w:rPr>
      </w:pPr>
      <w:bookmarkStart w:id="31" w:name="_Toc102489436"/>
      <w:r w:rsidRPr="0032506F">
        <w:rPr>
          <w:rFonts w:ascii="Times New Roman" w:eastAsia="Calibri" w:hAnsi="Times New Roman" w:cs="Times New Roman"/>
          <w:b/>
          <w:bCs/>
          <w:sz w:val="24"/>
          <w:szCs w:val="24"/>
        </w:rPr>
        <w:t>Behavioral Engagement</w:t>
      </w:r>
      <w:bookmarkEnd w:id="31"/>
    </w:p>
    <w:p w14:paraId="3FB92FC8" w14:textId="7E61DC8E"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The relevant literature of engagement defines behavioral engagement in three main ways (Fredricks et al., 2004). The first group of definitions conceptualizes behavioral engagement as positive and compliant student behavior (Fredricks et al., 2004). Student behavior, such as breaking school and classroom rules, paying no attention to the teacher and the classroom work, and misbehaving in the classroom or school, is considered non-compliant student behavior (Finn &amp; Rock, 1997). </w:t>
      </w:r>
    </w:p>
    <w:p w14:paraId="3E6AF515" w14:textId="40869FAE"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In the second group of definitions, behavioral engagement is conceptualized as students’ active involvement and participation in instructional activities and academic learning tasks through proactive behaviors of asking questions, having learning-related conversations with their teachers and the class, doing more homework than they are expected to do, making effort, paying attention to classroom instruction, and showing persistence when faced with challenge or difficulty (Finn &amp; Rock, 1997; Fredricks et al., 2004; Sinatra et al., 2015). This conceptualization of behavioral engagement as positive and active student involvement with and participation in </w:t>
      </w:r>
      <w:r w:rsidRPr="0032506F">
        <w:rPr>
          <w:rFonts w:ascii="Times New Roman" w:eastAsia="Calibri" w:hAnsi="Times New Roman" w:cs="Times New Roman"/>
          <w:color w:val="000000"/>
          <w:sz w:val="24"/>
          <w:szCs w:val="24"/>
        </w:rPr>
        <w:lastRenderedPageBreak/>
        <w:t>classroom learning activities is commonly used as a core dimension of student engagement in most definitions and conceptualizations in the relevant literature (Skinner et al., 2009). In the third and final group of definitions of behavioral engagement,</w:t>
      </w:r>
      <w:r w:rsidR="000D4EA7"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behavioral engagement is viewed as student participation in school-level academic or non-academic activities including sports and extracurricular activities at school (Finn &amp; Rock, 1997; Fredricks et al., 2004; Sinatra et al., 2015). </w:t>
      </w:r>
    </w:p>
    <w:p w14:paraId="112889DA" w14:textId="77777777" w:rsidR="0082746B" w:rsidRPr="0032506F" w:rsidRDefault="0082746B" w:rsidP="0087316B">
      <w:pPr>
        <w:keepNext/>
        <w:keepLines/>
        <w:spacing w:after="0" w:line="480" w:lineRule="auto"/>
        <w:outlineLvl w:val="2"/>
        <w:rPr>
          <w:rFonts w:ascii="Times New Roman" w:eastAsia="Calibri" w:hAnsi="Times New Roman" w:cs="Times New Roman"/>
          <w:b/>
          <w:bCs/>
          <w:sz w:val="24"/>
          <w:szCs w:val="24"/>
        </w:rPr>
      </w:pPr>
      <w:bookmarkStart w:id="32" w:name="_Toc102489437"/>
      <w:r w:rsidRPr="0032506F">
        <w:rPr>
          <w:rFonts w:ascii="Times New Roman" w:eastAsia="Calibri" w:hAnsi="Times New Roman" w:cs="Times New Roman"/>
          <w:b/>
          <w:bCs/>
          <w:sz w:val="24"/>
          <w:szCs w:val="24"/>
        </w:rPr>
        <w:t>Emotional Engagement</w:t>
      </w:r>
      <w:bookmarkEnd w:id="32"/>
    </w:p>
    <w:p w14:paraId="5B3D1941" w14:textId="42519A88"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Within the tripartite conceptualization of engagement, emotional engagement is usually defined as “students’ affective reactions in the classroom, including interest, boredom, happiness, sadness, and anxiety” (Fredricks et al., 2004, p. 63). Nevertheless, myriad definitions and conceptualizations of emotional engagement exist in the relevant literature. Finn’s (1989) participation-identification model with its </w:t>
      </w:r>
      <w:r w:rsidRPr="0032506F">
        <w:rPr>
          <w:rFonts w:ascii="Times New Roman" w:eastAsia="Calibri" w:hAnsi="Times New Roman" w:cs="Times New Roman"/>
          <w:i/>
          <w:iCs/>
          <w:color w:val="000000"/>
          <w:sz w:val="24"/>
          <w:szCs w:val="24"/>
        </w:rPr>
        <w:t>identification with school</w:t>
      </w:r>
      <w:r w:rsidRPr="0032506F">
        <w:rPr>
          <w:rFonts w:ascii="Times New Roman" w:eastAsia="Calibri" w:hAnsi="Times New Roman" w:cs="Times New Roman"/>
          <w:color w:val="000000"/>
          <w:sz w:val="24"/>
          <w:szCs w:val="24"/>
        </w:rPr>
        <w:t xml:space="preserve"> component characterized by students’ sense of belongingness and connectedness with their school and their valuing education or school-related outcomes has been used as one major conceptualization of emotional engagement in the relevant literature (Fredricks et al., 2004). This conceptualization of emotional engagement using belongingness and value overlaps with an extensive body of theory and research on students’ sense of belonging, relatedness, and value perceptions (Appleton et al., 2008; Fredricks et al., 2004). </w:t>
      </w:r>
    </w:p>
    <w:p w14:paraId="51FEC122" w14:textId="77777777"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The basic human need to belong to others in general and students’ sense of belonging and connectedness to school in particular have been considerably studied for decades by researchers across different academic contexts and cultural settings in relation to different outcomes or variables and it has a large theoretical and empirical knowledge base of its own (e.g., Baumeister &amp; Leary, 1995; Bonny et al., 2000; Gillen-O’Neel &amp; Fuligni, 2013; Goodenow &amp; Grady, 1993). </w:t>
      </w:r>
      <w:r w:rsidRPr="0032506F">
        <w:rPr>
          <w:rFonts w:ascii="Times New Roman" w:eastAsia="Calibri" w:hAnsi="Times New Roman" w:cs="Times New Roman"/>
          <w:color w:val="000000"/>
          <w:sz w:val="24"/>
          <w:szCs w:val="24"/>
        </w:rPr>
        <w:lastRenderedPageBreak/>
        <w:t>Value as the second element of this conceptualization has also been extensively theorized and empirically studied for decades as another major area of educational psychology and motivation research, especially under the Expectancy-Value theory of achievement motivation (</w:t>
      </w:r>
      <w:r w:rsidRPr="0032506F">
        <w:rPr>
          <w:rFonts w:ascii="Times New Roman" w:eastAsia="Calibri" w:hAnsi="Times New Roman" w:cs="Times New Roman"/>
          <w:bCs/>
          <w:color w:val="000000"/>
          <w:sz w:val="24"/>
          <w:szCs w:val="24"/>
        </w:rPr>
        <w:t>Wigfield &amp; Eccles, 2000)</w:t>
      </w:r>
      <w:r w:rsidRPr="0032506F">
        <w:rPr>
          <w:rFonts w:ascii="Times New Roman" w:eastAsia="Calibri" w:hAnsi="Times New Roman" w:cs="Times New Roman"/>
          <w:color w:val="000000"/>
          <w:sz w:val="24"/>
          <w:szCs w:val="24"/>
        </w:rPr>
        <w:t xml:space="preserve">.  </w:t>
      </w:r>
    </w:p>
    <w:p w14:paraId="35440C1F" w14:textId="4B3EA900"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Another major conceptualization of emotional engagement involves students’ affective responses to or affective perceptions of their teachers, peers, academic work, and their schools (i.e., </w:t>
      </w:r>
      <w:proofErr w:type="gramStart"/>
      <w:r w:rsidRPr="0032506F">
        <w:rPr>
          <w:rFonts w:ascii="Times New Roman" w:eastAsia="Calibri" w:hAnsi="Times New Roman" w:cs="Times New Roman"/>
          <w:color w:val="000000"/>
          <w:sz w:val="24"/>
          <w:szCs w:val="24"/>
        </w:rPr>
        <w:t>positive</w:t>
      </w:r>
      <w:proofErr w:type="gramEnd"/>
      <w:r w:rsidRPr="0032506F">
        <w:rPr>
          <w:rFonts w:ascii="Times New Roman" w:eastAsia="Calibri" w:hAnsi="Times New Roman" w:cs="Times New Roman"/>
          <w:color w:val="000000"/>
          <w:sz w:val="24"/>
          <w:szCs w:val="24"/>
        </w:rPr>
        <w:t xml:space="preserve"> and negative emotions) (Fredricks et al., 2004). This conceptualization of emotional engagement overlaps with the extensive literature of achievement emotions </w:t>
      </w:r>
      <w:r w:rsidR="00D16473" w:rsidRPr="0032506F">
        <w:rPr>
          <w:rFonts w:ascii="Times New Roman" w:eastAsia="Calibri" w:hAnsi="Times New Roman" w:cs="Times New Roman"/>
          <w:color w:val="000000"/>
          <w:sz w:val="24"/>
          <w:szCs w:val="24"/>
        </w:rPr>
        <w:t xml:space="preserve">that </w:t>
      </w:r>
      <w:r w:rsidRPr="0032506F">
        <w:rPr>
          <w:rFonts w:ascii="Times New Roman" w:eastAsia="Calibri" w:hAnsi="Times New Roman" w:cs="Times New Roman"/>
          <w:color w:val="000000"/>
          <w:sz w:val="24"/>
          <w:szCs w:val="24"/>
        </w:rPr>
        <w:t xml:space="preserve">have been empirically shown to </w:t>
      </w:r>
      <w:r w:rsidR="009F6AA0" w:rsidRPr="0032506F">
        <w:rPr>
          <w:rFonts w:ascii="Times New Roman" w:eastAsia="Calibri" w:hAnsi="Times New Roman" w:cs="Times New Roman"/>
          <w:color w:val="000000"/>
          <w:sz w:val="24"/>
          <w:szCs w:val="24"/>
        </w:rPr>
        <w:t xml:space="preserve">have </w:t>
      </w:r>
      <w:r w:rsidRPr="0032506F">
        <w:rPr>
          <w:rFonts w:ascii="Times New Roman" w:eastAsia="Calibri" w:hAnsi="Times New Roman" w:cs="Times New Roman"/>
          <w:color w:val="000000"/>
          <w:sz w:val="24"/>
          <w:szCs w:val="24"/>
        </w:rPr>
        <w:t xml:space="preserve">influence </w:t>
      </w:r>
      <w:r w:rsidR="009F6AA0" w:rsidRPr="0032506F">
        <w:rPr>
          <w:rFonts w:ascii="Times New Roman" w:eastAsia="Calibri" w:hAnsi="Times New Roman" w:cs="Times New Roman"/>
          <w:color w:val="000000"/>
          <w:sz w:val="24"/>
          <w:szCs w:val="24"/>
        </w:rPr>
        <w:t xml:space="preserve">on </w:t>
      </w:r>
      <w:r w:rsidRPr="0032506F">
        <w:rPr>
          <w:rFonts w:ascii="Times New Roman" w:eastAsia="Calibri" w:hAnsi="Times New Roman" w:cs="Times New Roman"/>
          <w:color w:val="000000"/>
          <w:sz w:val="24"/>
          <w:szCs w:val="24"/>
        </w:rPr>
        <w:t xml:space="preserve">several significant learning outcomes in the relevant literature of motivation and emotions (Pekrun, 2006; Pekrun et al., 2009). </w:t>
      </w:r>
    </w:p>
    <w:p w14:paraId="05DEEE94" w14:textId="77777777" w:rsidR="0082746B" w:rsidRPr="0032506F" w:rsidRDefault="0082746B" w:rsidP="0082746B">
      <w:pPr>
        <w:keepNext/>
        <w:keepLines/>
        <w:spacing w:after="0" w:line="480" w:lineRule="auto"/>
        <w:outlineLvl w:val="2"/>
        <w:rPr>
          <w:rFonts w:ascii="Times New Roman" w:eastAsia="Calibri" w:hAnsi="Times New Roman" w:cs="Times New Roman"/>
          <w:b/>
          <w:bCs/>
          <w:i/>
          <w:iCs/>
          <w:sz w:val="24"/>
          <w:szCs w:val="24"/>
        </w:rPr>
      </w:pPr>
      <w:bookmarkStart w:id="33" w:name="_Toc102489438"/>
      <w:r w:rsidRPr="0032506F">
        <w:rPr>
          <w:rFonts w:ascii="Times New Roman" w:eastAsia="Calibri" w:hAnsi="Times New Roman" w:cs="Times New Roman"/>
          <w:b/>
          <w:bCs/>
          <w:i/>
          <w:iCs/>
          <w:sz w:val="24"/>
          <w:szCs w:val="24"/>
        </w:rPr>
        <w:t>Cognitive Engagement</w:t>
      </w:r>
      <w:bookmarkEnd w:id="33"/>
    </w:p>
    <w:p w14:paraId="54734A34" w14:textId="3DE638C5" w:rsidR="0082746B" w:rsidRPr="0032506F" w:rsidRDefault="0082746B" w:rsidP="0082746B">
      <w:pPr>
        <w:spacing w:after="0" w:line="480" w:lineRule="auto"/>
        <w:ind w:firstLine="720"/>
        <w:rPr>
          <w:rFonts w:ascii="Times New Roman" w:hAnsi="Times New Roman" w:cs="Times New Roman"/>
          <w:sz w:val="24"/>
          <w:szCs w:val="24"/>
        </w:rPr>
      </w:pPr>
      <w:proofErr w:type="gramStart"/>
      <w:r w:rsidRPr="0032506F">
        <w:rPr>
          <w:rFonts w:ascii="Times New Roman" w:hAnsi="Times New Roman" w:cs="Times New Roman"/>
          <w:sz w:val="24"/>
          <w:szCs w:val="24"/>
        </w:rPr>
        <w:t>Similar to</w:t>
      </w:r>
      <w:proofErr w:type="gramEnd"/>
      <w:r w:rsidRPr="0032506F">
        <w:rPr>
          <w:rFonts w:ascii="Times New Roman" w:hAnsi="Times New Roman" w:cs="Times New Roman"/>
          <w:sz w:val="24"/>
          <w:szCs w:val="24"/>
        </w:rPr>
        <w:t xml:space="preserve"> diverse definitions and conceptualizations of behavioral engagement and emotional engagement, cognitive engagement also is “a loosely defined construct” (Cleary &amp; Zimmerman, 2012, p. 238) and has been conceptualized from different theoretical perspectives in the engagement literature (Ainley, 2012; Fredricks et al., 2004). Accurately defining cognitive engagement, which is much less observable than behavioral and emotional engagement, </w:t>
      </w:r>
      <w:proofErr w:type="gramStart"/>
      <w:r w:rsidRPr="0032506F">
        <w:rPr>
          <w:rFonts w:ascii="Times New Roman" w:hAnsi="Times New Roman" w:cs="Times New Roman"/>
          <w:sz w:val="24"/>
          <w:szCs w:val="24"/>
        </w:rPr>
        <w:t>is considered to be</w:t>
      </w:r>
      <w:proofErr w:type="gramEnd"/>
      <w:r w:rsidRPr="0032506F">
        <w:rPr>
          <w:rFonts w:ascii="Times New Roman" w:hAnsi="Times New Roman" w:cs="Times New Roman"/>
          <w:sz w:val="24"/>
          <w:szCs w:val="24"/>
        </w:rPr>
        <w:t xml:space="preserve"> much more challenging (Sinatra et al., 2015). The use of the concept of cognitive engagement </w:t>
      </w:r>
      <w:proofErr w:type="gramStart"/>
      <w:r w:rsidRPr="0032506F">
        <w:rPr>
          <w:rFonts w:ascii="Times New Roman" w:hAnsi="Times New Roman" w:cs="Times New Roman"/>
          <w:sz w:val="24"/>
          <w:szCs w:val="24"/>
        </w:rPr>
        <w:t>dates back to</w:t>
      </w:r>
      <w:proofErr w:type="gramEnd"/>
      <w:r w:rsidRPr="0032506F">
        <w:rPr>
          <w:rFonts w:ascii="Times New Roman" w:hAnsi="Times New Roman" w:cs="Times New Roman"/>
          <w:sz w:val="24"/>
          <w:szCs w:val="24"/>
        </w:rPr>
        <w:t xml:space="preserve"> the 1980s, when Corno and Mandinach (1983) in their seminal manuscript described cognitive engagement as one form of student engagement. </w:t>
      </w:r>
    </w:p>
    <w:p w14:paraId="65F28DB2" w14:textId="5D4E2F50" w:rsidR="0082746B" w:rsidRPr="0032506F" w:rsidRDefault="0082746B" w:rsidP="0082746B">
      <w:pPr>
        <w:spacing w:after="0" w:line="480" w:lineRule="auto"/>
        <w:ind w:firstLine="720"/>
        <w:rPr>
          <w:rFonts w:ascii="Times New Roman" w:hAnsi="Times New Roman" w:cs="Times New Roman"/>
          <w:b/>
          <w:bCs/>
          <w:i/>
          <w:iCs/>
          <w:sz w:val="24"/>
          <w:szCs w:val="24"/>
        </w:rPr>
      </w:pPr>
      <w:r w:rsidRPr="0032506F">
        <w:rPr>
          <w:rFonts w:ascii="Times New Roman" w:hAnsi="Times New Roman" w:cs="Times New Roman"/>
          <w:sz w:val="24"/>
          <w:szCs w:val="24"/>
        </w:rPr>
        <w:t xml:space="preserve">Corno and Mandinach (1983) conceptualized cognitive engagement as active student engagement during which students interpret their personal and social experiences within their classrooms regarding their learning experiences (e.g., making causal attributions, having expectancies for success, making peer comparisons) and accordingly regulate and expend a </w:t>
      </w:r>
      <w:r w:rsidRPr="0032506F">
        <w:rPr>
          <w:rFonts w:ascii="Times New Roman" w:hAnsi="Times New Roman" w:cs="Times New Roman"/>
          <w:sz w:val="24"/>
          <w:szCs w:val="24"/>
        </w:rPr>
        <w:lastRenderedPageBreak/>
        <w:t xml:space="preserve">certain amount and quality of effort (e.g., learning strategies) to carry out and achieve learning tasks in their classrooms. In fact, Corno and Mandinach (1983) conceptualized self-regulated learning as a specific form or type of cognitive engagement, incorporating such cognitive interpretations as success expectations, goals, or attributions into self-regulated learning. They specifically stated that “self-regulated learning is the highest form of cognitive engagement” (Corno &amp; Mandinach, 1983, p. 90). This self-regulated learning (SRL) theoretical perspective accounts for one major camp of definitions and conceptualizations of cognitive engagement in the engagement literature (Fredricks et al., 2004). According to the SRL-based conceptualization, cognitively engaged students are those self-regulated learners who are “metacognitively, motivationally, and behaviorally active participants in their own learning” (Zimmerman, 1990, p. 4). That is, self-regulated students utilizing their metacognitive skills and strategies approach the learning task with certain goals and make a plan before diving into it, then start using certain strategies to deal with the task and regulate their attention and monitor their progress while doing the task, then evaluate their performance through self-reflection after completing the task, and then make necessary revisions to improve their learning experience in the future (Cleary &amp; Zimmerman, 2012).  </w:t>
      </w:r>
    </w:p>
    <w:p w14:paraId="2532D995" w14:textId="77777777" w:rsidR="0082746B" w:rsidRPr="0032506F" w:rsidRDefault="0082746B" w:rsidP="0082746B">
      <w:pPr>
        <w:spacing w:after="0" w:line="480" w:lineRule="auto"/>
        <w:ind w:firstLine="720"/>
        <w:rPr>
          <w:rFonts w:ascii="Times New Roman" w:eastAsia="Calibri" w:hAnsi="Times New Roman" w:cs="Times New Roman"/>
          <w:b/>
          <w:bCs/>
          <w:color w:val="000000"/>
          <w:sz w:val="24"/>
          <w:szCs w:val="24"/>
        </w:rPr>
      </w:pPr>
      <w:r w:rsidRPr="0032506F">
        <w:rPr>
          <w:rFonts w:ascii="Times New Roman" w:eastAsia="Calibri" w:hAnsi="Times New Roman" w:cs="Times New Roman"/>
          <w:color w:val="000000"/>
          <w:sz w:val="24"/>
          <w:szCs w:val="24"/>
        </w:rPr>
        <w:t xml:space="preserve">Cognitively engaged students are also known for their use of different cognitive strategies, such as rehearsal (e.g., repeating to memorize), elaboration (e.g., paraphrasing, summarizing), and organization strategies (e.g., preparing outlines, drawing mind maps), that may vary depending on the specific conditions or specific goals while working on the learning material to achieve their specific goals whatever they are (Pintrich &amp; De Groot, 1990; Weinstein et al., 2011; Weinstein &amp; Mayer, 1986). Deep versus shallow learning strategies used by students while studying the learning material at hand are another important component of cognitive </w:t>
      </w:r>
      <w:r w:rsidRPr="0032506F">
        <w:rPr>
          <w:rFonts w:ascii="Times New Roman" w:eastAsia="Calibri" w:hAnsi="Times New Roman" w:cs="Times New Roman"/>
          <w:color w:val="000000"/>
          <w:sz w:val="24"/>
          <w:szCs w:val="24"/>
        </w:rPr>
        <w:lastRenderedPageBreak/>
        <w:t xml:space="preserve">engagement whereby “deep cognitive engagement involves elaboration processes, while shallow involves more rote memorization and other strategies that engage the new information in more superficial ways” (Xie et al., 2019, p. 184). Researchers have commonly used this self-regulated learning and cognitive-metacognitive strategy use conceptualization of cognitive engagement (e.g., Wolters, 2004). </w:t>
      </w:r>
    </w:p>
    <w:p w14:paraId="2AD1DC88" w14:textId="77777777"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Another major conceptualization of cognitive engagement is defining and conceptualizing it as </w:t>
      </w:r>
      <w:r w:rsidRPr="0032506F">
        <w:rPr>
          <w:rFonts w:ascii="Times New Roman" w:eastAsia="Calibri" w:hAnsi="Times New Roman" w:cs="Times New Roman"/>
          <w:i/>
          <w:iCs/>
          <w:color w:val="000000"/>
          <w:sz w:val="24"/>
          <w:szCs w:val="24"/>
        </w:rPr>
        <w:t>psychological investment</w:t>
      </w:r>
      <w:r w:rsidRPr="0032506F">
        <w:rPr>
          <w:rFonts w:ascii="Times New Roman" w:eastAsia="Calibri" w:hAnsi="Times New Roman" w:cs="Times New Roman"/>
          <w:color w:val="000000"/>
          <w:sz w:val="24"/>
          <w:szCs w:val="24"/>
        </w:rPr>
        <w:t xml:space="preserve"> in learning, a construct heavily drawing from the motivation literature (Fredricks et al., 2004). A similar term or concept of </w:t>
      </w:r>
      <w:r w:rsidRPr="0032506F">
        <w:rPr>
          <w:rFonts w:ascii="Times New Roman" w:eastAsia="Calibri" w:hAnsi="Times New Roman" w:cs="Times New Roman"/>
          <w:i/>
          <w:iCs/>
          <w:color w:val="000000"/>
          <w:sz w:val="24"/>
          <w:szCs w:val="24"/>
        </w:rPr>
        <w:t>personal investment</w:t>
      </w:r>
      <w:r w:rsidRPr="0032506F">
        <w:rPr>
          <w:rFonts w:ascii="Times New Roman" w:eastAsia="Calibri" w:hAnsi="Times New Roman" w:cs="Times New Roman"/>
          <w:color w:val="000000"/>
          <w:sz w:val="24"/>
          <w:szCs w:val="24"/>
        </w:rPr>
        <w:t xml:space="preserve"> in the motivation literature was originally proposed and used by Maehr (1984) to explain how human motivation works as personal investment that individuals prefer to make in terms of pursuing certain goals and performing certain actions or behaviors as opposed to others. </w:t>
      </w:r>
      <w:proofErr w:type="gramStart"/>
      <w:r w:rsidRPr="0032506F">
        <w:rPr>
          <w:rFonts w:ascii="Times New Roman" w:eastAsia="Calibri" w:hAnsi="Times New Roman" w:cs="Times New Roman"/>
          <w:color w:val="000000"/>
          <w:sz w:val="24"/>
          <w:szCs w:val="24"/>
        </w:rPr>
        <w:t>Similar to</w:t>
      </w:r>
      <w:proofErr w:type="gramEnd"/>
      <w:r w:rsidRPr="0032506F">
        <w:rPr>
          <w:rFonts w:ascii="Times New Roman" w:eastAsia="Calibri" w:hAnsi="Times New Roman" w:cs="Times New Roman"/>
          <w:color w:val="000000"/>
          <w:sz w:val="24"/>
          <w:szCs w:val="24"/>
        </w:rPr>
        <w:t xml:space="preserve"> Maehr’s (1984) concept of personal investment, some researchers have widely defined and conceptualized cognitive engagement</w:t>
      </w:r>
      <w:r w:rsidRPr="0032506F">
        <w:rPr>
          <w:rFonts w:ascii="Times New Roman" w:eastAsia="Calibri" w:hAnsi="Times New Roman" w:cs="Times New Roman"/>
          <w:b/>
          <w:bCs/>
          <w:color w:val="000000"/>
          <w:sz w:val="24"/>
          <w:szCs w:val="24"/>
        </w:rPr>
        <w:t xml:space="preserve"> </w:t>
      </w:r>
      <w:r w:rsidRPr="0032506F">
        <w:rPr>
          <w:rFonts w:ascii="Times New Roman" w:eastAsia="Calibri" w:hAnsi="Times New Roman" w:cs="Times New Roman"/>
          <w:color w:val="000000"/>
          <w:sz w:val="24"/>
          <w:szCs w:val="24"/>
        </w:rPr>
        <w:t xml:space="preserve">as psychological investment (Sinatra et al., 2015). According to this conceptualization of cognitive engagement, students who make cognitive effort to truly understand, learn, and master the knowledge and skills under study, volitionally do more than what they are required to do, can be flexible in problem solving, and prefer to be challenged by new things to master </w:t>
      </w:r>
      <w:proofErr w:type="gramStart"/>
      <w:r w:rsidRPr="0032506F">
        <w:rPr>
          <w:rFonts w:ascii="Times New Roman" w:eastAsia="Calibri" w:hAnsi="Times New Roman" w:cs="Times New Roman"/>
          <w:color w:val="000000"/>
          <w:sz w:val="24"/>
          <w:szCs w:val="24"/>
        </w:rPr>
        <w:t>are considered to be</w:t>
      </w:r>
      <w:proofErr w:type="gramEnd"/>
      <w:r w:rsidRPr="0032506F">
        <w:rPr>
          <w:rFonts w:ascii="Times New Roman" w:eastAsia="Calibri" w:hAnsi="Times New Roman" w:cs="Times New Roman"/>
          <w:color w:val="000000"/>
          <w:sz w:val="24"/>
          <w:szCs w:val="24"/>
        </w:rPr>
        <w:t xml:space="preserve"> psychologically invested in their own learning (Sinatra et al., 2015). Conceptualizing cognitive engagement from such a psychological investment perspective involves the use of several major constructs extensively studied in the motivation literature for decades, such as mastery goal orientations (Ames &amp; Archer, 1988; Elliott &amp; Dweck, 1988) and intrinsic motivation (Ryan &amp; Deci, 2002), which often leads to great confusions over the crucial distinctions between engagement itself and its antecedents (Finn &amp; Zimmer, 2012).  </w:t>
      </w:r>
    </w:p>
    <w:p w14:paraId="239AC199" w14:textId="77777777" w:rsidR="0082746B" w:rsidRPr="0032506F" w:rsidRDefault="0082746B" w:rsidP="0082746B">
      <w:pPr>
        <w:keepNext/>
        <w:keepLines/>
        <w:spacing w:after="0" w:line="480" w:lineRule="auto"/>
        <w:outlineLvl w:val="1"/>
        <w:rPr>
          <w:rFonts w:ascii="Times New Roman" w:eastAsia="Calibri" w:hAnsi="Times New Roman" w:cs="Times New Roman"/>
          <w:b/>
          <w:bCs/>
          <w:sz w:val="24"/>
          <w:szCs w:val="24"/>
        </w:rPr>
      </w:pPr>
      <w:bookmarkStart w:id="34" w:name="_Toc102489439"/>
      <w:r w:rsidRPr="0032506F">
        <w:rPr>
          <w:rFonts w:ascii="Times New Roman" w:eastAsia="Calibri" w:hAnsi="Times New Roman" w:cs="Times New Roman"/>
          <w:b/>
          <w:bCs/>
          <w:sz w:val="24"/>
          <w:szCs w:val="24"/>
        </w:rPr>
        <w:lastRenderedPageBreak/>
        <w:t>Student Engagement: Measures and Methodological Challenges</w:t>
      </w:r>
      <w:bookmarkEnd w:id="34"/>
    </w:p>
    <w:p w14:paraId="7FA05EF5" w14:textId="441CBA41" w:rsidR="0082746B" w:rsidRPr="0032506F" w:rsidRDefault="00266261"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D</w:t>
      </w:r>
      <w:r w:rsidR="0082746B" w:rsidRPr="0032506F">
        <w:rPr>
          <w:rFonts w:ascii="Times New Roman" w:eastAsia="Calibri" w:hAnsi="Times New Roman" w:cs="Times New Roman"/>
          <w:color w:val="000000"/>
          <w:sz w:val="24"/>
          <w:szCs w:val="24"/>
        </w:rPr>
        <w:t>ifferent methods (e.g., surveys, observations, teacher ratings, experience sampling, interviews) have been utilized to measure student engagement (Fredricks &amp; McColskey, 2012). Of all these different ways of collecting empirical data about student engagement, survey</w:t>
      </w:r>
      <w:r w:rsidRPr="0032506F">
        <w:rPr>
          <w:rFonts w:ascii="Times New Roman" w:eastAsia="Calibri" w:hAnsi="Times New Roman" w:cs="Times New Roman"/>
          <w:color w:val="000000"/>
          <w:sz w:val="24"/>
          <w:szCs w:val="24"/>
        </w:rPr>
        <w:t>s</w:t>
      </w:r>
      <w:r w:rsidR="0082746B" w:rsidRPr="0032506F">
        <w:rPr>
          <w:rFonts w:ascii="Times New Roman" w:eastAsia="Calibri" w:hAnsi="Times New Roman" w:cs="Times New Roman"/>
          <w:color w:val="000000"/>
          <w:sz w:val="24"/>
          <w:szCs w:val="24"/>
        </w:rPr>
        <w:t xml:space="preserve"> are </w:t>
      </w:r>
      <w:proofErr w:type="gramStart"/>
      <w:r w:rsidR="0082746B" w:rsidRPr="0032506F">
        <w:rPr>
          <w:rFonts w:ascii="Times New Roman" w:eastAsia="Calibri" w:hAnsi="Times New Roman" w:cs="Times New Roman"/>
          <w:color w:val="000000"/>
          <w:sz w:val="24"/>
          <w:szCs w:val="24"/>
        </w:rPr>
        <w:t>most common</w:t>
      </w:r>
      <w:r w:rsidR="009D43A0" w:rsidRPr="0032506F">
        <w:rPr>
          <w:rFonts w:ascii="Times New Roman" w:eastAsia="Calibri" w:hAnsi="Times New Roman" w:cs="Times New Roman"/>
          <w:color w:val="000000"/>
          <w:sz w:val="24"/>
          <w:szCs w:val="24"/>
        </w:rPr>
        <w:t>ly used</w:t>
      </w:r>
      <w:proofErr w:type="gramEnd"/>
      <w:r w:rsidR="0082746B" w:rsidRPr="0032506F">
        <w:rPr>
          <w:rFonts w:ascii="Times New Roman" w:eastAsia="Calibri" w:hAnsi="Times New Roman" w:cs="Times New Roman"/>
          <w:color w:val="000000"/>
          <w:sz w:val="24"/>
          <w:szCs w:val="24"/>
        </w:rPr>
        <w:t xml:space="preserve"> </w:t>
      </w:r>
      <w:r w:rsidR="009D43A0" w:rsidRPr="0032506F">
        <w:rPr>
          <w:rFonts w:ascii="Times New Roman" w:eastAsia="Calibri" w:hAnsi="Times New Roman" w:cs="Times New Roman"/>
          <w:color w:val="000000"/>
          <w:sz w:val="24"/>
          <w:szCs w:val="24"/>
        </w:rPr>
        <w:t xml:space="preserve">by </w:t>
      </w:r>
      <w:r w:rsidR="0082746B" w:rsidRPr="0032506F">
        <w:rPr>
          <w:rFonts w:ascii="Times New Roman" w:eastAsia="Calibri" w:hAnsi="Times New Roman" w:cs="Times New Roman"/>
          <w:color w:val="000000"/>
          <w:sz w:val="24"/>
          <w:szCs w:val="24"/>
        </w:rPr>
        <w:t xml:space="preserve">engagement researchers to measure student engagement (Almutairi &amp; White, 2018; Bond et al., 2020; Fredricks &amp; McColskey, 2012; Hoi &amp; Le Hang, 2021). The consensus is that self-report survey measures </w:t>
      </w:r>
      <w:r w:rsidR="0072443A" w:rsidRPr="0032506F">
        <w:rPr>
          <w:rFonts w:ascii="Times New Roman" w:eastAsia="Calibri" w:hAnsi="Times New Roman" w:cs="Times New Roman"/>
          <w:color w:val="000000"/>
          <w:sz w:val="24"/>
          <w:szCs w:val="24"/>
        </w:rPr>
        <w:t xml:space="preserve">should be the best method especially for the internal, </w:t>
      </w:r>
      <w:r w:rsidR="0082746B" w:rsidRPr="0032506F">
        <w:rPr>
          <w:rFonts w:ascii="Times New Roman" w:eastAsia="Calibri" w:hAnsi="Times New Roman" w:cs="Times New Roman"/>
          <w:color w:val="000000"/>
          <w:sz w:val="24"/>
          <w:szCs w:val="24"/>
        </w:rPr>
        <w:t xml:space="preserve">less observable dimensions of student engagement (i.e., </w:t>
      </w:r>
      <w:proofErr w:type="gramStart"/>
      <w:r w:rsidR="0082746B" w:rsidRPr="0032506F">
        <w:rPr>
          <w:rFonts w:ascii="Times New Roman" w:eastAsia="Calibri" w:hAnsi="Times New Roman" w:cs="Times New Roman"/>
          <w:color w:val="000000"/>
          <w:sz w:val="24"/>
          <w:szCs w:val="24"/>
        </w:rPr>
        <w:t>cognitive</w:t>
      </w:r>
      <w:proofErr w:type="gramEnd"/>
      <w:r w:rsidR="0082746B" w:rsidRPr="0032506F">
        <w:rPr>
          <w:rFonts w:ascii="Times New Roman" w:eastAsia="Calibri" w:hAnsi="Times New Roman" w:cs="Times New Roman"/>
          <w:color w:val="000000"/>
          <w:sz w:val="24"/>
          <w:szCs w:val="24"/>
        </w:rPr>
        <w:t xml:space="preserve"> and emotional engagement) (Henrie et al., 2015; Hoi &amp; Le Hang, 2021) because researchers would otherwise need to infer those dimensions of engagement from observable student behaviors rated by teachers or observers (Appleton et al., 2006; Fredricks, 2015). Fredricks and McColskey (2012) described </w:t>
      </w:r>
      <w:r w:rsidR="00CF5849" w:rsidRPr="0032506F">
        <w:rPr>
          <w:rFonts w:ascii="Times New Roman" w:eastAsia="Calibri" w:hAnsi="Times New Roman" w:cs="Times New Roman"/>
          <w:color w:val="000000"/>
          <w:sz w:val="24"/>
          <w:szCs w:val="24"/>
        </w:rPr>
        <w:t xml:space="preserve">eleven </w:t>
      </w:r>
      <w:r w:rsidR="0082746B" w:rsidRPr="0032506F">
        <w:rPr>
          <w:rFonts w:ascii="Times New Roman" w:eastAsia="Calibri" w:hAnsi="Times New Roman" w:cs="Times New Roman"/>
          <w:color w:val="000000"/>
          <w:sz w:val="24"/>
          <w:szCs w:val="24"/>
        </w:rPr>
        <w:t xml:space="preserve">self-report measures of student engagement, presenting a detailed comparative analysis of the measures with their subscales corresponding to behavioral, emotional, and cognitive dimensions of engagement (see Fredricks &amp; McColskey, 2012 for instruments). A careful examination indicates that “student engagement can be reliably measured through self-report methods” (Fredricks &amp; McColskey, 2012, p. </w:t>
      </w:r>
      <w:r w:rsidR="005A6ED5" w:rsidRPr="0032506F">
        <w:rPr>
          <w:rFonts w:ascii="Times New Roman" w:eastAsia="Calibri" w:hAnsi="Times New Roman" w:cs="Times New Roman"/>
          <w:color w:val="000000"/>
          <w:sz w:val="24"/>
          <w:szCs w:val="24"/>
        </w:rPr>
        <w:t>77</w:t>
      </w:r>
      <w:r w:rsidR="0082746B" w:rsidRPr="0032506F">
        <w:rPr>
          <w:rFonts w:ascii="Times New Roman" w:eastAsia="Calibri" w:hAnsi="Times New Roman" w:cs="Times New Roman"/>
          <w:color w:val="000000"/>
          <w:sz w:val="24"/>
          <w:szCs w:val="24"/>
        </w:rPr>
        <w:t xml:space="preserve">7). </w:t>
      </w:r>
    </w:p>
    <w:p w14:paraId="4667E692" w14:textId="40D40D60"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sz w:val="24"/>
          <w:szCs w:val="24"/>
        </w:rPr>
        <w:t>Measuring Behavioral Engagement.</w:t>
      </w:r>
      <w:r w:rsidRPr="0032506F">
        <w:rPr>
          <w:rFonts w:ascii="Times New Roman" w:eastAsia="Calibri" w:hAnsi="Times New Roman" w:cs="Times New Roman"/>
          <w:b/>
          <w:bCs/>
          <w:color w:val="000000"/>
          <w:sz w:val="24"/>
          <w:szCs w:val="24"/>
        </w:rPr>
        <w:t xml:space="preserve"> </w:t>
      </w:r>
      <w:r w:rsidRPr="0032506F">
        <w:rPr>
          <w:rFonts w:ascii="Times New Roman" w:eastAsia="Calibri" w:hAnsi="Times New Roman" w:cs="Times New Roman"/>
          <w:color w:val="000000"/>
          <w:sz w:val="24"/>
          <w:szCs w:val="24"/>
        </w:rPr>
        <w:t xml:space="preserve">Researchers using self-report survey scales have operationalized </w:t>
      </w:r>
      <w:r w:rsidR="00C66641" w:rsidRPr="0032506F">
        <w:rPr>
          <w:rFonts w:ascii="Times New Roman" w:eastAsia="Calibri" w:hAnsi="Times New Roman" w:cs="Times New Roman"/>
          <w:color w:val="000000"/>
          <w:sz w:val="24"/>
          <w:szCs w:val="24"/>
        </w:rPr>
        <w:t>behavioral engagement</w:t>
      </w:r>
      <w:r w:rsidRPr="0032506F">
        <w:rPr>
          <w:rFonts w:ascii="Times New Roman" w:eastAsia="Calibri" w:hAnsi="Times New Roman" w:cs="Times New Roman"/>
          <w:color w:val="000000"/>
          <w:sz w:val="24"/>
          <w:szCs w:val="24"/>
        </w:rPr>
        <w:t xml:space="preserve"> by focusing on various indicators such as attendance, compliance with classroom and school rules, time spent doing homework and studying, student effort, persistence, attention and concentration, initiative or self-directed learning behavior, and classroom participation exhibited by students during the process of academic learning as well as participation in school-level academic and non-academic activities  (Fredricks &amp; McColskey, 2012; Sinatra et al., 2015). </w:t>
      </w:r>
    </w:p>
    <w:p w14:paraId="1B055BC3" w14:textId="7980E4FA"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lastRenderedPageBreak/>
        <w:t>Different scales have been developed to date and used for the purpose of measuring behavioral engagement in the research literature (Fredricks et al., 2005)</w:t>
      </w:r>
      <w:r w:rsidR="00AB3950" w:rsidRPr="0032506F">
        <w:rPr>
          <w:rFonts w:ascii="Times New Roman" w:eastAsia="Calibri" w:hAnsi="Times New Roman" w:cs="Times New Roman"/>
          <w:color w:val="000000"/>
          <w:sz w:val="24"/>
          <w:szCs w:val="24"/>
        </w:rPr>
        <w:t xml:space="preserve"> (e.g., </w:t>
      </w:r>
      <w:r w:rsidRPr="0032506F">
        <w:rPr>
          <w:rFonts w:ascii="Times New Roman" w:eastAsia="Calibri" w:hAnsi="Times New Roman" w:cs="Times New Roman"/>
          <w:color w:val="000000"/>
          <w:sz w:val="24"/>
          <w:szCs w:val="24"/>
        </w:rPr>
        <w:t>The Rochester Assessment Package for Schools,</w:t>
      </w:r>
      <w:r w:rsidR="00AB3950"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the RAPS</w:t>
      </w:r>
      <w:r w:rsidR="00F364C7">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Wellborn &amp; Connell, 1987</w:t>
      </w:r>
      <w:r w:rsidR="00AB3950"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the Rochester Assessment of Intellectual</w:t>
      </w:r>
      <w:r w:rsidRPr="0032506F">
        <w:rPr>
          <w:rFonts w:ascii="Times New Roman" w:eastAsia="Calibri" w:hAnsi="Times New Roman" w:cs="Times New Roman"/>
          <w:b/>
          <w:bCs/>
          <w:color w:val="000000"/>
          <w:sz w:val="24"/>
          <w:szCs w:val="24"/>
        </w:rPr>
        <w:t xml:space="preserve"> </w:t>
      </w:r>
      <w:r w:rsidRPr="0032506F">
        <w:rPr>
          <w:rFonts w:ascii="Times New Roman" w:eastAsia="Calibri" w:hAnsi="Times New Roman" w:cs="Times New Roman"/>
          <w:color w:val="000000"/>
          <w:sz w:val="24"/>
          <w:szCs w:val="24"/>
        </w:rPr>
        <w:t>and Social Engagement</w:t>
      </w:r>
      <w:r w:rsidR="00F364C7">
        <w:rPr>
          <w:rFonts w:ascii="Times New Roman" w:eastAsia="Calibri" w:hAnsi="Times New Roman" w:cs="Times New Roman"/>
          <w:color w:val="000000"/>
          <w:sz w:val="24"/>
          <w:szCs w:val="24"/>
        </w:rPr>
        <w:t xml:space="preserve">, the </w:t>
      </w:r>
      <w:r w:rsidRPr="0032506F">
        <w:rPr>
          <w:rFonts w:ascii="Times New Roman" w:eastAsia="Calibri" w:hAnsi="Times New Roman" w:cs="Times New Roman"/>
          <w:color w:val="000000"/>
          <w:sz w:val="24"/>
          <w:szCs w:val="24"/>
        </w:rPr>
        <w:t>RAISE</w:t>
      </w:r>
      <w:r w:rsidR="00F364C7">
        <w:rPr>
          <w:rFonts w:ascii="Times New Roman" w:eastAsia="Calibri" w:hAnsi="Times New Roman" w:cs="Times New Roman"/>
          <w:color w:val="000000"/>
          <w:sz w:val="24"/>
          <w:szCs w:val="24"/>
        </w:rPr>
        <w:t>,</w:t>
      </w:r>
      <w:r w:rsidR="00792D2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Miserandino, 1996; the Teacher Rating Scale of School Adjustment</w:t>
      </w:r>
      <w:r w:rsidR="00F364C7">
        <w:rPr>
          <w:rFonts w:ascii="Times New Roman" w:eastAsia="Calibri" w:hAnsi="Times New Roman" w:cs="Times New Roman"/>
          <w:color w:val="000000"/>
          <w:sz w:val="24"/>
          <w:szCs w:val="24"/>
        </w:rPr>
        <w:t xml:space="preserve">, the </w:t>
      </w:r>
      <w:r w:rsidRPr="0032506F">
        <w:rPr>
          <w:rFonts w:ascii="Times New Roman" w:eastAsia="Calibri" w:hAnsi="Times New Roman" w:cs="Times New Roman"/>
          <w:color w:val="000000"/>
          <w:sz w:val="24"/>
          <w:szCs w:val="24"/>
        </w:rPr>
        <w:t>TRSSA</w:t>
      </w:r>
      <w:r w:rsidR="00792D2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Birch &amp; Ladd, 1997; and the National Educational Longitudinal Study</w:t>
      </w:r>
      <w:r w:rsidR="00F364C7">
        <w:rPr>
          <w:rFonts w:ascii="Times New Roman" w:eastAsia="Calibri" w:hAnsi="Times New Roman" w:cs="Times New Roman"/>
          <w:color w:val="000000"/>
          <w:sz w:val="24"/>
          <w:szCs w:val="24"/>
        </w:rPr>
        <w:t xml:space="preserve">, the </w:t>
      </w:r>
      <w:r w:rsidRPr="0032506F">
        <w:rPr>
          <w:rFonts w:ascii="Times New Roman" w:eastAsia="Calibri" w:hAnsi="Times New Roman" w:cs="Times New Roman"/>
          <w:color w:val="000000"/>
          <w:sz w:val="24"/>
          <w:szCs w:val="24"/>
        </w:rPr>
        <w:t>NELS</w:t>
      </w:r>
      <w:r w:rsidR="00F364C7">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as a nationwide representative dataset</w:t>
      </w:r>
      <w:r w:rsidR="00792D23" w:rsidRPr="0032506F">
        <w:rPr>
          <w:rFonts w:ascii="Times New Roman" w:eastAsia="Times New Roman"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Glanville &amp; Wildhagen, 2007)</w:t>
      </w:r>
      <w:r w:rsidR="00792D23" w:rsidRPr="0032506F">
        <w:rPr>
          <w:rFonts w:ascii="Times New Roman" w:eastAsia="Calibri" w:hAnsi="Times New Roman" w:cs="Times New Roman"/>
          <w:color w:val="000000"/>
          <w:sz w:val="24"/>
          <w:szCs w:val="24"/>
        </w:rPr>
        <w:t xml:space="preserve">. </w:t>
      </w:r>
    </w:p>
    <w:p w14:paraId="315D85BB" w14:textId="77CBF925"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Fredricks et al. (2005) constructed and validated a</w:t>
      </w:r>
      <w:r w:rsidR="00BD3B7D"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self-report survey measure of engagement based on the previous measures of student engagement (e.g., Finn et al., 1995; Wellborn &amp; Connell, 1987) </w:t>
      </w:r>
      <w:proofErr w:type="gramStart"/>
      <w:r w:rsidRPr="0032506F">
        <w:rPr>
          <w:rFonts w:ascii="Times New Roman" w:eastAsia="Calibri" w:hAnsi="Times New Roman" w:cs="Times New Roman"/>
          <w:color w:val="000000"/>
          <w:sz w:val="24"/>
          <w:szCs w:val="24"/>
        </w:rPr>
        <w:t>and also</w:t>
      </w:r>
      <w:proofErr w:type="gramEnd"/>
      <w:r w:rsidRPr="0032506F">
        <w:rPr>
          <w:rFonts w:ascii="Times New Roman" w:eastAsia="Calibri" w:hAnsi="Times New Roman" w:cs="Times New Roman"/>
          <w:color w:val="000000"/>
          <w:sz w:val="24"/>
          <w:szCs w:val="24"/>
        </w:rPr>
        <w:t xml:space="preserve"> used teacher ratings of students’ behavioral engagement as well as the other dimensions of student engagement. To operationalize and measure behavioral engagement in these self-report survey measures and teacher ratings, Fredricks et al. (2005) used such indicators as effort, completion of schoolwork, attention, and compliance with school rules, and assessed self-reported behavioral engagement</w:t>
      </w:r>
      <w:r w:rsidR="00EC60AF" w:rsidRPr="0032506F">
        <w:rPr>
          <w:rFonts w:ascii="Times New Roman" w:eastAsia="Calibri" w:hAnsi="Times New Roman" w:cs="Times New Roman"/>
          <w:color w:val="000000"/>
          <w:sz w:val="24"/>
          <w:szCs w:val="24"/>
        </w:rPr>
        <w:t>. For example,</w:t>
      </w:r>
      <w:r w:rsidR="00027549" w:rsidRPr="0032506F">
        <w:rPr>
          <w:rFonts w:ascii="Times New Roman" w:eastAsia="Calibri" w:hAnsi="Times New Roman" w:cs="Times New Roman"/>
          <w:color w:val="000000"/>
          <w:sz w:val="24"/>
          <w:szCs w:val="24"/>
        </w:rPr>
        <w:t xml:space="preserve"> they used </w:t>
      </w:r>
      <w:r w:rsidR="00193897" w:rsidRPr="0032506F">
        <w:rPr>
          <w:rFonts w:ascii="Times New Roman" w:eastAsia="Calibri" w:hAnsi="Times New Roman" w:cs="Times New Roman"/>
          <w:color w:val="000000"/>
          <w:sz w:val="24"/>
          <w:szCs w:val="24"/>
        </w:rPr>
        <w:t>items</w:t>
      </w:r>
      <w:r w:rsidRPr="0032506F">
        <w:rPr>
          <w:rFonts w:ascii="Times New Roman" w:eastAsia="Calibri" w:hAnsi="Times New Roman" w:cs="Times New Roman"/>
          <w:color w:val="000000"/>
          <w:sz w:val="24"/>
          <w:szCs w:val="24"/>
        </w:rPr>
        <w:t xml:space="preserve"> “I follow the rules at school,” “I pay attention in class,” and “I complete my work on time.”</w:t>
      </w:r>
      <w:r w:rsidR="00BD3B7D" w:rsidRPr="0032506F">
        <w:rPr>
          <w:rFonts w:ascii="Times New Roman" w:eastAsia="Calibri" w:hAnsi="Times New Roman" w:cs="Times New Roman"/>
          <w:color w:val="000000"/>
          <w:sz w:val="24"/>
          <w:szCs w:val="24"/>
        </w:rPr>
        <w:t xml:space="preserve"> Similar other measures were also developed </w:t>
      </w:r>
      <w:r w:rsidR="00FB5EE6" w:rsidRPr="0032506F">
        <w:rPr>
          <w:rFonts w:ascii="Times New Roman" w:eastAsia="Calibri" w:hAnsi="Times New Roman" w:cs="Times New Roman"/>
          <w:color w:val="000000"/>
          <w:sz w:val="24"/>
          <w:szCs w:val="24"/>
        </w:rPr>
        <w:t>and</w:t>
      </w:r>
      <w:r w:rsidR="00BD3B7D" w:rsidRPr="0032506F">
        <w:rPr>
          <w:rFonts w:ascii="Times New Roman" w:eastAsia="Calibri" w:hAnsi="Times New Roman" w:cs="Times New Roman"/>
          <w:color w:val="000000"/>
          <w:sz w:val="24"/>
          <w:szCs w:val="24"/>
        </w:rPr>
        <w:t xml:space="preserve"> used by researchers in the relevant literature (</w:t>
      </w:r>
      <w:r w:rsidR="008C1D91" w:rsidRPr="0032506F">
        <w:rPr>
          <w:rFonts w:ascii="Times New Roman" w:eastAsia="Calibri" w:hAnsi="Times New Roman" w:cs="Times New Roman"/>
          <w:color w:val="000000"/>
          <w:sz w:val="24"/>
          <w:szCs w:val="24"/>
        </w:rPr>
        <w:t xml:space="preserve">e.g., </w:t>
      </w:r>
      <w:r w:rsidRPr="0032506F">
        <w:rPr>
          <w:rFonts w:ascii="Times New Roman" w:eastAsia="Calibri" w:hAnsi="Times New Roman" w:cs="Times New Roman"/>
          <w:color w:val="000000"/>
          <w:sz w:val="24"/>
          <w:szCs w:val="24"/>
        </w:rPr>
        <w:t>Reeve</w:t>
      </w:r>
      <w:r w:rsidR="00BD3B7D"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2013</w:t>
      </w:r>
      <w:r w:rsidR="00BD3B7D"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Several other self-report survey measures have also been used by </w:t>
      </w:r>
      <w:r w:rsidR="00872DB6" w:rsidRPr="0032506F">
        <w:rPr>
          <w:rFonts w:ascii="Times New Roman" w:eastAsia="Calibri" w:hAnsi="Times New Roman" w:cs="Times New Roman"/>
          <w:color w:val="000000"/>
          <w:sz w:val="24"/>
          <w:szCs w:val="24"/>
        </w:rPr>
        <w:t xml:space="preserve">other </w:t>
      </w:r>
      <w:r w:rsidRPr="0032506F">
        <w:rPr>
          <w:rFonts w:ascii="Times New Roman" w:eastAsia="Calibri" w:hAnsi="Times New Roman" w:cs="Times New Roman"/>
          <w:color w:val="000000"/>
          <w:sz w:val="24"/>
          <w:szCs w:val="24"/>
        </w:rPr>
        <w:t xml:space="preserve">researchers to operationalize and assess students’ behavioral engagement under different subscales using different indicators of behavioral engagement (e.g., High School Survey of Student Engagement, Motivation and Engagement Scale) (see Fredricks &amp; McColskey, 2012 for scales). </w:t>
      </w:r>
    </w:p>
    <w:p w14:paraId="0FD08F3B" w14:textId="6721FC85"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i/>
          <w:iCs/>
          <w:sz w:val="24"/>
          <w:szCs w:val="24"/>
        </w:rPr>
        <w:t>Limitations</w:t>
      </w:r>
      <w:r w:rsidRPr="0032506F">
        <w:rPr>
          <w:rFonts w:ascii="Times New Roman" w:eastAsia="Calibri" w:hAnsi="Times New Roman" w:cs="Times New Roman"/>
          <w:color w:val="000000"/>
          <w:sz w:val="24"/>
          <w:szCs w:val="24"/>
        </w:rPr>
        <w:t xml:space="preserve">. The first limitation </w:t>
      </w:r>
      <w:r w:rsidR="008C1D91" w:rsidRPr="0032506F">
        <w:rPr>
          <w:rFonts w:ascii="Times New Roman" w:eastAsia="Calibri" w:hAnsi="Times New Roman" w:cs="Times New Roman"/>
          <w:color w:val="000000"/>
          <w:sz w:val="24"/>
          <w:szCs w:val="24"/>
        </w:rPr>
        <w:t>emanates from</w:t>
      </w:r>
      <w:r w:rsidRPr="0032506F">
        <w:rPr>
          <w:rFonts w:ascii="Times New Roman" w:eastAsia="Calibri" w:hAnsi="Times New Roman" w:cs="Times New Roman"/>
          <w:color w:val="000000"/>
          <w:sz w:val="24"/>
          <w:szCs w:val="24"/>
        </w:rPr>
        <w:t xml:space="preserve"> researchers merging varying levels of behavioral indicators in their operationalization and measurement of behavioral engagement, ranging from compliance with school rules to participation in extracurricular activities to self-</w:t>
      </w:r>
      <w:r w:rsidRPr="0032506F">
        <w:rPr>
          <w:rFonts w:ascii="Times New Roman" w:eastAsia="Calibri" w:hAnsi="Times New Roman" w:cs="Times New Roman"/>
          <w:color w:val="000000"/>
          <w:sz w:val="24"/>
          <w:szCs w:val="24"/>
        </w:rPr>
        <w:lastRenderedPageBreak/>
        <w:t>directed autonomous behavior and participation in classroom learning activities. For example, in their seminal scale of student engagement adapted and used by many researchers to date, Fredricks et al. (2005) used both school-level positive conduct (e.g., “I follow the rules at school”) and classroom-level student behavior (e.g., “I pay attention in class”) as the indicators of behavioral engagement. Most recently, Fletcher et al. (2020) used indicators of both academic student behavior (e.g., “Studying for tests or quizzes”) and extra-curricular non-academic student behavior (e.g., “I go to school to participate in athletics”) to measure behavioral engagement. When researchers combine such differential indicators</w:t>
      </w:r>
      <w:r w:rsidR="008C1D91"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their findings might be quite difficult, if not impossible, to interpret or compare across studies of behavioral engagement since their reported behavioral engagement would mean something different across studies due to such different operationalizations and measures (Fredricks &amp; McColskey, 2012). The second limitation is concerned with the extraction of items from large databases (e.g., NELS) without having a strong conceptual or theoretical foundation, which further adds to the lack of clarity in definitions and conceptualizations of student engagement and its different subdimensions (Appleton et al., 2006; Henrie et al., 2015). </w:t>
      </w:r>
      <w:bookmarkStart w:id="35" w:name="_Hlk61542037"/>
    </w:p>
    <w:bookmarkEnd w:id="35"/>
    <w:p w14:paraId="4F137AE9" w14:textId="1DE172BB" w:rsidR="0082746B" w:rsidRPr="0032506F" w:rsidRDefault="0082746B" w:rsidP="0082746B">
      <w:pPr>
        <w:spacing w:after="0" w:line="480" w:lineRule="auto"/>
        <w:ind w:firstLine="720"/>
        <w:rPr>
          <w:rFonts w:ascii="Times New Roman" w:eastAsia="Calibri" w:hAnsi="Times New Roman" w:cs="Times New Roman"/>
          <w:b/>
          <w:bCs/>
          <w:color w:val="000000"/>
          <w:sz w:val="24"/>
          <w:szCs w:val="24"/>
        </w:rPr>
      </w:pPr>
      <w:r w:rsidRPr="0032506F">
        <w:rPr>
          <w:rFonts w:ascii="Times New Roman" w:eastAsiaTheme="majorEastAsia" w:hAnsi="Times New Roman" w:cs="Times New Roman"/>
          <w:b/>
          <w:bCs/>
          <w:sz w:val="24"/>
          <w:szCs w:val="24"/>
        </w:rPr>
        <w:t>Measuring Emotional Engagement and Limitations.</w:t>
      </w:r>
      <w:r w:rsidRPr="0032506F">
        <w:rPr>
          <w:rFonts w:ascii="Times New Roman" w:eastAsia="Calibri" w:hAnsi="Times New Roman" w:cs="Times New Roman"/>
          <w:b/>
          <w:bCs/>
          <w:sz w:val="28"/>
          <w:szCs w:val="28"/>
        </w:rPr>
        <w:t xml:space="preserve"> </w:t>
      </w:r>
      <w:r w:rsidRPr="0032506F">
        <w:rPr>
          <w:rFonts w:ascii="Times New Roman" w:eastAsia="Calibri" w:hAnsi="Times New Roman" w:cs="Times New Roman"/>
          <w:color w:val="000000"/>
          <w:sz w:val="24"/>
          <w:szCs w:val="24"/>
        </w:rPr>
        <w:t>Emotional engagement has also been operationalized and measured in different ways (Fredricks et al., 2004). Some researchers have operationalized it with students’ positive and negative emotions during learning experiences used as indicators of their emotional engagement in academic work and learning (e.g., enjoyment, boredom), while others have assessed students’ sense of belonging to school</w:t>
      </w:r>
      <w:r w:rsidR="00C07E7A"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relationships with significant others (i.e., teachers, peers), identification with school, perceptions of valuing school and educational outcomes, and overall student attitudes about schooling and </w:t>
      </w:r>
      <w:r w:rsidRPr="0032506F">
        <w:rPr>
          <w:rFonts w:ascii="Times New Roman" w:eastAsia="Calibri" w:hAnsi="Times New Roman" w:cs="Times New Roman"/>
          <w:color w:val="000000"/>
          <w:sz w:val="24"/>
          <w:szCs w:val="24"/>
        </w:rPr>
        <w:lastRenderedPageBreak/>
        <w:t xml:space="preserve">academic learning (Finn, 1993; Fredricks et al., 2004; </w:t>
      </w:r>
      <w:r w:rsidR="003623FB" w:rsidRPr="0032506F">
        <w:rPr>
          <w:rFonts w:ascii="Times New Roman" w:eastAsia="Calibri" w:hAnsi="Times New Roman" w:cs="Times New Roman"/>
          <w:color w:val="000000"/>
          <w:sz w:val="24"/>
          <w:szCs w:val="24"/>
        </w:rPr>
        <w:t>Fredricks &amp; McColskey</w:t>
      </w:r>
      <w:r w:rsidR="00417D68" w:rsidRPr="0032506F">
        <w:rPr>
          <w:rFonts w:ascii="Times New Roman" w:eastAsia="Calibri" w:hAnsi="Times New Roman" w:cs="Times New Roman"/>
          <w:color w:val="000000"/>
          <w:sz w:val="24"/>
          <w:szCs w:val="24"/>
        </w:rPr>
        <w:t xml:space="preserve">, 2012; </w:t>
      </w:r>
      <w:r w:rsidRPr="0032506F">
        <w:rPr>
          <w:rFonts w:ascii="Times New Roman" w:eastAsia="Calibri" w:hAnsi="Times New Roman" w:cs="Times New Roman"/>
          <w:color w:val="000000"/>
          <w:sz w:val="24"/>
          <w:szCs w:val="24"/>
        </w:rPr>
        <w:t>Sinatra et al., 2015).</w:t>
      </w:r>
      <w:r w:rsidR="00417D68"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  </w:t>
      </w:r>
    </w:p>
    <w:p w14:paraId="0765322A" w14:textId="5630A970" w:rsidR="0082746B" w:rsidRPr="0032506F" w:rsidRDefault="0082746B" w:rsidP="00C4058E">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i/>
          <w:iCs/>
          <w:sz w:val="24"/>
          <w:szCs w:val="24"/>
        </w:rPr>
        <w:t>Measures.</w:t>
      </w:r>
      <w:r w:rsidRPr="0032506F">
        <w:rPr>
          <w:rFonts w:ascii="Times New Roman" w:eastAsia="Calibri" w:hAnsi="Times New Roman" w:cs="Times New Roman"/>
          <w:color w:val="000000"/>
          <w:sz w:val="24"/>
          <w:szCs w:val="24"/>
        </w:rPr>
        <w:t xml:space="preserve"> Self-report survey measures have also been employed widely by engagement researchers to operationalize and measure students’ emotional engagement</w:t>
      </w:r>
      <w:r w:rsidR="006E5519" w:rsidRPr="0032506F">
        <w:rPr>
          <w:rFonts w:ascii="Times New Roman" w:eastAsia="Calibri" w:hAnsi="Times New Roman" w:cs="Times New Roman"/>
          <w:color w:val="000000"/>
          <w:sz w:val="24"/>
          <w:szCs w:val="24"/>
        </w:rPr>
        <w:t xml:space="preserve"> </w:t>
      </w:r>
      <w:r w:rsidR="00E23A16" w:rsidRPr="0032506F">
        <w:rPr>
          <w:rFonts w:ascii="Times New Roman" w:eastAsia="Calibri" w:hAnsi="Times New Roman" w:cs="Times New Roman"/>
          <w:color w:val="000000"/>
          <w:sz w:val="24"/>
          <w:szCs w:val="24"/>
        </w:rPr>
        <w:t xml:space="preserve">(e.g., </w:t>
      </w:r>
      <w:r w:rsidRPr="0032506F">
        <w:rPr>
          <w:rFonts w:ascii="Times New Roman" w:eastAsia="Calibri" w:hAnsi="Times New Roman" w:cs="Times New Roman"/>
          <w:color w:val="000000"/>
          <w:sz w:val="24"/>
          <w:szCs w:val="24"/>
        </w:rPr>
        <w:t>the RAPS</w:t>
      </w:r>
      <w:r w:rsidR="00E23A16" w:rsidRPr="0032506F">
        <w:rPr>
          <w:rFonts w:ascii="Times New Roman" w:eastAsia="Calibri" w:hAnsi="Times New Roman" w:cs="Times New Roman"/>
          <w:color w:val="000000"/>
          <w:sz w:val="24"/>
          <w:szCs w:val="24"/>
        </w:rPr>
        <w:t xml:space="preserve">, </w:t>
      </w:r>
      <w:r w:rsidR="006E5519" w:rsidRPr="0032506F">
        <w:rPr>
          <w:rFonts w:ascii="Times New Roman" w:eastAsia="Calibri" w:hAnsi="Times New Roman" w:cs="Times New Roman"/>
          <w:color w:val="000000"/>
          <w:sz w:val="24"/>
          <w:szCs w:val="24"/>
        </w:rPr>
        <w:t xml:space="preserve">Connell &amp; Wellborn, 1991; </w:t>
      </w:r>
      <w:r w:rsidRPr="0032506F">
        <w:rPr>
          <w:rFonts w:ascii="Times New Roman" w:eastAsia="Calibri" w:hAnsi="Times New Roman" w:cs="Times New Roman"/>
          <w:color w:val="000000"/>
          <w:sz w:val="24"/>
          <w:szCs w:val="24"/>
        </w:rPr>
        <w:t>Wellborn &amp; Connell, 1987</w:t>
      </w:r>
      <w:r w:rsidR="006E5519" w:rsidRPr="0032506F">
        <w:rPr>
          <w:rFonts w:ascii="Times New Roman" w:eastAsia="Calibri" w:hAnsi="Times New Roman" w:cs="Times New Roman"/>
          <w:color w:val="000000"/>
          <w:sz w:val="24"/>
          <w:szCs w:val="24"/>
        </w:rPr>
        <w:t xml:space="preserve">; the RAISE, Miserandino, 1996). </w:t>
      </w:r>
      <w:r w:rsidRPr="0032506F">
        <w:rPr>
          <w:rFonts w:ascii="Times New Roman" w:eastAsia="Calibri" w:hAnsi="Times New Roman" w:cs="Times New Roman"/>
          <w:color w:val="000000"/>
          <w:sz w:val="24"/>
          <w:szCs w:val="24"/>
        </w:rPr>
        <w:t>Furrer and Skinner (2003) used both teacher ratings and student self-reports of their emotional engagement by operationalizing it with such emotional indicators as positive and negative emotions during classroom learning experiences in the classroom (e.g., interest, frustration).</w:t>
      </w:r>
      <w:r w:rsidR="00C4058E" w:rsidRPr="0032506F">
        <w:rPr>
          <w:rFonts w:ascii="Times New Roman" w:eastAsia="Calibri" w:hAnsi="Times New Roman" w:cs="Times New Roman"/>
          <w:color w:val="000000"/>
          <w:sz w:val="24"/>
          <w:szCs w:val="24"/>
        </w:rPr>
        <w:t xml:space="preserve"> I</w:t>
      </w:r>
      <w:r w:rsidRPr="0032506F">
        <w:rPr>
          <w:rFonts w:ascii="Times New Roman" w:eastAsia="Calibri" w:hAnsi="Times New Roman" w:cs="Times New Roman"/>
          <w:color w:val="000000"/>
          <w:sz w:val="24"/>
          <w:szCs w:val="24"/>
        </w:rPr>
        <w:t xml:space="preserve">n their tripartite conceptualization of student engagement, Fredricks et al. (2005) used both student self-reports and teacher ratings to measure students’ emotional engagement. Their operationalization of emotional engagement included indicators of both students’ overall attitudes about school (e.g., “I like being at school”) and their positive/negative emotions about schoolwork (e.g., “I feel excited by my work at school”). </w:t>
      </w:r>
      <w:proofErr w:type="gramStart"/>
      <w:r w:rsidRPr="0032506F">
        <w:rPr>
          <w:rFonts w:ascii="Times New Roman" w:eastAsia="Calibri" w:hAnsi="Times New Roman" w:cs="Times New Roman"/>
          <w:color w:val="000000"/>
          <w:sz w:val="24"/>
          <w:szCs w:val="24"/>
        </w:rPr>
        <w:t>Similar to</w:t>
      </w:r>
      <w:proofErr w:type="gramEnd"/>
      <w:r w:rsidRPr="0032506F">
        <w:rPr>
          <w:rFonts w:ascii="Times New Roman" w:eastAsia="Calibri" w:hAnsi="Times New Roman" w:cs="Times New Roman"/>
          <w:color w:val="000000"/>
          <w:sz w:val="24"/>
          <w:szCs w:val="24"/>
        </w:rPr>
        <w:t xml:space="preserve"> Fredricks et al.’s (2005) use of individual emotional reactions to operationalize and measure students’ emotional engagement, several other leading engagement researchers in the literature have also used such emotions or emotional reactions (e.g., enjoyment, interest, curiosity, happiness, enthusiasm) as the indicators of emotional engagement rated by students’ self-reports and/or teacher ratings (e.g., Reeve, 2013; Reeve &amp; Tseng, 2011; Skinner et al., 2009).</w:t>
      </w:r>
      <w:r w:rsidR="004A73CD"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Students’ emotional engagement was also measured in the form of students’ sense of belonging, identification with their schools and teachers, peer relationships, </w:t>
      </w:r>
      <w:proofErr w:type="gramStart"/>
      <w:r w:rsidRPr="0032506F">
        <w:rPr>
          <w:rFonts w:ascii="Times New Roman" w:eastAsia="Calibri" w:hAnsi="Times New Roman" w:cs="Times New Roman"/>
          <w:color w:val="000000"/>
          <w:sz w:val="24"/>
          <w:szCs w:val="24"/>
        </w:rPr>
        <w:t>and also</w:t>
      </w:r>
      <w:proofErr w:type="gramEnd"/>
      <w:r w:rsidRPr="0032506F">
        <w:rPr>
          <w:rFonts w:ascii="Times New Roman" w:eastAsia="Calibri" w:hAnsi="Times New Roman" w:cs="Times New Roman"/>
          <w:color w:val="000000"/>
          <w:sz w:val="24"/>
          <w:szCs w:val="24"/>
        </w:rPr>
        <w:t xml:space="preserve"> utility value perceptions</w:t>
      </w:r>
      <w:r w:rsidR="00C4058E" w:rsidRPr="0032506F">
        <w:rPr>
          <w:rFonts w:ascii="Times New Roman" w:eastAsia="Calibri" w:hAnsi="Times New Roman" w:cs="Times New Roman"/>
          <w:color w:val="000000"/>
          <w:sz w:val="24"/>
          <w:szCs w:val="24"/>
        </w:rPr>
        <w:t xml:space="preserve"> (e.g., the NELS, </w:t>
      </w:r>
      <w:r w:rsidRPr="0032506F">
        <w:rPr>
          <w:rFonts w:ascii="Times New Roman" w:eastAsia="Calibri" w:hAnsi="Times New Roman" w:cs="Times New Roman"/>
          <w:color w:val="000000"/>
          <w:sz w:val="24"/>
          <w:szCs w:val="24"/>
        </w:rPr>
        <w:t>Finn</w:t>
      </w:r>
      <w:r w:rsidR="00C4058E"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1993) </w:t>
      </w:r>
    </w:p>
    <w:p w14:paraId="65716398" w14:textId="73EAF32F"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i/>
          <w:iCs/>
          <w:sz w:val="24"/>
          <w:szCs w:val="24"/>
        </w:rPr>
        <w:t>Limitations.</w:t>
      </w:r>
      <w:r w:rsidRPr="0032506F">
        <w:rPr>
          <w:rFonts w:ascii="Times New Roman" w:eastAsia="Calibri" w:hAnsi="Times New Roman" w:cs="Times New Roman"/>
          <w:color w:val="000000"/>
          <w:sz w:val="24"/>
          <w:szCs w:val="24"/>
        </w:rPr>
        <w:t xml:space="preserve"> The first limitation, which is </w:t>
      </w:r>
      <w:proofErr w:type="gramStart"/>
      <w:r w:rsidRPr="0032506F">
        <w:rPr>
          <w:rFonts w:ascii="Times New Roman" w:eastAsia="Calibri" w:hAnsi="Times New Roman" w:cs="Times New Roman"/>
          <w:color w:val="000000"/>
          <w:sz w:val="24"/>
          <w:szCs w:val="24"/>
        </w:rPr>
        <w:t>actually a</w:t>
      </w:r>
      <w:proofErr w:type="gramEnd"/>
      <w:r w:rsidRPr="0032506F">
        <w:rPr>
          <w:rFonts w:ascii="Times New Roman" w:eastAsia="Calibri" w:hAnsi="Times New Roman" w:cs="Times New Roman"/>
          <w:color w:val="000000"/>
          <w:sz w:val="24"/>
          <w:szCs w:val="24"/>
        </w:rPr>
        <w:t xml:space="preserve"> common limitation across engagement scales, is that most of the items are worded too broadly (e.g., “I like being at school” and “Teachers care about me”) rather than specifying emotional engagement regarding specific </w:t>
      </w:r>
      <w:r w:rsidRPr="0032506F">
        <w:rPr>
          <w:rFonts w:ascii="Times New Roman" w:eastAsia="Calibri" w:hAnsi="Times New Roman" w:cs="Times New Roman"/>
          <w:color w:val="000000"/>
          <w:sz w:val="24"/>
          <w:szCs w:val="24"/>
        </w:rPr>
        <w:lastRenderedPageBreak/>
        <w:t>activities, tasks, or situations (Fredricks &amp; McColskey</w:t>
      </w:r>
      <w:r w:rsidR="007C6FBD"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2012). Another major limitation is that indicators associated with different constructs other than emotional engagement are all merged under the scale purported to measure emotional engagement. For example, students’ sense of belonging with teachers, peer relationships, identification with school, and utility value are all distinct constructs (e.g., basic psychological need for relatedness in Self-Determination Theory</w:t>
      </w:r>
      <w:r w:rsidR="007D000A"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in the motivation literature. However, some engagement researchers have combined and used such distinct constructs as indicators of emotional engagement</w:t>
      </w:r>
      <w:r w:rsidR="00BB3CFF" w:rsidRPr="0032506F">
        <w:rPr>
          <w:rFonts w:ascii="Times New Roman" w:eastAsia="Calibri" w:hAnsi="Times New Roman" w:cs="Times New Roman"/>
          <w:color w:val="000000"/>
          <w:sz w:val="24"/>
          <w:szCs w:val="24"/>
        </w:rPr>
        <w:t xml:space="preserve"> (e.g., Ding et al</w:t>
      </w:r>
      <w:r w:rsidRPr="0032506F">
        <w:rPr>
          <w:rFonts w:ascii="Times New Roman" w:eastAsia="Calibri" w:hAnsi="Times New Roman" w:cs="Times New Roman"/>
          <w:color w:val="000000"/>
          <w:sz w:val="24"/>
          <w:szCs w:val="24"/>
        </w:rPr>
        <w:t>.</w:t>
      </w:r>
      <w:r w:rsidR="00BB3CFF"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2017</w:t>
      </w:r>
      <w:r w:rsidR="00C443DA"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Xu et al.</w:t>
      </w:r>
      <w:r w:rsidR="00C443DA"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2020)</w:t>
      </w:r>
      <w:r w:rsidR="00C443DA"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When the construct of emotional engagement is operationalized with such motivational indicators, serious questions emerge regarding construct validity</w:t>
      </w:r>
      <w:r w:rsidR="00C443DA"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The final limitation is concerned with the practice of operationalizing and assessing emotional engagement together with another dimension of engagement under a single scale and variable</w:t>
      </w:r>
      <w:r w:rsidR="00C443DA" w:rsidRPr="0032506F">
        <w:rPr>
          <w:rFonts w:ascii="Times New Roman" w:eastAsia="Calibri" w:hAnsi="Times New Roman" w:cs="Times New Roman"/>
          <w:color w:val="000000"/>
          <w:sz w:val="24"/>
          <w:szCs w:val="24"/>
        </w:rPr>
        <w:t xml:space="preserve"> (e.g., Marks, 2000)</w:t>
      </w:r>
      <w:r w:rsidRPr="0032506F">
        <w:rPr>
          <w:rFonts w:ascii="Times New Roman" w:eastAsia="Calibri" w:hAnsi="Times New Roman" w:cs="Times New Roman"/>
          <w:color w:val="000000"/>
          <w:sz w:val="24"/>
          <w:szCs w:val="24"/>
        </w:rPr>
        <w:t xml:space="preserve">. Such combined scales run the risks of damaging the construct validity of the scales and blurring the identification of the unique impact of each distinct dimension of student engagement on positive student outcomes (Fredricks et al., 2004). </w:t>
      </w:r>
    </w:p>
    <w:p w14:paraId="4A06A40C" w14:textId="2E2733EF"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sz w:val="24"/>
          <w:szCs w:val="24"/>
        </w:rPr>
        <w:t>Measuring Cognitive Engagement and Limitations</w:t>
      </w:r>
      <w:r w:rsidRPr="0032506F">
        <w:rPr>
          <w:rFonts w:ascii="Times New Roman" w:eastAsia="Calibri" w:hAnsi="Times New Roman" w:cs="Times New Roman"/>
          <w:b/>
          <w:bCs/>
          <w:color w:val="000000"/>
          <w:sz w:val="24"/>
          <w:szCs w:val="24"/>
        </w:rPr>
        <w:t xml:space="preserve">. </w:t>
      </w:r>
      <w:r w:rsidR="00D650BE" w:rsidRPr="0032506F">
        <w:rPr>
          <w:rFonts w:ascii="Times New Roman" w:eastAsia="Calibri" w:hAnsi="Times New Roman" w:cs="Times New Roman"/>
          <w:color w:val="000000"/>
          <w:sz w:val="24"/>
          <w:szCs w:val="24"/>
        </w:rPr>
        <w:t xml:space="preserve">Self-report survey measures are also </w:t>
      </w:r>
      <w:r w:rsidR="007F0D88" w:rsidRPr="0032506F">
        <w:rPr>
          <w:rFonts w:ascii="Times New Roman" w:eastAsia="Calibri" w:hAnsi="Times New Roman" w:cs="Times New Roman"/>
          <w:color w:val="000000"/>
          <w:sz w:val="24"/>
          <w:szCs w:val="24"/>
        </w:rPr>
        <w:t>considered</w:t>
      </w:r>
      <w:r w:rsidR="00AE0C0C" w:rsidRPr="0032506F">
        <w:rPr>
          <w:rFonts w:ascii="Times New Roman" w:eastAsia="Calibri" w:hAnsi="Times New Roman" w:cs="Times New Roman"/>
          <w:color w:val="000000"/>
          <w:sz w:val="24"/>
          <w:szCs w:val="24"/>
        </w:rPr>
        <w:t xml:space="preserve"> and have been commonly used as</w:t>
      </w:r>
      <w:r w:rsidR="002232E7" w:rsidRPr="0032506F">
        <w:rPr>
          <w:rFonts w:ascii="Times New Roman" w:eastAsia="Calibri" w:hAnsi="Times New Roman" w:cs="Times New Roman"/>
          <w:color w:val="000000"/>
          <w:sz w:val="24"/>
          <w:szCs w:val="24"/>
        </w:rPr>
        <w:t xml:space="preserve"> </w:t>
      </w:r>
      <w:r w:rsidR="007F0D88" w:rsidRPr="0032506F">
        <w:rPr>
          <w:rFonts w:ascii="Times New Roman" w:eastAsia="Calibri" w:hAnsi="Times New Roman" w:cs="Times New Roman"/>
          <w:color w:val="000000"/>
          <w:sz w:val="24"/>
          <w:szCs w:val="24"/>
        </w:rPr>
        <w:t>the most appropriate method of measuring cognitive engagement as an</w:t>
      </w:r>
      <w:r w:rsidR="002232E7" w:rsidRPr="0032506F">
        <w:rPr>
          <w:rFonts w:ascii="Times New Roman" w:eastAsia="Calibri" w:hAnsi="Times New Roman" w:cs="Times New Roman"/>
          <w:color w:val="000000"/>
          <w:sz w:val="24"/>
          <w:szCs w:val="24"/>
        </w:rPr>
        <w:t xml:space="preserve"> internal </w:t>
      </w:r>
      <w:r w:rsidR="00AE0C0C" w:rsidRPr="0032506F">
        <w:rPr>
          <w:rFonts w:ascii="Times New Roman" w:eastAsia="Calibri" w:hAnsi="Times New Roman" w:cs="Times New Roman"/>
          <w:color w:val="000000"/>
          <w:sz w:val="24"/>
          <w:szCs w:val="24"/>
        </w:rPr>
        <w:t xml:space="preserve">state </w:t>
      </w:r>
      <w:r w:rsidRPr="0032506F">
        <w:rPr>
          <w:rFonts w:ascii="Times New Roman" w:eastAsia="Calibri" w:hAnsi="Times New Roman" w:cs="Times New Roman"/>
          <w:color w:val="000000"/>
          <w:sz w:val="24"/>
          <w:szCs w:val="24"/>
        </w:rPr>
        <w:t>(</w:t>
      </w:r>
      <w:r w:rsidR="002232E7" w:rsidRPr="0032506F">
        <w:rPr>
          <w:rFonts w:ascii="Times New Roman" w:eastAsia="Calibri" w:hAnsi="Times New Roman" w:cs="Times New Roman"/>
          <w:color w:val="000000"/>
          <w:sz w:val="24"/>
          <w:szCs w:val="24"/>
        </w:rPr>
        <w:t>Henrie et al., 2015; Hoi &amp; Le Hang, 2021</w:t>
      </w:r>
      <w:r w:rsidRPr="0032506F">
        <w:rPr>
          <w:rFonts w:ascii="Times New Roman" w:eastAsia="Calibri" w:hAnsi="Times New Roman" w:cs="Times New Roman"/>
          <w:color w:val="000000"/>
          <w:sz w:val="24"/>
          <w:szCs w:val="24"/>
        </w:rPr>
        <w:t xml:space="preserve">). </w:t>
      </w:r>
    </w:p>
    <w:p w14:paraId="7BD0346D" w14:textId="32DAAF20"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i/>
          <w:iCs/>
          <w:sz w:val="24"/>
          <w:szCs w:val="24"/>
        </w:rPr>
        <w:t>Measures.</w:t>
      </w:r>
      <w:r w:rsidRPr="0032506F">
        <w:rPr>
          <w:rFonts w:ascii="Times New Roman" w:eastAsia="Calibri" w:hAnsi="Times New Roman" w:cs="Times New Roman"/>
          <w:color w:val="000000"/>
          <w:sz w:val="24"/>
          <w:szCs w:val="24"/>
        </w:rPr>
        <w:t xml:space="preserve"> Seminal studies on student engagement have commonly used self-report measures to operationalize and measure cognitive engagement</w:t>
      </w:r>
      <w:r w:rsidR="00AE0C0C" w:rsidRPr="0032506F">
        <w:rPr>
          <w:rFonts w:ascii="Times New Roman" w:eastAsia="Calibri" w:hAnsi="Times New Roman" w:cs="Times New Roman"/>
          <w:color w:val="000000"/>
          <w:sz w:val="24"/>
          <w:szCs w:val="24"/>
        </w:rPr>
        <w:t xml:space="preserve"> (e.g., Connell &amp; Wellborn, 1991)</w:t>
      </w:r>
      <w:r w:rsidRPr="0032506F">
        <w:rPr>
          <w:rFonts w:ascii="Times New Roman" w:eastAsia="Calibri" w:hAnsi="Times New Roman" w:cs="Times New Roman"/>
          <w:color w:val="000000"/>
          <w:sz w:val="24"/>
          <w:szCs w:val="24"/>
        </w:rPr>
        <w:t xml:space="preserve">. </w:t>
      </w:r>
      <w:r w:rsidR="00AE0C0C" w:rsidRPr="0032506F">
        <w:rPr>
          <w:rFonts w:ascii="Times New Roman" w:eastAsia="Calibri" w:hAnsi="Times New Roman" w:cs="Times New Roman"/>
          <w:color w:val="000000"/>
          <w:sz w:val="24"/>
          <w:szCs w:val="24"/>
        </w:rPr>
        <w:t xml:space="preserve">The </w:t>
      </w:r>
      <w:r w:rsidRPr="0032506F">
        <w:rPr>
          <w:rFonts w:ascii="Times New Roman" w:eastAsia="Calibri" w:hAnsi="Times New Roman" w:cs="Times New Roman"/>
          <w:color w:val="000000"/>
          <w:sz w:val="24"/>
          <w:szCs w:val="24"/>
        </w:rPr>
        <w:t>assessment of cognitive engagement operationalized as one’s self-investment and independence comprising continued effort and persistence in the learning process has been commonly employed by other researchers in the relevant literature</w:t>
      </w:r>
      <w:r w:rsidR="00AE0C0C" w:rsidRPr="0032506F">
        <w:rPr>
          <w:rFonts w:ascii="Times New Roman" w:eastAsia="Calibri" w:hAnsi="Times New Roman" w:cs="Times New Roman"/>
          <w:color w:val="000000"/>
          <w:sz w:val="24"/>
          <w:szCs w:val="24"/>
        </w:rPr>
        <w:t xml:space="preserve"> (e.g., Miller et al., 1996)</w:t>
      </w:r>
      <w:r w:rsidRPr="0032506F">
        <w:rPr>
          <w:rFonts w:ascii="Times New Roman" w:eastAsia="Calibri" w:hAnsi="Times New Roman" w:cs="Times New Roman"/>
          <w:color w:val="000000"/>
          <w:sz w:val="24"/>
          <w:szCs w:val="24"/>
        </w:rPr>
        <w:t xml:space="preserve">. Fredricks et al. (2005) </w:t>
      </w:r>
      <w:r w:rsidR="00AE0C0C" w:rsidRPr="0032506F">
        <w:rPr>
          <w:rFonts w:ascii="Times New Roman" w:eastAsia="Calibri" w:hAnsi="Times New Roman" w:cs="Times New Roman"/>
          <w:color w:val="000000"/>
          <w:sz w:val="24"/>
          <w:szCs w:val="24"/>
        </w:rPr>
        <w:t xml:space="preserve">also </w:t>
      </w:r>
      <w:r w:rsidRPr="0032506F">
        <w:rPr>
          <w:rFonts w:ascii="Times New Roman" w:eastAsia="Calibri" w:hAnsi="Times New Roman" w:cs="Times New Roman"/>
          <w:color w:val="000000"/>
          <w:sz w:val="24"/>
          <w:szCs w:val="24"/>
        </w:rPr>
        <w:t xml:space="preserve">used self-report survey items to operationalize and measure </w:t>
      </w:r>
      <w:r w:rsidRPr="0032506F">
        <w:rPr>
          <w:rFonts w:ascii="Times New Roman" w:eastAsia="Calibri" w:hAnsi="Times New Roman" w:cs="Times New Roman"/>
          <w:color w:val="000000"/>
          <w:sz w:val="24"/>
          <w:szCs w:val="24"/>
        </w:rPr>
        <w:lastRenderedPageBreak/>
        <w:t xml:space="preserve">children’s cognitive engagement in school and schoolwork via such items as “I study at home even when I don't have a test,” “If I don't know what a word means when I am reading, I do something to figure it out,” and “If I don't understand what I read, I go back and read it over again,” all of which indicate the extent to which students expend effort, show persistence, and display psychological investment in their own learning. </w:t>
      </w:r>
    </w:p>
    <w:p w14:paraId="07290C6A" w14:textId="71347667" w:rsidR="0082746B" w:rsidRPr="0032506F" w:rsidRDefault="0082746B" w:rsidP="006102C8">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Cognitive engagement was also operationalized and measured with indicators of students’ use of cognitive and metacognitive self-regulated learning strategies. This operationalization of cognitive engagement actually </w:t>
      </w:r>
      <w:proofErr w:type="gramStart"/>
      <w:r w:rsidRPr="0032506F">
        <w:rPr>
          <w:rFonts w:ascii="Times New Roman" w:eastAsia="Calibri" w:hAnsi="Times New Roman" w:cs="Times New Roman"/>
          <w:color w:val="000000"/>
          <w:sz w:val="24"/>
          <w:szCs w:val="24"/>
        </w:rPr>
        <w:t>dates back to</w:t>
      </w:r>
      <w:proofErr w:type="gramEnd"/>
      <w:r w:rsidRPr="0032506F">
        <w:rPr>
          <w:rFonts w:ascii="Times New Roman" w:eastAsia="Calibri" w:hAnsi="Times New Roman" w:cs="Times New Roman"/>
          <w:color w:val="000000"/>
          <w:sz w:val="24"/>
          <w:szCs w:val="24"/>
        </w:rPr>
        <w:t xml:space="preserve"> the earlier work on study methods (Entwistle &amp; Entwistle, 1970), self-reported learning strategies (Kardash &amp; Amlund, 1991), learning processes (Schmeck et al., 1977), metacognition (Schraw &amp; Dennison, 1994), cognitive and metacognitive learning strategies (Pintrich &amp; De Groot, 1990), and self-regulated learning (Zimmerman &amp; Martinez-Pons, 1990). Several engagement researchers operationalized and measured cognitive engagement with self-report survey scales tapping into cognitive and metacognitive strategies</w:t>
      </w:r>
      <w:r w:rsidR="006102C8" w:rsidRPr="0032506F">
        <w:rPr>
          <w:rFonts w:ascii="Times New Roman" w:eastAsia="Calibri" w:hAnsi="Times New Roman" w:cs="Times New Roman"/>
          <w:color w:val="000000"/>
          <w:sz w:val="24"/>
          <w:szCs w:val="24"/>
        </w:rPr>
        <w:t xml:space="preserve"> (e.g., Greene &amp; Miller; 1996; </w:t>
      </w:r>
      <w:r w:rsidRPr="0032506F">
        <w:rPr>
          <w:rFonts w:ascii="Times New Roman" w:eastAsia="Calibri" w:hAnsi="Times New Roman" w:cs="Times New Roman"/>
          <w:color w:val="000000"/>
          <w:sz w:val="24"/>
          <w:szCs w:val="24"/>
        </w:rPr>
        <w:t>Miller et al.</w:t>
      </w:r>
      <w:r w:rsidR="006102C8"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1996)</w:t>
      </w:r>
      <w:r w:rsidR="006102C8"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Fredricks et al. (2005) </w:t>
      </w:r>
      <w:r w:rsidR="006102C8" w:rsidRPr="0032506F">
        <w:rPr>
          <w:rFonts w:ascii="Times New Roman" w:eastAsia="Calibri" w:hAnsi="Times New Roman" w:cs="Times New Roman"/>
          <w:color w:val="000000"/>
          <w:sz w:val="24"/>
          <w:szCs w:val="24"/>
        </w:rPr>
        <w:t xml:space="preserve">also measured cognitive engagement </w:t>
      </w:r>
      <w:r w:rsidRPr="0032506F">
        <w:rPr>
          <w:rFonts w:ascii="Times New Roman" w:eastAsia="Calibri" w:hAnsi="Times New Roman" w:cs="Times New Roman"/>
          <w:color w:val="000000"/>
          <w:sz w:val="24"/>
          <w:szCs w:val="24"/>
        </w:rPr>
        <w:t xml:space="preserve">via such indicators as “When I read a book, I ask myself questions to make sure I understand what it is about” and “I check my schoolwork for mistakes.” Adapting certain items from Fredricks et al.’s (2005) scale, </w:t>
      </w:r>
      <w:proofErr w:type="gramStart"/>
      <w:r w:rsidRPr="0032506F">
        <w:rPr>
          <w:rFonts w:ascii="Times New Roman" w:eastAsia="Calibri" w:hAnsi="Times New Roman" w:cs="Times New Roman"/>
          <w:color w:val="000000"/>
          <w:sz w:val="24"/>
          <w:szCs w:val="24"/>
        </w:rPr>
        <w:t>Sun</w:t>
      </w:r>
      <w:proofErr w:type="gramEnd"/>
      <w:r w:rsidRPr="0032506F">
        <w:rPr>
          <w:rFonts w:ascii="Times New Roman" w:eastAsia="Calibri" w:hAnsi="Times New Roman" w:cs="Times New Roman"/>
          <w:color w:val="000000"/>
          <w:sz w:val="24"/>
          <w:szCs w:val="24"/>
        </w:rPr>
        <w:t xml:space="preserve"> and Rueda (2012) similarly used such items</w:t>
      </w:r>
      <w:r w:rsidR="006102C8"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utilizing online students’ metacognitive self-regulatory strategy use as an indicator of online college students’ cognitive engagement. </w:t>
      </w:r>
    </w:p>
    <w:p w14:paraId="22D18DF0" w14:textId="3911B888" w:rsidR="00D246E9" w:rsidRPr="00853476" w:rsidRDefault="0082746B" w:rsidP="00853476">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i/>
          <w:iCs/>
          <w:sz w:val="24"/>
          <w:szCs w:val="24"/>
        </w:rPr>
        <w:t xml:space="preserve">Limitations. </w:t>
      </w:r>
      <w:r w:rsidRPr="0032506F">
        <w:rPr>
          <w:rFonts w:ascii="Times New Roman" w:eastAsia="Calibri" w:hAnsi="Times New Roman" w:cs="Times New Roman"/>
          <w:color w:val="000000"/>
          <w:sz w:val="24"/>
          <w:szCs w:val="24"/>
        </w:rPr>
        <w:t>The first limitation is the use of motivation constructs in the operationalizations and measures of cognitive engagement</w:t>
      </w:r>
      <w:r w:rsidR="00025496" w:rsidRPr="0032506F">
        <w:rPr>
          <w:rFonts w:ascii="Times New Roman" w:eastAsia="Calibri" w:hAnsi="Times New Roman" w:cs="Times New Roman"/>
          <w:color w:val="000000"/>
          <w:sz w:val="24"/>
          <w:szCs w:val="24"/>
        </w:rPr>
        <w:t xml:space="preserve"> (e.g., </w:t>
      </w:r>
      <w:r w:rsidRPr="0032506F">
        <w:rPr>
          <w:rFonts w:ascii="Times New Roman" w:eastAsia="Calibri" w:hAnsi="Times New Roman" w:cs="Times New Roman"/>
          <w:color w:val="000000"/>
          <w:sz w:val="24"/>
          <w:szCs w:val="24"/>
        </w:rPr>
        <w:t>Appleton et al.</w:t>
      </w:r>
      <w:r w:rsidR="00025496"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2006). The crucial distinction between motivation and engagement is commonly obfuscated this way across engagement scales (Finn &amp; Zimmer, 2012). The other significant limitation is the use of </w:t>
      </w:r>
      <w:r w:rsidRPr="0032506F">
        <w:rPr>
          <w:rFonts w:ascii="Times New Roman" w:eastAsia="Calibri" w:hAnsi="Times New Roman" w:cs="Times New Roman"/>
          <w:color w:val="000000"/>
          <w:sz w:val="24"/>
          <w:szCs w:val="24"/>
        </w:rPr>
        <w:lastRenderedPageBreak/>
        <w:t>indicators of the other two dimensions to operationalize and measure cognitive engagement</w:t>
      </w:r>
      <w:r w:rsidR="00D76126" w:rsidRPr="0032506F">
        <w:rPr>
          <w:rFonts w:ascii="Times New Roman" w:eastAsia="Calibri" w:hAnsi="Times New Roman" w:cs="Times New Roman"/>
          <w:color w:val="000000"/>
          <w:sz w:val="24"/>
          <w:szCs w:val="24"/>
        </w:rPr>
        <w:t xml:space="preserve"> (e.g., </w:t>
      </w:r>
      <w:r w:rsidRPr="0032506F">
        <w:rPr>
          <w:rFonts w:ascii="Times New Roman" w:eastAsia="Calibri" w:hAnsi="Times New Roman" w:cs="Times New Roman"/>
          <w:color w:val="000000"/>
          <w:sz w:val="24"/>
          <w:szCs w:val="24"/>
        </w:rPr>
        <w:t>Fletcher et al.</w:t>
      </w:r>
      <w:r w:rsidR="00042886"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2020</w:t>
      </w:r>
      <w:r w:rsidR="00042886"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Parnes et al.</w:t>
      </w:r>
      <w:r w:rsidR="00042886"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2020). </w:t>
      </w:r>
    </w:p>
    <w:p w14:paraId="57A082E7" w14:textId="0ED372BF" w:rsidR="0082746B" w:rsidRPr="0032506F" w:rsidRDefault="0082746B" w:rsidP="0082746B">
      <w:pPr>
        <w:keepNext/>
        <w:keepLines/>
        <w:spacing w:after="0" w:line="480" w:lineRule="auto"/>
        <w:outlineLvl w:val="1"/>
        <w:rPr>
          <w:rFonts w:ascii="Times New Roman" w:eastAsia="Calibri" w:hAnsi="Times New Roman" w:cs="Times New Roman"/>
          <w:b/>
          <w:bCs/>
          <w:sz w:val="24"/>
          <w:szCs w:val="24"/>
        </w:rPr>
      </w:pPr>
      <w:bookmarkStart w:id="36" w:name="_Toc102489440"/>
      <w:r w:rsidRPr="0032506F">
        <w:rPr>
          <w:rFonts w:ascii="Times New Roman" w:eastAsia="Calibri" w:hAnsi="Times New Roman" w:cs="Times New Roman"/>
          <w:b/>
          <w:bCs/>
          <w:sz w:val="24"/>
          <w:szCs w:val="24"/>
        </w:rPr>
        <w:t>A Critical Review of Issues</w:t>
      </w:r>
      <w:r w:rsidR="00022D38" w:rsidRPr="0032506F">
        <w:rPr>
          <w:rFonts w:ascii="Times New Roman" w:eastAsia="Calibri" w:hAnsi="Times New Roman" w:cs="Times New Roman"/>
          <w:b/>
          <w:bCs/>
          <w:sz w:val="24"/>
          <w:szCs w:val="24"/>
        </w:rPr>
        <w:t xml:space="preserve"> Associated with the Existing Measures of Online Engagement</w:t>
      </w:r>
      <w:bookmarkEnd w:id="36"/>
      <w:r w:rsidR="00022D38" w:rsidRPr="0032506F">
        <w:rPr>
          <w:rFonts w:ascii="Times New Roman" w:eastAsia="Calibri" w:hAnsi="Times New Roman" w:cs="Times New Roman"/>
          <w:b/>
          <w:bCs/>
          <w:sz w:val="24"/>
          <w:szCs w:val="24"/>
        </w:rPr>
        <w:t xml:space="preserve"> </w:t>
      </w:r>
    </w:p>
    <w:p w14:paraId="259D43F1" w14:textId="1D444374" w:rsidR="00090BEB" w:rsidRPr="0032506F" w:rsidRDefault="00090BEB" w:rsidP="00090BEB">
      <w:pPr>
        <w:pStyle w:val="NoSpacing"/>
        <w:spacing w:line="480" w:lineRule="auto"/>
        <w:rPr>
          <w:rFonts w:ascii="Times New Roman" w:hAnsi="Times New Roman" w:cs="Times New Roman"/>
          <w:sz w:val="24"/>
          <w:szCs w:val="24"/>
        </w:rPr>
      </w:pPr>
      <w:r w:rsidRPr="0032506F">
        <w:rPr>
          <w:rFonts w:ascii="Times New Roman" w:hAnsi="Times New Roman" w:cs="Times New Roman"/>
          <w:sz w:val="24"/>
          <w:szCs w:val="24"/>
        </w:rPr>
        <w:tab/>
        <w:t xml:space="preserve">Student engagement has been operationalized and measured in different ways in online learning environments as well (Henrie et al., 2015). In addition to survey measures (e.g., Dixson, 2015; Hoi &amp; Le Hang, 2021; Park &amp; Yun, 2019; Sun &amp; Rueda, 2012), online behavioral engagement has been measured through data analytics information such as frequency of logins, number of discussion posts and responses, or number of assignments submitted (Henrie et al., 2015; Hoi &amp; Le Hang, 2021). Emotional engagement, apart from being measured through surveys, has been measured through students’ explicit and observable use of positive emotion expressions during their online interactions (e.g., Wang, 2010). Cognitive engagement, as an internal state just like emotional engagement, has also been commonly measured through survey items in online education research (e.g., Deng et al., 2020; Hoi &amp; Le Hang, 2021; Kucuk &amp; Richardson, 2019; Sun &amp; Rueda, 2012).          </w:t>
      </w:r>
    </w:p>
    <w:p w14:paraId="6C4BD290" w14:textId="40E6984F" w:rsidR="0082746B" w:rsidRPr="0032506F" w:rsidRDefault="00D922A8"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Two </w:t>
      </w:r>
      <w:r w:rsidR="0082746B" w:rsidRPr="0032506F">
        <w:rPr>
          <w:rFonts w:ascii="Times New Roman" w:eastAsia="Calibri" w:hAnsi="Times New Roman" w:cs="Times New Roman"/>
          <w:color w:val="000000"/>
          <w:sz w:val="24"/>
          <w:szCs w:val="24"/>
        </w:rPr>
        <w:t>major issues of limitation</w:t>
      </w:r>
      <w:r w:rsidR="00ED40A1" w:rsidRPr="0032506F">
        <w:rPr>
          <w:rFonts w:ascii="Times New Roman" w:eastAsia="Calibri" w:hAnsi="Times New Roman" w:cs="Times New Roman"/>
          <w:color w:val="000000"/>
          <w:sz w:val="24"/>
          <w:szCs w:val="24"/>
        </w:rPr>
        <w:t xml:space="preserve"> have been identified in the existing measures of online engagement accessed through database searches and snowball referencing</w:t>
      </w:r>
      <w:r w:rsidR="00AF1111" w:rsidRPr="0032506F">
        <w:rPr>
          <w:rFonts w:ascii="Times New Roman" w:eastAsia="Calibri" w:hAnsi="Times New Roman" w:cs="Times New Roman"/>
          <w:color w:val="000000"/>
          <w:sz w:val="24"/>
          <w:szCs w:val="24"/>
        </w:rPr>
        <w:t xml:space="preserve">: </w:t>
      </w:r>
      <w:r w:rsidR="0082746B" w:rsidRPr="0032506F">
        <w:rPr>
          <w:rFonts w:ascii="Times New Roman" w:eastAsia="Calibri" w:hAnsi="Times New Roman" w:cs="Times New Roman"/>
          <w:color w:val="000000"/>
          <w:sz w:val="24"/>
          <w:szCs w:val="24"/>
        </w:rPr>
        <w:t xml:space="preserve">(a) construct irrelevance (i.e., not measuring the intended construct of interest or measuring beyond the construct) and (b) construct underrepresentation (i.e., </w:t>
      </w:r>
      <w:proofErr w:type="gramStart"/>
      <w:r w:rsidR="0082746B" w:rsidRPr="0032506F">
        <w:rPr>
          <w:rFonts w:ascii="Times New Roman" w:eastAsia="Calibri" w:hAnsi="Times New Roman" w:cs="Times New Roman"/>
          <w:color w:val="000000"/>
          <w:sz w:val="24"/>
          <w:szCs w:val="24"/>
        </w:rPr>
        <w:t>limited</w:t>
      </w:r>
      <w:proofErr w:type="gramEnd"/>
      <w:r w:rsidR="0082746B" w:rsidRPr="0032506F">
        <w:rPr>
          <w:rFonts w:ascii="Times New Roman" w:eastAsia="Calibri" w:hAnsi="Times New Roman" w:cs="Times New Roman"/>
          <w:color w:val="000000"/>
          <w:sz w:val="24"/>
          <w:szCs w:val="24"/>
        </w:rPr>
        <w:t xml:space="preserve"> or broad measurements of engagement).     </w:t>
      </w:r>
    </w:p>
    <w:p w14:paraId="4FA99136" w14:textId="1677758B" w:rsidR="0082746B"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sz w:val="24"/>
          <w:szCs w:val="24"/>
        </w:rPr>
        <w:t>Construct Irrelevance.</w:t>
      </w:r>
      <w:r w:rsidRPr="0032506F">
        <w:rPr>
          <w:rFonts w:ascii="Times New Roman" w:eastAsia="Calibri" w:hAnsi="Times New Roman" w:cs="Times New Roman"/>
          <w:b/>
          <w:bCs/>
          <w:sz w:val="28"/>
          <w:szCs w:val="28"/>
        </w:rPr>
        <w:t xml:space="preserve"> </w:t>
      </w:r>
      <w:r w:rsidRPr="0032506F">
        <w:rPr>
          <w:rFonts w:ascii="Times New Roman" w:eastAsia="Calibri" w:hAnsi="Times New Roman" w:cs="Times New Roman"/>
          <w:color w:val="000000"/>
          <w:sz w:val="24"/>
          <w:szCs w:val="24"/>
        </w:rPr>
        <w:t xml:space="preserve">The </w:t>
      </w:r>
      <w:r w:rsidR="004037FE" w:rsidRPr="0032506F">
        <w:rPr>
          <w:rFonts w:ascii="Times New Roman" w:eastAsia="Calibri" w:hAnsi="Times New Roman" w:cs="Times New Roman"/>
          <w:color w:val="000000"/>
          <w:sz w:val="24"/>
          <w:szCs w:val="24"/>
        </w:rPr>
        <w:t>first</w:t>
      </w:r>
      <w:r w:rsidRPr="0032506F">
        <w:rPr>
          <w:rFonts w:ascii="Times New Roman" w:eastAsia="Calibri" w:hAnsi="Times New Roman" w:cs="Times New Roman"/>
          <w:color w:val="000000"/>
          <w:sz w:val="24"/>
          <w:szCs w:val="24"/>
        </w:rPr>
        <w:t xml:space="preserve"> major issue of limitation regarding the existing measures of student engagement in online learning environments is associated with measuring other constructs rather than engagement. </w:t>
      </w:r>
      <w:r w:rsidR="00315505" w:rsidRPr="0032506F">
        <w:rPr>
          <w:rFonts w:ascii="Times New Roman" w:eastAsia="Calibri" w:hAnsi="Times New Roman" w:cs="Times New Roman"/>
          <w:color w:val="000000"/>
          <w:sz w:val="24"/>
          <w:szCs w:val="24"/>
        </w:rPr>
        <w:t xml:space="preserve">Some of the existing measures of online engagement purported to </w:t>
      </w:r>
      <w:r w:rsidR="005217E3" w:rsidRPr="0032506F">
        <w:rPr>
          <w:rFonts w:ascii="Times New Roman" w:eastAsia="Calibri" w:hAnsi="Times New Roman" w:cs="Times New Roman"/>
          <w:color w:val="000000"/>
          <w:sz w:val="24"/>
          <w:szCs w:val="24"/>
        </w:rPr>
        <w:t>assess</w:t>
      </w:r>
      <w:r w:rsidR="00315505" w:rsidRPr="0032506F">
        <w:rPr>
          <w:rFonts w:ascii="Times New Roman" w:eastAsia="Calibri" w:hAnsi="Times New Roman" w:cs="Times New Roman"/>
          <w:color w:val="000000"/>
          <w:sz w:val="24"/>
          <w:szCs w:val="24"/>
        </w:rPr>
        <w:t xml:space="preserve"> engagement</w:t>
      </w:r>
      <w:r w:rsidR="006B7C3B" w:rsidRPr="0032506F">
        <w:rPr>
          <w:rFonts w:ascii="Times New Roman" w:eastAsia="Calibri" w:hAnsi="Times New Roman" w:cs="Times New Roman"/>
          <w:color w:val="000000"/>
          <w:sz w:val="24"/>
          <w:szCs w:val="24"/>
        </w:rPr>
        <w:t xml:space="preserve"> </w:t>
      </w:r>
      <w:r w:rsidR="00FA3ADF" w:rsidRPr="0032506F">
        <w:rPr>
          <w:rFonts w:ascii="Times New Roman" w:eastAsia="Calibri" w:hAnsi="Times New Roman" w:cs="Times New Roman"/>
          <w:color w:val="000000"/>
          <w:sz w:val="24"/>
          <w:szCs w:val="24"/>
        </w:rPr>
        <w:t xml:space="preserve">were </w:t>
      </w:r>
      <w:proofErr w:type="gramStart"/>
      <w:r w:rsidR="00FA3ADF" w:rsidRPr="0032506F">
        <w:rPr>
          <w:rFonts w:ascii="Times New Roman" w:eastAsia="Calibri" w:hAnsi="Times New Roman" w:cs="Times New Roman"/>
          <w:color w:val="000000"/>
          <w:sz w:val="24"/>
          <w:szCs w:val="24"/>
        </w:rPr>
        <w:t>actually found</w:t>
      </w:r>
      <w:proofErr w:type="gramEnd"/>
      <w:r w:rsidR="00FA3ADF" w:rsidRPr="0032506F">
        <w:rPr>
          <w:rFonts w:ascii="Times New Roman" w:eastAsia="Calibri" w:hAnsi="Times New Roman" w:cs="Times New Roman"/>
          <w:color w:val="000000"/>
          <w:sz w:val="24"/>
          <w:szCs w:val="24"/>
        </w:rPr>
        <w:t xml:space="preserve"> to be tapping</w:t>
      </w:r>
      <w:r w:rsidRPr="0032506F">
        <w:rPr>
          <w:rFonts w:ascii="Times New Roman" w:eastAsia="Calibri" w:hAnsi="Times New Roman" w:cs="Times New Roman"/>
          <w:color w:val="000000"/>
          <w:sz w:val="24"/>
          <w:szCs w:val="24"/>
        </w:rPr>
        <w:t xml:space="preserve"> motivational elements </w:t>
      </w:r>
      <w:r w:rsidR="00FA3ADF" w:rsidRPr="0032506F">
        <w:rPr>
          <w:rFonts w:ascii="Times New Roman" w:eastAsia="Calibri" w:hAnsi="Times New Roman" w:cs="Times New Roman"/>
          <w:color w:val="000000"/>
          <w:sz w:val="24"/>
          <w:szCs w:val="24"/>
        </w:rPr>
        <w:t xml:space="preserve">such as </w:t>
      </w:r>
      <w:r w:rsidR="00FA3ADF" w:rsidRPr="0032506F">
        <w:rPr>
          <w:rFonts w:ascii="Times New Roman" w:eastAsia="Calibri" w:hAnsi="Times New Roman" w:cs="Times New Roman"/>
          <w:color w:val="000000"/>
          <w:sz w:val="24"/>
          <w:szCs w:val="24"/>
        </w:rPr>
        <w:lastRenderedPageBreak/>
        <w:t>intrinsic motivation or goal orientation</w:t>
      </w:r>
      <w:r w:rsidR="000C7825" w:rsidRPr="0032506F">
        <w:rPr>
          <w:rFonts w:ascii="Times New Roman" w:eastAsia="Calibri" w:hAnsi="Times New Roman" w:cs="Times New Roman"/>
          <w:color w:val="000000"/>
          <w:sz w:val="24"/>
          <w:szCs w:val="24"/>
        </w:rPr>
        <w:t xml:space="preserve"> (e.g., Schumacher, 2018)</w:t>
      </w:r>
      <w:r w:rsidR="00BD07F5"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The crucial distinction between indicators of engagement and facilitators of engagement (Finn &amp; Zimmer, 2012) seem</w:t>
      </w:r>
      <w:r w:rsidR="00166AAD" w:rsidRPr="0032506F">
        <w:rPr>
          <w:rFonts w:ascii="Times New Roman" w:eastAsia="Calibri" w:hAnsi="Times New Roman" w:cs="Times New Roman"/>
          <w:color w:val="000000"/>
          <w:sz w:val="24"/>
          <w:szCs w:val="24"/>
        </w:rPr>
        <w:t>s</w:t>
      </w:r>
      <w:r w:rsidRPr="0032506F">
        <w:rPr>
          <w:rFonts w:ascii="Times New Roman" w:eastAsia="Calibri" w:hAnsi="Times New Roman" w:cs="Times New Roman"/>
          <w:color w:val="000000"/>
          <w:sz w:val="24"/>
          <w:szCs w:val="24"/>
        </w:rPr>
        <w:t xml:space="preserve"> to have been seriously obfuscated </w:t>
      </w:r>
      <w:r w:rsidR="00BD07F5" w:rsidRPr="0032506F">
        <w:rPr>
          <w:rFonts w:ascii="Times New Roman" w:eastAsia="Calibri" w:hAnsi="Times New Roman" w:cs="Times New Roman"/>
          <w:color w:val="000000"/>
          <w:sz w:val="24"/>
          <w:szCs w:val="24"/>
        </w:rPr>
        <w:t>in such measures of online engagement</w:t>
      </w:r>
      <w:r w:rsidR="009C1E8D" w:rsidRPr="0032506F">
        <w:rPr>
          <w:rFonts w:ascii="Times New Roman" w:eastAsia="Calibri" w:hAnsi="Times New Roman" w:cs="Times New Roman"/>
          <w:color w:val="000000"/>
          <w:sz w:val="24"/>
          <w:szCs w:val="24"/>
        </w:rPr>
        <w:t xml:space="preserve">, which </w:t>
      </w:r>
      <w:r w:rsidRPr="0032506F">
        <w:rPr>
          <w:rFonts w:ascii="Times New Roman" w:eastAsia="Calibri" w:hAnsi="Times New Roman" w:cs="Times New Roman"/>
          <w:color w:val="000000"/>
          <w:sz w:val="24"/>
          <w:szCs w:val="24"/>
        </w:rPr>
        <w:t xml:space="preserve">raises serious questions and concerns over </w:t>
      </w:r>
      <w:r w:rsidR="009C1E8D" w:rsidRPr="0032506F">
        <w:rPr>
          <w:rFonts w:ascii="Times New Roman" w:eastAsia="Calibri" w:hAnsi="Times New Roman" w:cs="Times New Roman"/>
          <w:color w:val="000000"/>
          <w:sz w:val="24"/>
          <w:szCs w:val="24"/>
        </w:rPr>
        <w:t>construct validity. Similar</w:t>
      </w:r>
      <w:r w:rsidRPr="0032506F">
        <w:rPr>
          <w:rFonts w:ascii="Times New Roman" w:eastAsia="Calibri" w:hAnsi="Times New Roman" w:cs="Times New Roman"/>
          <w:color w:val="000000"/>
          <w:sz w:val="24"/>
          <w:szCs w:val="24"/>
        </w:rPr>
        <w:t xml:space="preserve"> </w:t>
      </w:r>
      <w:r w:rsidR="009C1E8D" w:rsidRPr="0032506F">
        <w:rPr>
          <w:rFonts w:ascii="Times New Roman" w:eastAsia="Calibri" w:hAnsi="Times New Roman" w:cs="Times New Roman"/>
          <w:color w:val="000000"/>
          <w:sz w:val="24"/>
          <w:szCs w:val="24"/>
        </w:rPr>
        <w:t xml:space="preserve">issues of construct </w:t>
      </w:r>
      <w:r w:rsidR="00237D8C" w:rsidRPr="0032506F">
        <w:rPr>
          <w:rFonts w:ascii="Times New Roman" w:eastAsia="Calibri" w:hAnsi="Times New Roman" w:cs="Times New Roman"/>
          <w:color w:val="000000"/>
          <w:sz w:val="24"/>
          <w:szCs w:val="24"/>
        </w:rPr>
        <w:t>irrelevance</w:t>
      </w:r>
      <w:r w:rsidR="00A92B43" w:rsidRPr="0032506F">
        <w:rPr>
          <w:rFonts w:ascii="Times New Roman" w:eastAsia="Calibri" w:hAnsi="Times New Roman" w:cs="Times New Roman"/>
          <w:color w:val="000000"/>
          <w:sz w:val="24"/>
          <w:szCs w:val="24"/>
        </w:rPr>
        <w:t xml:space="preserve"> and construct validity</w:t>
      </w:r>
      <w:r w:rsidRPr="0032506F">
        <w:rPr>
          <w:rFonts w:ascii="Times New Roman" w:eastAsia="Calibri" w:hAnsi="Times New Roman" w:cs="Times New Roman"/>
          <w:color w:val="000000"/>
          <w:sz w:val="24"/>
          <w:szCs w:val="24"/>
        </w:rPr>
        <w:t xml:space="preserve"> </w:t>
      </w:r>
      <w:r w:rsidR="00237D8C" w:rsidRPr="0032506F">
        <w:rPr>
          <w:rFonts w:ascii="Times New Roman" w:eastAsia="Calibri" w:hAnsi="Times New Roman" w:cs="Times New Roman"/>
          <w:color w:val="000000"/>
          <w:sz w:val="24"/>
          <w:szCs w:val="24"/>
        </w:rPr>
        <w:t xml:space="preserve">were also identified in other existing measures used to assess engagement in online learning environments (e.g., </w:t>
      </w:r>
      <w:r w:rsidR="00A92B43" w:rsidRPr="0032506F">
        <w:rPr>
          <w:rFonts w:ascii="Times New Roman" w:eastAsia="Calibri" w:hAnsi="Times New Roman" w:cs="Times New Roman"/>
          <w:color w:val="000000"/>
          <w:sz w:val="24"/>
          <w:szCs w:val="24"/>
        </w:rPr>
        <w:t xml:space="preserve">Bigatel &amp; Williams, 2015; </w:t>
      </w:r>
      <w:r w:rsidR="00CF3C8E" w:rsidRPr="0032506F">
        <w:rPr>
          <w:rFonts w:ascii="Times New Roman" w:eastAsia="Calibri" w:hAnsi="Times New Roman" w:cs="Times New Roman"/>
          <w:color w:val="000000"/>
          <w:sz w:val="24"/>
          <w:szCs w:val="24"/>
        </w:rPr>
        <w:t xml:space="preserve">Buelow et al., 2018; </w:t>
      </w:r>
      <w:r w:rsidR="006B7C3B" w:rsidRPr="0032506F">
        <w:rPr>
          <w:rFonts w:ascii="Times New Roman" w:eastAsia="Calibri" w:hAnsi="Times New Roman" w:cs="Times New Roman"/>
          <w:color w:val="000000"/>
          <w:sz w:val="24"/>
          <w:szCs w:val="24"/>
        </w:rPr>
        <w:t xml:space="preserve">Dixson, 2015; </w:t>
      </w:r>
      <w:r w:rsidRPr="0032506F">
        <w:rPr>
          <w:rFonts w:ascii="Times New Roman" w:eastAsia="Calibri" w:hAnsi="Times New Roman" w:cs="Times New Roman"/>
          <w:color w:val="000000"/>
          <w:sz w:val="24"/>
          <w:szCs w:val="24"/>
        </w:rPr>
        <w:t>Lee et al.</w:t>
      </w:r>
      <w:r w:rsidR="00A92B4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2019</w:t>
      </w:r>
      <w:bookmarkStart w:id="37" w:name="_Hlk81329435"/>
      <w:r w:rsidR="00A92B4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Young </w:t>
      </w:r>
      <w:r w:rsidR="002534BC" w:rsidRPr="0032506F">
        <w:rPr>
          <w:rFonts w:ascii="Times New Roman" w:eastAsia="Calibri" w:hAnsi="Times New Roman" w:cs="Times New Roman"/>
          <w:color w:val="000000"/>
          <w:sz w:val="24"/>
          <w:szCs w:val="24"/>
        </w:rPr>
        <w:t xml:space="preserve">&amp; </w:t>
      </w:r>
      <w:r w:rsidRPr="0032506F">
        <w:rPr>
          <w:rFonts w:ascii="Times New Roman" w:eastAsia="Calibri" w:hAnsi="Times New Roman" w:cs="Times New Roman"/>
          <w:color w:val="000000"/>
          <w:sz w:val="24"/>
          <w:szCs w:val="24"/>
        </w:rPr>
        <w:t>Bruce</w:t>
      </w:r>
      <w:r w:rsidR="00A92B43"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2011)</w:t>
      </w:r>
      <w:bookmarkEnd w:id="37"/>
      <w:r w:rsidRPr="0032506F">
        <w:rPr>
          <w:rFonts w:ascii="Times New Roman" w:eastAsia="Calibri" w:hAnsi="Times New Roman" w:cs="Times New Roman"/>
          <w:color w:val="000000"/>
          <w:sz w:val="24"/>
          <w:szCs w:val="24"/>
        </w:rPr>
        <w:t>. Such confusion over the intended construct</w:t>
      </w:r>
      <w:r w:rsidR="006B7C3B" w:rsidRPr="0032506F">
        <w:rPr>
          <w:rFonts w:ascii="Times New Roman" w:eastAsia="Calibri" w:hAnsi="Times New Roman" w:cs="Times New Roman"/>
          <w:color w:val="000000"/>
          <w:sz w:val="24"/>
          <w:szCs w:val="24"/>
        </w:rPr>
        <w:t xml:space="preserve"> or subconstructs</w:t>
      </w:r>
      <w:r w:rsidRPr="0032506F">
        <w:rPr>
          <w:rFonts w:ascii="Times New Roman" w:eastAsia="Calibri" w:hAnsi="Times New Roman" w:cs="Times New Roman"/>
          <w:color w:val="000000"/>
          <w:sz w:val="24"/>
          <w:szCs w:val="24"/>
        </w:rPr>
        <w:t xml:space="preserve"> of interest adds to the conceptual and operational </w:t>
      </w:r>
      <w:r w:rsidR="00CF3C8E" w:rsidRPr="0032506F">
        <w:rPr>
          <w:rFonts w:ascii="Times New Roman" w:eastAsia="Calibri" w:hAnsi="Times New Roman" w:cs="Times New Roman"/>
          <w:color w:val="000000"/>
          <w:sz w:val="24"/>
          <w:szCs w:val="24"/>
        </w:rPr>
        <w:t>inconsistencies and ambiguities</w:t>
      </w:r>
      <w:r w:rsidR="006B7C3B" w:rsidRPr="0032506F">
        <w:rPr>
          <w:rFonts w:ascii="Times New Roman" w:eastAsia="Calibri" w:hAnsi="Times New Roman" w:cs="Times New Roman"/>
          <w:color w:val="000000"/>
          <w:sz w:val="24"/>
          <w:szCs w:val="24"/>
        </w:rPr>
        <w:t xml:space="preserve"> in the existing literature. </w:t>
      </w:r>
    </w:p>
    <w:p w14:paraId="2A8E4289" w14:textId="608FA87A" w:rsidR="004037FE" w:rsidRPr="0032506F" w:rsidRDefault="0082746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sz w:val="24"/>
          <w:szCs w:val="24"/>
        </w:rPr>
        <w:t xml:space="preserve">Construct Underrepresentation. </w:t>
      </w:r>
      <w:r w:rsidR="004037FE" w:rsidRPr="0032506F">
        <w:rPr>
          <w:rFonts w:ascii="Times New Roman" w:eastAsia="Calibri" w:hAnsi="Times New Roman" w:cs="Times New Roman"/>
          <w:color w:val="000000"/>
          <w:sz w:val="24"/>
          <w:szCs w:val="24"/>
        </w:rPr>
        <w:t xml:space="preserve">The other </w:t>
      </w:r>
      <w:r w:rsidRPr="0032506F">
        <w:rPr>
          <w:rFonts w:ascii="Times New Roman" w:eastAsia="Calibri" w:hAnsi="Times New Roman" w:cs="Times New Roman"/>
          <w:color w:val="000000"/>
          <w:sz w:val="24"/>
          <w:szCs w:val="24"/>
        </w:rPr>
        <w:t>important limitation</w:t>
      </w:r>
      <w:r w:rsidR="00CF3C8E"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identified </w:t>
      </w:r>
      <w:r w:rsidR="004037FE" w:rsidRPr="0032506F">
        <w:rPr>
          <w:rFonts w:ascii="Times New Roman" w:eastAsia="Calibri" w:hAnsi="Times New Roman" w:cs="Times New Roman"/>
          <w:color w:val="000000"/>
          <w:sz w:val="24"/>
          <w:szCs w:val="24"/>
        </w:rPr>
        <w:t>in</w:t>
      </w:r>
      <w:r w:rsidRPr="0032506F">
        <w:rPr>
          <w:rFonts w:ascii="Times New Roman" w:eastAsia="Calibri" w:hAnsi="Times New Roman" w:cs="Times New Roman"/>
          <w:color w:val="000000"/>
          <w:sz w:val="24"/>
          <w:szCs w:val="24"/>
        </w:rPr>
        <w:t xml:space="preserve"> the existing measures of online student engagement is concerned with </w:t>
      </w:r>
      <w:r w:rsidR="00CF3C8E" w:rsidRPr="0032506F">
        <w:rPr>
          <w:rFonts w:ascii="Times New Roman" w:eastAsia="Calibri" w:hAnsi="Times New Roman" w:cs="Times New Roman"/>
          <w:color w:val="000000"/>
          <w:sz w:val="24"/>
          <w:szCs w:val="24"/>
        </w:rPr>
        <w:t>construct underrepresentation</w:t>
      </w:r>
      <w:r w:rsidRPr="0032506F">
        <w:rPr>
          <w:rFonts w:ascii="Times New Roman" w:eastAsia="Calibri" w:hAnsi="Times New Roman" w:cs="Times New Roman"/>
          <w:color w:val="000000"/>
          <w:sz w:val="24"/>
          <w:szCs w:val="24"/>
        </w:rPr>
        <w:t xml:space="preserve">. </w:t>
      </w:r>
      <w:r w:rsidR="00CF3C8E" w:rsidRPr="0032506F">
        <w:rPr>
          <w:rFonts w:ascii="Times New Roman" w:eastAsia="Calibri" w:hAnsi="Times New Roman" w:cs="Times New Roman"/>
          <w:color w:val="000000"/>
          <w:sz w:val="24"/>
          <w:szCs w:val="24"/>
        </w:rPr>
        <w:t xml:space="preserve">Some existing measures of online engagement were identified as missing </w:t>
      </w:r>
      <w:r w:rsidR="004E62DC" w:rsidRPr="0032506F">
        <w:rPr>
          <w:rFonts w:ascii="Times New Roman" w:eastAsia="Calibri" w:hAnsi="Times New Roman" w:cs="Times New Roman"/>
          <w:color w:val="000000"/>
          <w:sz w:val="24"/>
          <w:szCs w:val="24"/>
        </w:rPr>
        <w:t xml:space="preserve">a core dimension of engagement such as emotional engagement (e.g., </w:t>
      </w:r>
      <w:r w:rsidRPr="0032506F">
        <w:rPr>
          <w:rFonts w:ascii="Times New Roman" w:eastAsia="Calibri" w:hAnsi="Times New Roman" w:cs="Times New Roman"/>
          <w:color w:val="000000"/>
          <w:sz w:val="24"/>
          <w:szCs w:val="24"/>
        </w:rPr>
        <w:t>Anderson (2017)</w:t>
      </w:r>
      <w:r w:rsidR="004E62DC"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Missing the emotional dimension is a limited measure of the multifaceted construct of engagement</w:t>
      </w:r>
      <w:r w:rsidR="004E62DC"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which in turn results in a limited representation of the construct</w:t>
      </w:r>
      <w:r w:rsidR="00F37103"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color w:val="000000"/>
          <w:sz w:val="24"/>
          <w:szCs w:val="24"/>
        </w:rPr>
        <w:t xml:space="preserve"> </w:t>
      </w:r>
      <w:r w:rsidR="00F37103" w:rsidRPr="0032506F">
        <w:rPr>
          <w:rFonts w:ascii="Times New Roman" w:eastAsia="Calibri" w:hAnsi="Times New Roman" w:cs="Times New Roman"/>
          <w:color w:val="000000"/>
          <w:sz w:val="24"/>
          <w:szCs w:val="24"/>
        </w:rPr>
        <w:t xml:space="preserve">Therefore, it </w:t>
      </w:r>
      <w:r w:rsidRPr="0032506F">
        <w:rPr>
          <w:rFonts w:ascii="Times New Roman" w:eastAsia="Calibri" w:hAnsi="Times New Roman" w:cs="Times New Roman"/>
          <w:color w:val="000000"/>
          <w:sz w:val="24"/>
          <w:szCs w:val="24"/>
        </w:rPr>
        <w:t>rais</w:t>
      </w:r>
      <w:r w:rsidR="00F37103" w:rsidRPr="0032506F">
        <w:rPr>
          <w:rFonts w:ascii="Times New Roman" w:eastAsia="Calibri" w:hAnsi="Times New Roman" w:cs="Times New Roman"/>
          <w:color w:val="000000"/>
          <w:sz w:val="24"/>
          <w:szCs w:val="24"/>
        </w:rPr>
        <w:t>es</w:t>
      </w:r>
      <w:r w:rsidRPr="0032506F">
        <w:rPr>
          <w:rFonts w:ascii="Times New Roman" w:eastAsia="Calibri" w:hAnsi="Times New Roman" w:cs="Times New Roman"/>
          <w:color w:val="000000"/>
          <w:sz w:val="24"/>
          <w:szCs w:val="24"/>
        </w:rPr>
        <w:t xml:space="preserve"> concerns over construct validity (DeVellis, 2012).</w:t>
      </w:r>
      <w:r w:rsidR="00682302" w:rsidRPr="0032506F">
        <w:rPr>
          <w:rFonts w:ascii="Times New Roman" w:eastAsia="Calibri" w:hAnsi="Times New Roman" w:cs="Times New Roman"/>
          <w:color w:val="000000"/>
          <w:sz w:val="24"/>
          <w:szCs w:val="24"/>
        </w:rPr>
        <w:t xml:space="preserve"> </w:t>
      </w:r>
      <w:r w:rsidR="00412170" w:rsidRPr="0032506F">
        <w:rPr>
          <w:rFonts w:ascii="Times New Roman" w:eastAsia="Calibri" w:hAnsi="Times New Roman" w:cs="Times New Roman"/>
          <w:color w:val="000000"/>
          <w:sz w:val="24"/>
          <w:szCs w:val="24"/>
        </w:rPr>
        <w:t xml:space="preserve">The </w:t>
      </w:r>
      <w:r w:rsidR="00682302" w:rsidRPr="0032506F">
        <w:rPr>
          <w:rFonts w:ascii="Times New Roman" w:eastAsia="Calibri" w:hAnsi="Times New Roman" w:cs="Times New Roman"/>
          <w:color w:val="000000"/>
          <w:sz w:val="24"/>
          <w:szCs w:val="24"/>
        </w:rPr>
        <w:t>limited representations of the construct or subconstructs of engagement</w:t>
      </w:r>
      <w:r w:rsidR="004037FE" w:rsidRPr="0032506F">
        <w:rPr>
          <w:rFonts w:ascii="Times New Roman" w:eastAsia="Calibri" w:hAnsi="Times New Roman" w:cs="Times New Roman"/>
          <w:color w:val="000000"/>
          <w:sz w:val="24"/>
          <w:szCs w:val="24"/>
        </w:rPr>
        <w:t>,</w:t>
      </w:r>
      <w:r w:rsidR="005B06A7" w:rsidRPr="0032506F">
        <w:rPr>
          <w:rFonts w:ascii="Times New Roman" w:eastAsia="Calibri" w:hAnsi="Times New Roman" w:cs="Times New Roman"/>
          <w:color w:val="000000"/>
          <w:sz w:val="24"/>
          <w:szCs w:val="24"/>
        </w:rPr>
        <w:t xml:space="preserve"> including a unidimensional focus</w:t>
      </w:r>
      <w:r w:rsidR="007B2791" w:rsidRPr="0032506F">
        <w:rPr>
          <w:rFonts w:ascii="Times New Roman" w:eastAsia="Calibri" w:hAnsi="Times New Roman" w:cs="Times New Roman"/>
          <w:color w:val="000000"/>
          <w:sz w:val="24"/>
          <w:szCs w:val="24"/>
        </w:rPr>
        <w:t xml:space="preserve"> (</w:t>
      </w:r>
      <w:r w:rsidR="00AC1F9A" w:rsidRPr="0032506F">
        <w:rPr>
          <w:rFonts w:ascii="Times New Roman" w:eastAsia="Calibri" w:hAnsi="Times New Roman" w:cs="Times New Roman"/>
          <w:color w:val="000000"/>
          <w:sz w:val="24"/>
          <w:szCs w:val="24"/>
        </w:rPr>
        <w:t xml:space="preserve">e.g., </w:t>
      </w:r>
      <w:r w:rsidR="007B2791" w:rsidRPr="0032506F">
        <w:rPr>
          <w:rFonts w:ascii="Times New Roman" w:eastAsia="Calibri" w:hAnsi="Times New Roman" w:cs="Times New Roman"/>
          <w:color w:val="000000"/>
          <w:sz w:val="24"/>
          <w:szCs w:val="24"/>
        </w:rPr>
        <w:t>Chen et al., 2010)</w:t>
      </w:r>
      <w:r w:rsidR="00196958" w:rsidRPr="0032506F">
        <w:rPr>
          <w:rFonts w:ascii="Times New Roman" w:eastAsia="Calibri" w:hAnsi="Times New Roman" w:cs="Times New Roman"/>
          <w:color w:val="000000"/>
          <w:sz w:val="24"/>
          <w:szCs w:val="24"/>
        </w:rPr>
        <w:t xml:space="preserve">, </w:t>
      </w:r>
      <w:r w:rsidR="00CA5EFA" w:rsidRPr="0032506F">
        <w:rPr>
          <w:rFonts w:ascii="Times New Roman" w:eastAsia="Calibri" w:hAnsi="Times New Roman" w:cs="Times New Roman"/>
          <w:color w:val="000000"/>
          <w:sz w:val="24"/>
          <w:szCs w:val="24"/>
        </w:rPr>
        <w:t>limited</w:t>
      </w:r>
      <w:r w:rsidR="00F819DB" w:rsidRPr="0032506F">
        <w:rPr>
          <w:rFonts w:ascii="Times New Roman" w:eastAsia="Calibri" w:hAnsi="Times New Roman" w:cs="Times New Roman"/>
          <w:color w:val="000000"/>
          <w:sz w:val="24"/>
          <w:szCs w:val="24"/>
        </w:rPr>
        <w:t xml:space="preserve"> </w:t>
      </w:r>
      <w:r w:rsidR="00CA5EFA" w:rsidRPr="0032506F">
        <w:rPr>
          <w:rFonts w:ascii="Times New Roman" w:eastAsia="Calibri" w:hAnsi="Times New Roman" w:cs="Times New Roman"/>
          <w:color w:val="000000"/>
          <w:sz w:val="24"/>
          <w:szCs w:val="24"/>
        </w:rPr>
        <w:t>number of dimensions (</w:t>
      </w:r>
      <w:r w:rsidR="001631C6" w:rsidRPr="0032506F">
        <w:rPr>
          <w:rFonts w:ascii="Times New Roman" w:eastAsia="Calibri" w:hAnsi="Times New Roman" w:cs="Times New Roman"/>
          <w:color w:val="000000"/>
          <w:sz w:val="24"/>
          <w:szCs w:val="24"/>
        </w:rPr>
        <w:t xml:space="preserve">e.g., </w:t>
      </w:r>
      <w:r w:rsidR="001631C6" w:rsidRPr="0032506F">
        <w:rPr>
          <w:rFonts w:ascii="Times New Roman" w:eastAsia="Calibri" w:hAnsi="Times New Roman" w:cs="Times New Roman"/>
          <w:bCs/>
          <w:color w:val="000000"/>
          <w:sz w:val="24"/>
          <w:szCs w:val="24"/>
        </w:rPr>
        <w:t>Manwaring et al., 2017),</w:t>
      </w:r>
      <w:r w:rsidR="005C2E6D" w:rsidRPr="0032506F">
        <w:rPr>
          <w:rFonts w:ascii="Times New Roman" w:eastAsia="Calibri" w:hAnsi="Times New Roman" w:cs="Times New Roman"/>
          <w:bCs/>
          <w:color w:val="000000"/>
          <w:sz w:val="24"/>
          <w:szCs w:val="24"/>
        </w:rPr>
        <w:t xml:space="preserve"> measuring </w:t>
      </w:r>
      <w:r w:rsidR="00CE3F84" w:rsidRPr="0032506F">
        <w:rPr>
          <w:rFonts w:ascii="Times New Roman" w:eastAsia="Calibri" w:hAnsi="Times New Roman" w:cs="Times New Roman"/>
          <w:bCs/>
          <w:color w:val="000000"/>
          <w:sz w:val="24"/>
          <w:szCs w:val="24"/>
        </w:rPr>
        <w:t>engagement</w:t>
      </w:r>
      <w:r w:rsidR="005C2E6D" w:rsidRPr="0032506F">
        <w:rPr>
          <w:rFonts w:ascii="Times New Roman" w:eastAsia="Calibri" w:hAnsi="Times New Roman" w:cs="Times New Roman"/>
          <w:bCs/>
          <w:color w:val="000000"/>
          <w:sz w:val="24"/>
          <w:szCs w:val="24"/>
        </w:rPr>
        <w:t xml:space="preserve"> as a single overarching construct</w:t>
      </w:r>
      <w:r w:rsidR="00CE3F84" w:rsidRPr="0032506F">
        <w:rPr>
          <w:rFonts w:ascii="Times New Roman" w:eastAsia="Calibri" w:hAnsi="Times New Roman" w:cs="Times New Roman"/>
          <w:bCs/>
          <w:color w:val="000000"/>
          <w:sz w:val="24"/>
          <w:szCs w:val="24"/>
        </w:rPr>
        <w:t xml:space="preserve"> (</w:t>
      </w:r>
      <w:r w:rsidR="004037FE" w:rsidRPr="0032506F">
        <w:rPr>
          <w:rFonts w:ascii="Times New Roman" w:eastAsia="Calibri" w:hAnsi="Times New Roman" w:cs="Times New Roman"/>
          <w:bCs/>
          <w:color w:val="000000"/>
          <w:sz w:val="24"/>
          <w:szCs w:val="24"/>
        </w:rPr>
        <w:t xml:space="preserve">e.g., </w:t>
      </w:r>
      <w:r w:rsidR="00F22EB8" w:rsidRPr="0032506F">
        <w:rPr>
          <w:rFonts w:ascii="Times New Roman" w:eastAsia="Calibri" w:hAnsi="Times New Roman" w:cs="Times New Roman"/>
          <w:bCs/>
          <w:color w:val="000000"/>
          <w:sz w:val="24"/>
          <w:szCs w:val="24"/>
        </w:rPr>
        <w:t xml:space="preserve">Imlawi et al., 2015), </w:t>
      </w:r>
      <w:r w:rsidR="004037FE" w:rsidRPr="0032506F">
        <w:rPr>
          <w:rFonts w:ascii="Times New Roman" w:eastAsia="Calibri" w:hAnsi="Times New Roman" w:cs="Times New Roman"/>
          <w:bCs/>
          <w:color w:val="000000"/>
          <w:sz w:val="24"/>
          <w:szCs w:val="24"/>
        </w:rPr>
        <w:t xml:space="preserve">measuring engagement at a </w:t>
      </w:r>
      <w:r w:rsidR="00196958" w:rsidRPr="0032506F">
        <w:rPr>
          <w:rFonts w:ascii="Times New Roman" w:eastAsia="Calibri" w:hAnsi="Times New Roman" w:cs="Times New Roman"/>
          <w:color w:val="000000"/>
          <w:sz w:val="24"/>
          <w:szCs w:val="24"/>
        </w:rPr>
        <w:t>broad institutional level (e.g., Robinson</w:t>
      </w:r>
      <w:r w:rsidR="007F5307">
        <w:rPr>
          <w:rFonts w:ascii="Times New Roman" w:eastAsia="Calibri" w:hAnsi="Times New Roman" w:cs="Times New Roman"/>
          <w:color w:val="000000"/>
          <w:sz w:val="24"/>
          <w:szCs w:val="24"/>
        </w:rPr>
        <w:t xml:space="preserve"> &amp;</w:t>
      </w:r>
      <w:r w:rsidR="00196958" w:rsidRPr="0032506F">
        <w:rPr>
          <w:rFonts w:ascii="Times New Roman" w:eastAsia="Calibri" w:hAnsi="Times New Roman" w:cs="Times New Roman"/>
          <w:color w:val="000000"/>
          <w:sz w:val="24"/>
          <w:szCs w:val="24"/>
        </w:rPr>
        <w:t xml:space="preserve"> Hullinger, 2008)</w:t>
      </w:r>
      <w:r w:rsidR="00F22831" w:rsidRPr="0032506F">
        <w:rPr>
          <w:rFonts w:ascii="Times New Roman" w:eastAsia="Calibri" w:hAnsi="Times New Roman" w:cs="Times New Roman"/>
          <w:color w:val="000000"/>
          <w:sz w:val="24"/>
          <w:szCs w:val="24"/>
        </w:rPr>
        <w:t xml:space="preserve">, and limited representation of each core dimension of engagement (e.g., </w:t>
      </w:r>
      <w:r w:rsidR="00F22831" w:rsidRPr="0032506F">
        <w:rPr>
          <w:rFonts w:ascii="Times New Roman" w:eastAsia="Calibri" w:hAnsi="Times New Roman" w:cs="Times New Roman"/>
          <w:bCs/>
          <w:color w:val="000000"/>
          <w:sz w:val="24"/>
          <w:szCs w:val="24"/>
        </w:rPr>
        <w:t xml:space="preserve">Deng et al., 2020; Hoi &amp; Le Hang, 2021; </w:t>
      </w:r>
      <w:r w:rsidR="00F22831" w:rsidRPr="0032506F">
        <w:rPr>
          <w:rFonts w:ascii="Times New Roman" w:eastAsia="Calibri" w:hAnsi="Times New Roman" w:cs="Times New Roman"/>
          <w:color w:val="000000"/>
          <w:sz w:val="24"/>
          <w:szCs w:val="24"/>
        </w:rPr>
        <w:t>Sun &amp; Rueda, 2012)</w:t>
      </w:r>
      <w:r w:rsidR="00196958" w:rsidRPr="0032506F">
        <w:rPr>
          <w:rFonts w:ascii="Times New Roman" w:eastAsia="Calibri" w:hAnsi="Times New Roman" w:cs="Times New Roman"/>
          <w:color w:val="000000"/>
          <w:sz w:val="24"/>
          <w:szCs w:val="24"/>
        </w:rPr>
        <w:t xml:space="preserve"> </w:t>
      </w:r>
      <w:r w:rsidR="00682302" w:rsidRPr="0032506F">
        <w:rPr>
          <w:rFonts w:ascii="Times New Roman" w:eastAsia="Calibri" w:hAnsi="Times New Roman" w:cs="Times New Roman"/>
          <w:color w:val="000000"/>
          <w:sz w:val="24"/>
          <w:szCs w:val="24"/>
        </w:rPr>
        <w:t>were also identified in several other existing measures of online engagement</w:t>
      </w:r>
      <w:r w:rsidR="001564F1" w:rsidRPr="0032506F">
        <w:rPr>
          <w:rFonts w:ascii="Times New Roman" w:eastAsia="Calibri" w:hAnsi="Times New Roman" w:cs="Times New Roman"/>
          <w:color w:val="000000"/>
          <w:sz w:val="24"/>
          <w:szCs w:val="24"/>
        </w:rPr>
        <w:t xml:space="preserve">. </w:t>
      </w:r>
    </w:p>
    <w:p w14:paraId="551A07B1" w14:textId="51B25E90" w:rsidR="004037FE" w:rsidRPr="0032506F" w:rsidRDefault="00840BEB" w:rsidP="0082746B">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lastRenderedPageBreak/>
        <w:t>To conclude, w</w:t>
      </w:r>
      <w:r w:rsidR="00047B1F" w:rsidRPr="0032506F">
        <w:rPr>
          <w:rFonts w:ascii="Times New Roman" w:eastAsia="Calibri" w:hAnsi="Times New Roman" w:cs="Times New Roman"/>
          <w:color w:val="000000"/>
          <w:sz w:val="24"/>
          <w:szCs w:val="24"/>
        </w:rPr>
        <w:t xml:space="preserve">hat is evident </w:t>
      </w:r>
      <w:r w:rsidR="000C5574" w:rsidRPr="0032506F">
        <w:rPr>
          <w:rFonts w:ascii="Times New Roman" w:eastAsia="Calibri" w:hAnsi="Times New Roman" w:cs="Times New Roman"/>
          <w:color w:val="000000"/>
          <w:sz w:val="24"/>
          <w:szCs w:val="24"/>
        </w:rPr>
        <w:t xml:space="preserve">from the </w:t>
      </w:r>
      <w:r w:rsidR="00C24D19" w:rsidRPr="0032506F">
        <w:rPr>
          <w:rFonts w:ascii="Times New Roman" w:eastAsia="Calibri" w:hAnsi="Times New Roman" w:cs="Times New Roman"/>
          <w:color w:val="000000"/>
          <w:sz w:val="24"/>
          <w:szCs w:val="24"/>
        </w:rPr>
        <w:t xml:space="preserve">extensive </w:t>
      </w:r>
      <w:r w:rsidR="000C5574" w:rsidRPr="0032506F">
        <w:rPr>
          <w:rFonts w:ascii="Times New Roman" w:eastAsia="Calibri" w:hAnsi="Times New Roman" w:cs="Times New Roman"/>
          <w:color w:val="000000"/>
          <w:sz w:val="24"/>
          <w:szCs w:val="24"/>
        </w:rPr>
        <w:t xml:space="preserve">review of the existing literature of student engagement and </w:t>
      </w:r>
      <w:r w:rsidR="00C24D19" w:rsidRPr="0032506F">
        <w:rPr>
          <w:rFonts w:ascii="Times New Roman" w:eastAsia="Calibri" w:hAnsi="Times New Roman" w:cs="Times New Roman"/>
          <w:color w:val="000000"/>
          <w:sz w:val="24"/>
          <w:szCs w:val="24"/>
        </w:rPr>
        <w:t xml:space="preserve">the critical review of </w:t>
      </w:r>
      <w:r w:rsidR="000C5574" w:rsidRPr="0032506F">
        <w:rPr>
          <w:rFonts w:ascii="Times New Roman" w:eastAsia="Calibri" w:hAnsi="Times New Roman" w:cs="Times New Roman"/>
          <w:color w:val="000000"/>
          <w:sz w:val="24"/>
          <w:szCs w:val="24"/>
        </w:rPr>
        <w:t xml:space="preserve">online engagement </w:t>
      </w:r>
      <w:r w:rsidR="00C24D19" w:rsidRPr="0032506F">
        <w:rPr>
          <w:rFonts w:ascii="Times New Roman" w:eastAsia="Calibri" w:hAnsi="Times New Roman" w:cs="Times New Roman"/>
          <w:color w:val="000000"/>
          <w:sz w:val="24"/>
          <w:szCs w:val="24"/>
        </w:rPr>
        <w:t>measures</w:t>
      </w:r>
      <w:r w:rsidR="000C5574" w:rsidRPr="0032506F">
        <w:rPr>
          <w:rFonts w:ascii="Times New Roman" w:eastAsia="Calibri" w:hAnsi="Times New Roman" w:cs="Times New Roman"/>
          <w:color w:val="000000"/>
          <w:sz w:val="24"/>
          <w:szCs w:val="24"/>
        </w:rPr>
        <w:t xml:space="preserve"> </w:t>
      </w:r>
      <w:r w:rsidR="00711D42" w:rsidRPr="0032506F">
        <w:rPr>
          <w:rFonts w:ascii="Times New Roman" w:eastAsia="Calibri" w:hAnsi="Times New Roman" w:cs="Times New Roman"/>
          <w:color w:val="000000"/>
          <w:sz w:val="24"/>
          <w:szCs w:val="24"/>
        </w:rPr>
        <w:t>is that student engagement</w:t>
      </w:r>
      <w:r w:rsidR="00507215" w:rsidRPr="0032506F">
        <w:rPr>
          <w:rFonts w:ascii="Times New Roman" w:eastAsia="Calibri" w:hAnsi="Times New Roman" w:cs="Times New Roman"/>
          <w:color w:val="000000"/>
          <w:sz w:val="24"/>
          <w:szCs w:val="24"/>
        </w:rPr>
        <w:t xml:space="preserve"> and its dimensions</w:t>
      </w:r>
      <w:r w:rsidR="00711D42" w:rsidRPr="0032506F">
        <w:rPr>
          <w:rFonts w:ascii="Times New Roman" w:eastAsia="Calibri" w:hAnsi="Times New Roman" w:cs="Times New Roman"/>
          <w:color w:val="000000"/>
          <w:sz w:val="24"/>
          <w:szCs w:val="24"/>
        </w:rPr>
        <w:t xml:space="preserve"> ha</w:t>
      </w:r>
      <w:r w:rsidR="00507215" w:rsidRPr="0032506F">
        <w:rPr>
          <w:rFonts w:ascii="Times New Roman" w:eastAsia="Calibri" w:hAnsi="Times New Roman" w:cs="Times New Roman"/>
          <w:color w:val="000000"/>
          <w:sz w:val="24"/>
          <w:szCs w:val="24"/>
        </w:rPr>
        <w:t>ve</w:t>
      </w:r>
      <w:r w:rsidR="00711D42" w:rsidRPr="0032506F">
        <w:rPr>
          <w:rFonts w:ascii="Times New Roman" w:eastAsia="Calibri" w:hAnsi="Times New Roman" w:cs="Times New Roman"/>
          <w:color w:val="000000"/>
          <w:sz w:val="24"/>
          <w:szCs w:val="24"/>
        </w:rPr>
        <w:t xml:space="preserve"> been conceptualized, operationalized, and measured in diverse ways</w:t>
      </w:r>
      <w:r w:rsidR="00507215" w:rsidRPr="0032506F">
        <w:rPr>
          <w:rFonts w:ascii="Times New Roman" w:eastAsia="Calibri" w:hAnsi="Times New Roman" w:cs="Times New Roman"/>
          <w:color w:val="000000"/>
          <w:sz w:val="24"/>
          <w:szCs w:val="24"/>
        </w:rPr>
        <w:t xml:space="preserve"> (Henrie et al., 2015)</w:t>
      </w:r>
      <w:r w:rsidR="00A90C81" w:rsidRPr="0032506F">
        <w:rPr>
          <w:rFonts w:ascii="Times New Roman" w:eastAsia="Calibri" w:hAnsi="Times New Roman" w:cs="Times New Roman"/>
          <w:color w:val="000000"/>
          <w:sz w:val="24"/>
          <w:szCs w:val="24"/>
        </w:rPr>
        <w:t>,</w:t>
      </w:r>
      <w:r w:rsidR="00EB719A" w:rsidRPr="0032506F">
        <w:rPr>
          <w:rFonts w:ascii="Times New Roman" w:eastAsia="Calibri" w:hAnsi="Times New Roman" w:cs="Times New Roman"/>
          <w:color w:val="000000"/>
          <w:sz w:val="24"/>
          <w:szCs w:val="24"/>
        </w:rPr>
        <w:t xml:space="preserve"> thus</w:t>
      </w:r>
      <w:r w:rsidR="00A90C81" w:rsidRPr="0032506F">
        <w:rPr>
          <w:rFonts w:ascii="Times New Roman" w:eastAsia="Calibri" w:hAnsi="Times New Roman" w:cs="Times New Roman"/>
          <w:color w:val="000000"/>
          <w:sz w:val="24"/>
          <w:szCs w:val="24"/>
        </w:rPr>
        <w:t xml:space="preserve"> leading to inconsistencies</w:t>
      </w:r>
      <w:r w:rsidR="00B018EB" w:rsidRPr="0032506F">
        <w:rPr>
          <w:rFonts w:ascii="Times New Roman" w:eastAsia="Calibri" w:hAnsi="Times New Roman" w:cs="Times New Roman"/>
          <w:color w:val="000000"/>
          <w:sz w:val="24"/>
          <w:szCs w:val="24"/>
        </w:rPr>
        <w:t xml:space="preserve"> in the assessment online student engagement</w:t>
      </w:r>
      <w:r w:rsidR="00846445" w:rsidRPr="0032506F">
        <w:rPr>
          <w:rFonts w:ascii="Times New Roman" w:eastAsia="Calibri" w:hAnsi="Times New Roman" w:cs="Times New Roman"/>
          <w:color w:val="000000"/>
          <w:sz w:val="24"/>
          <w:szCs w:val="24"/>
        </w:rPr>
        <w:t xml:space="preserve"> (Hoi &amp; Le Hang, 2021)</w:t>
      </w:r>
      <w:r w:rsidR="00B018EB" w:rsidRPr="0032506F">
        <w:rPr>
          <w:rFonts w:ascii="Times New Roman" w:eastAsia="Calibri" w:hAnsi="Times New Roman" w:cs="Times New Roman"/>
          <w:color w:val="000000"/>
          <w:sz w:val="24"/>
          <w:szCs w:val="24"/>
        </w:rPr>
        <w:t>.</w:t>
      </w:r>
      <w:r w:rsidR="00AA4670" w:rsidRPr="0032506F">
        <w:rPr>
          <w:rFonts w:ascii="Times New Roman" w:eastAsia="Calibri" w:hAnsi="Times New Roman" w:cs="Times New Roman"/>
          <w:color w:val="000000"/>
          <w:sz w:val="24"/>
          <w:szCs w:val="24"/>
        </w:rPr>
        <w:t xml:space="preserve"> In addition, the existing measures of online student engagement, either </w:t>
      </w:r>
      <w:r w:rsidR="00B005E2" w:rsidRPr="0032506F">
        <w:rPr>
          <w:rFonts w:ascii="Times New Roman" w:eastAsia="Calibri" w:hAnsi="Times New Roman" w:cs="Times New Roman"/>
          <w:color w:val="000000"/>
          <w:sz w:val="24"/>
          <w:szCs w:val="24"/>
        </w:rPr>
        <w:t xml:space="preserve">modified as ad hoc scales or developed </w:t>
      </w:r>
      <w:r w:rsidRPr="0032506F">
        <w:rPr>
          <w:rFonts w:ascii="Times New Roman" w:eastAsia="Calibri" w:hAnsi="Times New Roman" w:cs="Times New Roman"/>
          <w:color w:val="000000"/>
          <w:sz w:val="24"/>
          <w:szCs w:val="24"/>
        </w:rPr>
        <w:t>and</w:t>
      </w:r>
      <w:r w:rsidR="00B005E2" w:rsidRPr="0032506F">
        <w:rPr>
          <w:rFonts w:ascii="Times New Roman" w:eastAsia="Calibri" w:hAnsi="Times New Roman" w:cs="Times New Roman"/>
          <w:color w:val="000000"/>
          <w:sz w:val="24"/>
          <w:szCs w:val="24"/>
        </w:rPr>
        <w:t xml:space="preserve"> validated through scale development studies,</w:t>
      </w:r>
      <w:r w:rsidR="00B96CC2" w:rsidRPr="0032506F">
        <w:rPr>
          <w:rFonts w:ascii="Times New Roman" w:eastAsia="Calibri" w:hAnsi="Times New Roman" w:cs="Times New Roman"/>
          <w:color w:val="000000"/>
          <w:sz w:val="24"/>
          <w:szCs w:val="24"/>
        </w:rPr>
        <w:t xml:space="preserve"> have several limitations regarding construct irrelevance and construct underrepresentation</w:t>
      </w:r>
      <w:r w:rsidR="00846445" w:rsidRPr="0032506F">
        <w:rPr>
          <w:rFonts w:ascii="Times New Roman" w:eastAsia="Calibri" w:hAnsi="Times New Roman" w:cs="Times New Roman"/>
          <w:color w:val="000000"/>
          <w:sz w:val="24"/>
          <w:szCs w:val="24"/>
        </w:rPr>
        <w:t>.</w:t>
      </w:r>
    </w:p>
    <w:p w14:paraId="5612ED83" w14:textId="77777777" w:rsidR="0082746B" w:rsidRPr="0032506F" w:rsidRDefault="0082746B" w:rsidP="0082746B">
      <w:pPr>
        <w:sectPr w:rsidR="0082746B" w:rsidRPr="0032506F" w:rsidSect="0082746B">
          <w:pgSz w:w="12240" w:h="15840"/>
          <w:pgMar w:top="1440" w:right="1440" w:bottom="1440" w:left="1440" w:header="720" w:footer="720" w:gutter="0"/>
          <w:cols w:space="720"/>
          <w:docGrid w:linePitch="360"/>
        </w:sectPr>
      </w:pPr>
    </w:p>
    <w:p w14:paraId="0F822C8C" w14:textId="77777777" w:rsidR="00522122" w:rsidRPr="0032506F" w:rsidRDefault="00522122" w:rsidP="00522122">
      <w:pPr>
        <w:pStyle w:val="Heading1"/>
      </w:pPr>
      <w:bookmarkStart w:id="38" w:name="_Toc102489441"/>
      <w:bookmarkStart w:id="39" w:name="_Hlk81316796"/>
      <w:r w:rsidRPr="0032506F">
        <w:lastRenderedPageBreak/>
        <w:t>Chapter 3: Methods</w:t>
      </w:r>
      <w:bookmarkEnd w:id="38"/>
    </w:p>
    <w:p w14:paraId="387C715B" w14:textId="16A07BEF" w:rsidR="00BE16EE" w:rsidRPr="0032506F" w:rsidRDefault="00BE16EE" w:rsidP="00BE16EE">
      <w:pPr>
        <w:pStyle w:val="Heading2"/>
      </w:pPr>
      <w:bookmarkStart w:id="40" w:name="_Toc102489442"/>
      <w:bookmarkEnd w:id="39"/>
      <w:r w:rsidRPr="0032506F">
        <w:t>Overview</w:t>
      </w:r>
      <w:bookmarkEnd w:id="40"/>
    </w:p>
    <w:p w14:paraId="10732715" w14:textId="204C7E62" w:rsidR="00522122" w:rsidRPr="0032506F" w:rsidRDefault="00135ECF" w:rsidP="00853476">
      <w:pPr>
        <w:tabs>
          <w:tab w:val="left" w:pos="720"/>
          <w:tab w:val="left" w:pos="2826"/>
        </w:tabs>
        <w:spacing w:after="20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b/>
      </w:r>
      <w:r w:rsidR="00522122" w:rsidRPr="0032506F">
        <w:rPr>
          <w:rFonts w:ascii="Times New Roman" w:eastAsia="Calibri" w:hAnsi="Times New Roman" w:cs="Times New Roman"/>
          <w:bCs/>
          <w:color w:val="000000"/>
          <w:sz w:val="24"/>
          <w:szCs w:val="24"/>
        </w:rPr>
        <w:t xml:space="preserve">The purpose of this study </w:t>
      </w:r>
      <w:r w:rsidR="006676EE" w:rsidRPr="0032506F">
        <w:rPr>
          <w:rFonts w:ascii="Times New Roman" w:eastAsia="Calibri" w:hAnsi="Times New Roman" w:cs="Times New Roman"/>
          <w:bCs/>
          <w:color w:val="000000"/>
          <w:sz w:val="24"/>
          <w:szCs w:val="24"/>
        </w:rPr>
        <w:t>is</w:t>
      </w:r>
      <w:r w:rsidR="00522122" w:rsidRPr="0032506F">
        <w:rPr>
          <w:rFonts w:ascii="Times New Roman" w:eastAsia="Calibri" w:hAnsi="Times New Roman" w:cs="Times New Roman"/>
          <w:bCs/>
          <w:color w:val="000000"/>
          <w:sz w:val="24"/>
          <w:szCs w:val="24"/>
        </w:rPr>
        <w:t xml:space="preserve"> to develop and validate a new self-report survey scale of student engagement in online courses of higher education titled </w:t>
      </w:r>
      <w:r w:rsidR="00522122" w:rsidRPr="0032506F">
        <w:rPr>
          <w:rFonts w:ascii="Times New Roman" w:eastAsia="Calibri" w:hAnsi="Times New Roman" w:cs="Times New Roman"/>
          <w:bCs/>
          <w:i/>
          <w:iCs/>
          <w:color w:val="000000"/>
          <w:sz w:val="24"/>
          <w:szCs w:val="24"/>
        </w:rPr>
        <w:t>Online Engagement in Higher Education (OEHE)</w:t>
      </w:r>
      <w:r w:rsidR="00522122" w:rsidRPr="0032506F">
        <w:rPr>
          <w:rFonts w:ascii="Times New Roman" w:eastAsia="Calibri" w:hAnsi="Times New Roman" w:cs="Times New Roman"/>
          <w:bCs/>
          <w:color w:val="000000"/>
          <w:sz w:val="24"/>
          <w:szCs w:val="24"/>
        </w:rPr>
        <w:t xml:space="preserve"> by analyzing and evaluating its reliability and validity</w:t>
      </w:r>
      <w:r w:rsidR="0051607B" w:rsidRPr="0032506F">
        <w:rPr>
          <w:rFonts w:ascii="Times New Roman" w:eastAsia="Calibri" w:hAnsi="Times New Roman" w:cs="Times New Roman"/>
          <w:bCs/>
          <w:color w:val="000000"/>
          <w:sz w:val="24"/>
          <w:szCs w:val="24"/>
        </w:rPr>
        <w:t xml:space="preserve"> evidence</w:t>
      </w:r>
      <w:r w:rsidR="00522122" w:rsidRPr="0032506F">
        <w:rPr>
          <w:rFonts w:ascii="Times New Roman" w:eastAsia="Calibri" w:hAnsi="Times New Roman" w:cs="Times New Roman"/>
          <w:bCs/>
          <w:color w:val="000000"/>
          <w:sz w:val="24"/>
          <w:szCs w:val="24"/>
        </w:rPr>
        <w:t xml:space="preserve">. Based on </w:t>
      </w:r>
      <w:r w:rsidR="0051607B" w:rsidRPr="0032506F">
        <w:rPr>
          <w:rFonts w:ascii="Times New Roman" w:eastAsia="Calibri" w:hAnsi="Times New Roman" w:cs="Times New Roman"/>
          <w:bCs/>
          <w:color w:val="000000"/>
          <w:sz w:val="24"/>
          <w:szCs w:val="24"/>
        </w:rPr>
        <w:t>an extensive r</w:t>
      </w:r>
      <w:r w:rsidR="00522122" w:rsidRPr="0032506F">
        <w:rPr>
          <w:rFonts w:ascii="Times New Roman" w:eastAsia="Calibri" w:hAnsi="Times New Roman" w:cs="Times New Roman"/>
          <w:bCs/>
          <w:color w:val="000000"/>
          <w:sz w:val="24"/>
          <w:szCs w:val="24"/>
        </w:rPr>
        <w:t xml:space="preserve">eview of the relevant literature and </w:t>
      </w:r>
      <w:r w:rsidR="0051607B" w:rsidRPr="0032506F">
        <w:rPr>
          <w:rFonts w:ascii="Times New Roman" w:eastAsia="Calibri" w:hAnsi="Times New Roman" w:cs="Times New Roman"/>
          <w:bCs/>
          <w:color w:val="000000"/>
          <w:sz w:val="24"/>
          <w:szCs w:val="24"/>
        </w:rPr>
        <w:t xml:space="preserve">a critical analysis of </w:t>
      </w:r>
      <w:r w:rsidR="00522122" w:rsidRPr="0032506F">
        <w:rPr>
          <w:rFonts w:ascii="Times New Roman" w:eastAsia="Calibri" w:hAnsi="Times New Roman" w:cs="Times New Roman"/>
          <w:bCs/>
          <w:color w:val="000000"/>
          <w:sz w:val="24"/>
          <w:szCs w:val="24"/>
        </w:rPr>
        <w:t xml:space="preserve">the existing measures of online student engagement, </w:t>
      </w:r>
      <w:r w:rsidR="008A2F0B" w:rsidRPr="0032506F">
        <w:rPr>
          <w:rFonts w:ascii="Times New Roman" w:eastAsia="Calibri" w:hAnsi="Times New Roman" w:cs="Times New Roman"/>
          <w:bCs/>
          <w:color w:val="000000"/>
          <w:sz w:val="24"/>
          <w:szCs w:val="24"/>
        </w:rPr>
        <w:t xml:space="preserve">a significant gap was </w:t>
      </w:r>
      <w:r w:rsidR="005A3776" w:rsidRPr="0032506F">
        <w:rPr>
          <w:rFonts w:ascii="Times New Roman" w:eastAsia="Calibri" w:hAnsi="Times New Roman" w:cs="Times New Roman"/>
          <w:bCs/>
          <w:color w:val="000000"/>
          <w:sz w:val="24"/>
          <w:szCs w:val="24"/>
        </w:rPr>
        <w:t xml:space="preserve">identified </w:t>
      </w:r>
      <w:r w:rsidR="008A2F0B" w:rsidRPr="0032506F">
        <w:rPr>
          <w:rFonts w:ascii="Times New Roman" w:eastAsia="Calibri" w:hAnsi="Times New Roman" w:cs="Times New Roman"/>
          <w:bCs/>
          <w:color w:val="000000"/>
          <w:sz w:val="24"/>
          <w:szCs w:val="24"/>
        </w:rPr>
        <w:t xml:space="preserve">in the relevant </w:t>
      </w:r>
      <w:r w:rsidR="00BF07DD" w:rsidRPr="0032506F">
        <w:rPr>
          <w:rFonts w:ascii="Times New Roman" w:eastAsia="Calibri" w:hAnsi="Times New Roman" w:cs="Times New Roman"/>
          <w:bCs/>
          <w:color w:val="000000"/>
          <w:sz w:val="24"/>
          <w:szCs w:val="24"/>
        </w:rPr>
        <w:t xml:space="preserve">literature regarding the insufficient scale development and validation work testing the tenability of Fredricks et al.’s (2004) three core dimensions of engagement to online learning environments. </w:t>
      </w:r>
      <w:r w:rsidR="008A2F0B" w:rsidRPr="0032506F">
        <w:rPr>
          <w:rFonts w:ascii="Times New Roman" w:eastAsia="Calibri" w:hAnsi="Times New Roman" w:cs="Times New Roman"/>
          <w:bCs/>
          <w:color w:val="000000"/>
          <w:sz w:val="24"/>
          <w:szCs w:val="24"/>
        </w:rPr>
        <w:t>T</w:t>
      </w:r>
      <w:r w:rsidR="00AA6D68" w:rsidRPr="0032506F">
        <w:rPr>
          <w:rFonts w:ascii="Times New Roman" w:eastAsia="Calibri" w:hAnsi="Times New Roman" w:cs="Times New Roman"/>
          <w:bCs/>
          <w:color w:val="000000"/>
          <w:sz w:val="24"/>
          <w:szCs w:val="24"/>
        </w:rPr>
        <w:t xml:space="preserve">he </w:t>
      </w:r>
      <w:r w:rsidR="00522122" w:rsidRPr="0032506F">
        <w:rPr>
          <w:rFonts w:ascii="Times New Roman" w:eastAsia="Calibri" w:hAnsi="Times New Roman" w:cs="Times New Roman"/>
          <w:bCs/>
          <w:color w:val="000000"/>
          <w:sz w:val="24"/>
          <w:szCs w:val="24"/>
        </w:rPr>
        <w:t xml:space="preserve">issues of </w:t>
      </w:r>
      <w:r w:rsidR="00AA6D68" w:rsidRPr="0032506F">
        <w:rPr>
          <w:rFonts w:ascii="Times New Roman" w:eastAsia="Calibri" w:hAnsi="Times New Roman" w:cs="Times New Roman"/>
          <w:bCs/>
          <w:color w:val="000000"/>
          <w:sz w:val="24"/>
          <w:szCs w:val="24"/>
        </w:rPr>
        <w:t xml:space="preserve">construct irrelevance and construct underrepresentation </w:t>
      </w:r>
      <w:r w:rsidR="008A2F0B" w:rsidRPr="0032506F">
        <w:rPr>
          <w:rFonts w:ascii="Times New Roman" w:eastAsia="Calibri" w:hAnsi="Times New Roman" w:cs="Times New Roman"/>
          <w:bCs/>
          <w:color w:val="000000"/>
          <w:sz w:val="24"/>
          <w:szCs w:val="24"/>
        </w:rPr>
        <w:t xml:space="preserve">were also identified in </w:t>
      </w:r>
      <w:r w:rsidR="00AA6D68" w:rsidRPr="0032506F">
        <w:rPr>
          <w:rFonts w:ascii="Times New Roman" w:eastAsia="Calibri" w:hAnsi="Times New Roman" w:cs="Times New Roman"/>
          <w:bCs/>
          <w:color w:val="000000"/>
          <w:sz w:val="24"/>
          <w:szCs w:val="24"/>
        </w:rPr>
        <w:t xml:space="preserve">the existing measures of online student engagement. </w:t>
      </w:r>
      <w:r w:rsidR="00522122" w:rsidRPr="0032506F">
        <w:rPr>
          <w:rFonts w:ascii="Times New Roman" w:eastAsia="Calibri" w:hAnsi="Times New Roman" w:cs="Times New Roman"/>
          <w:bCs/>
          <w:color w:val="000000"/>
          <w:sz w:val="24"/>
          <w:szCs w:val="24"/>
        </w:rPr>
        <w:t>In response</w:t>
      </w:r>
      <w:r w:rsidR="00AA6D68"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a</w:t>
      </w:r>
      <w:r w:rsidR="00AA6D68" w:rsidRPr="0032506F">
        <w:rPr>
          <w:rFonts w:ascii="Times New Roman" w:eastAsia="Calibri" w:hAnsi="Times New Roman" w:cs="Times New Roman"/>
          <w:bCs/>
          <w:color w:val="000000"/>
          <w:sz w:val="24"/>
          <w:szCs w:val="24"/>
        </w:rPr>
        <w:t xml:space="preserve"> multi-stage </w:t>
      </w:r>
      <w:r w:rsidR="00522122" w:rsidRPr="0032506F">
        <w:rPr>
          <w:rFonts w:ascii="Times New Roman" w:eastAsia="Calibri" w:hAnsi="Times New Roman" w:cs="Times New Roman"/>
          <w:bCs/>
          <w:color w:val="000000"/>
          <w:sz w:val="24"/>
          <w:szCs w:val="24"/>
        </w:rPr>
        <w:t>scale development</w:t>
      </w:r>
      <w:r w:rsidR="0001661D" w:rsidRPr="0032506F">
        <w:rPr>
          <w:rFonts w:ascii="Times New Roman" w:eastAsia="Calibri" w:hAnsi="Times New Roman" w:cs="Times New Roman"/>
          <w:bCs/>
          <w:color w:val="000000"/>
          <w:sz w:val="24"/>
          <w:szCs w:val="24"/>
        </w:rPr>
        <w:t xml:space="preserve"> process was initiated in which a pool of items was created and reviewed by experts,</w:t>
      </w:r>
      <w:r w:rsidR="00661CB0" w:rsidRPr="0032506F">
        <w:rPr>
          <w:rFonts w:ascii="Times New Roman" w:eastAsia="Calibri" w:hAnsi="Times New Roman" w:cs="Times New Roman"/>
          <w:bCs/>
          <w:color w:val="000000"/>
          <w:sz w:val="24"/>
          <w:szCs w:val="24"/>
        </w:rPr>
        <w:t xml:space="preserve"> pilot tested via cognitive interviews with actual respondents, and necessary revisions and modifications were conducted.</w:t>
      </w:r>
      <w:r w:rsidR="00522122" w:rsidRPr="0032506F">
        <w:rPr>
          <w:rFonts w:ascii="Times New Roman" w:eastAsia="Calibri" w:hAnsi="Times New Roman" w:cs="Times New Roman"/>
          <w:bCs/>
          <w:color w:val="000000"/>
          <w:sz w:val="24"/>
          <w:szCs w:val="24"/>
        </w:rPr>
        <w:t xml:space="preserve"> </w:t>
      </w:r>
      <w:r w:rsidR="00661CB0" w:rsidRPr="0032506F">
        <w:rPr>
          <w:rFonts w:ascii="Times New Roman" w:eastAsia="Calibri" w:hAnsi="Times New Roman" w:cs="Times New Roman"/>
          <w:bCs/>
          <w:color w:val="000000"/>
          <w:sz w:val="24"/>
          <w:szCs w:val="24"/>
        </w:rPr>
        <w:t>The final set of</w:t>
      </w:r>
      <w:r w:rsidR="00320B95" w:rsidRPr="0032506F">
        <w:rPr>
          <w:rFonts w:ascii="Times New Roman" w:eastAsia="Calibri" w:hAnsi="Times New Roman" w:cs="Times New Roman"/>
          <w:bCs/>
          <w:color w:val="000000"/>
          <w:sz w:val="24"/>
          <w:szCs w:val="24"/>
        </w:rPr>
        <w:t xml:space="preserve"> sixty-six items that emerged </w:t>
      </w:r>
      <w:proofErr w:type="gramStart"/>
      <w:r w:rsidR="00320B95" w:rsidRPr="0032506F">
        <w:rPr>
          <w:rFonts w:ascii="Times New Roman" w:eastAsia="Calibri" w:hAnsi="Times New Roman" w:cs="Times New Roman"/>
          <w:bCs/>
          <w:color w:val="000000"/>
          <w:sz w:val="24"/>
          <w:szCs w:val="24"/>
        </w:rPr>
        <w:t>as a result of</w:t>
      </w:r>
      <w:proofErr w:type="gramEnd"/>
      <w:r w:rsidR="00320B95" w:rsidRPr="0032506F">
        <w:rPr>
          <w:rFonts w:ascii="Times New Roman" w:eastAsia="Calibri" w:hAnsi="Times New Roman" w:cs="Times New Roman"/>
          <w:bCs/>
          <w:color w:val="000000"/>
          <w:sz w:val="24"/>
          <w:szCs w:val="24"/>
        </w:rPr>
        <w:t xml:space="preserve"> this developmental process was submitted for large-group data collection since the </w:t>
      </w:r>
      <w:r w:rsidR="0066543B" w:rsidRPr="0032506F">
        <w:rPr>
          <w:rFonts w:ascii="Times New Roman" w:eastAsia="Calibri" w:hAnsi="Times New Roman" w:cs="Times New Roman"/>
          <w:bCs/>
          <w:color w:val="000000"/>
          <w:sz w:val="24"/>
          <w:szCs w:val="24"/>
        </w:rPr>
        <w:t xml:space="preserve">aim of this dissertation study </w:t>
      </w:r>
      <w:r w:rsidR="00B930FE" w:rsidRPr="0032506F">
        <w:rPr>
          <w:rFonts w:ascii="Times New Roman" w:eastAsia="Calibri" w:hAnsi="Times New Roman" w:cs="Times New Roman"/>
          <w:bCs/>
          <w:color w:val="000000"/>
          <w:sz w:val="24"/>
          <w:szCs w:val="24"/>
        </w:rPr>
        <w:t>was</w:t>
      </w:r>
      <w:r w:rsidR="009E60B5" w:rsidRPr="0032506F">
        <w:rPr>
          <w:rFonts w:ascii="Times New Roman" w:eastAsia="Calibri" w:hAnsi="Times New Roman" w:cs="Times New Roman"/>
          <w:bCs/>
          <w:color w:val="000000"/>
          <w:sz w:val="24"/>
          <w:szCs w:val="24"/>
        </w:rPr>
        <w:t xml:space="preserve"> to test the tripartite conceptualization of engagement and the </w:t>
      </w:r>
      <w:r w:rsidR="006D32B3" w:rsidRPr="0032506F">
        <w:rPr>
          <w:rFonts w:ascii="Times New Roman" w:eastAsia="Calibri" w:hAnsi="Times New Roman" w:cs="Times New Roman"/>
          <w:bCs/>
          <w:color w:val="000000"/>
          <w:sz w:val="24"/>
          <w:szCs w:val="24"/>
        </w:rPr>
        <w:t xml:space="preserve">developed </w:t>
      </w:r>
      <w:r w:rsidR="009E60B5" w:rsidRPr="0032506F">
        <w:rPr>
          <w:rFonts w:ascii="Times New Roman" w:eastAsia="Calibri" w:hAnsi="Times New Roman" w:cs="Times New Roman"/>
          <w:bCs/>
          <w:color w:val="000000"/>
          <w:sz w:val="24"/>
          <w:szCs w:val="24"/>
        </w:rPr>
        <w:t>items</w:t>
      </w:r>
      <w:r w:rsidR="006D32B3" w:rsidRPr="0032506F">
        <w:rPr>
          <w:rFonts w:ascii="Times New Roman" w:eastAsia="Calibri" w:hAnsi="Times New Roman" w:cs="Times New Roman"/>
          <w:bCs/>
          <w:color w:val="000000"/>
          <w:sz w:val="24"/>
          <w:szCs w:val="24"/>
        </w:rPr>
        <w:t xml:space="preserve"> </w:t>
      </w:r>
      <w:r w:rsidR="009E60B5" w:rsidRPr="0032506F">
        <w:rPr>
          <w:rFonts w:ascii="Times New Roman" w:eastAsia="Calibri" w:hAnsi="Times New Roman" w:cs="Times New Roman"/>
          <w:bCs/>
          <w:color w:val="000000"/>
          <w:sz w:val="24"/>
          <w:szCs w:val="24"/>
        </w:rPr>
        <w:t>in online learning environme</w:t>
      </w:r>
      <w:r w:rsidR="00B930FE" w:rsidRPr="0032506F">
        <w:rPr>
          <w:rFonts w:ascii="Times New Roman" w:eastAsia="Calibri" w:hAnsi="Times New Roman" w:cs="Times New Roman"/>
          <w:bCs/>
          <w:color w:val="000000"/>
          <w:sz w:val="24"/>
          <w:szCs w:val="24"/>
        </w:rPr>
        <w:t>n</w:t>
      </w:r>
      <w:r w:rsidR="009E60B5" w:rsidRPr="0032506F">
        <w:rPr>
          <w:rFonts w:ascii="Times New Roman" w:eastAsia="Calibri" w:hAnsi="Times New Roman" w:cs="Times New Roman"/>
          <w:bCs/>
          <w:color w:val="000000"/>
          <w:sz w:val="24"/>
          <w:szCs w:val="24"/>
        </w:rPr>
        <w:t>ts</w:t>
      </w:r>
      <w:r w:rsidR="00B930FE" w:rsidRPr="0032506F">
        <w:rPr>
          <w:rFonts w:ascii="Times New Roman" w:eastAsia="Calibri" w:hAnsi="Times New Roman" w:cs="Times New Roman"/>
          <w:bCs/>
          <w:color w:val="000000"/>
          <w:sz w:val="24"/>
          <w:szCs w:val="24"/>
        </w:rPr>
        <w:t xml:space="preserve">. </w:t>
      </w:r>
      <w:r w:rsidR="00BE16EE" w:rsidRPr="0032506F">
        <w:rPr>
          <w:rFonts w:ascii="Times New Roman" w:eastAsia="Calibri" w:hAnsi="Times New Roman" w:cs="Times New Roman"/>
          <w:bCs/>
          <w:color w:val="000000"/>
          <w:sz w:val="24"/>
          <w:szCs w:val="24"/>
        </w:rPr>
        <w:t>After</w:t>
      </w:r>
      <w:r w:rsidR="006E3EB4" w:rsidRPr="0032506F">
        <w:rPr>
          <w:rFonts w:ascii="Times New Roman" w:eastAsia="Calibri" w:hAnsi="Times New Roman" w:cs="Times New Roman"/>
          <w:bCs/>
          <w:color w:val="000000"/>
          <w:sz w:val="24"/>
          <w:szCs w:val="24"/>
        </w:rPr>
        <w:t xml:space="preserve"> data collection, a series of item screening and evaluations, CFA analyses, validity coefficients, and reliability coefficients were conducted to test for the reliability and validity of the OEHE</w:t>
      </w:r>
      <w:r w:rsidR="008E78A0" w:rsidRPr="0032506F">
        <w:rPr>
          <w:rFonts w:ascii="Times New Roman" w:eastAsia="Calibri" w:hAnsi="Times New Roman" w:cs="Times New Roman"/>
          <w:bCs/>
          <w:color w:val="000000"/>
          <w:sz w:val="24"/>
          <w:szCs w:val="24"/>
        </w:rPr>
        <w:t xml:space="preserve"> scales. </w:t>
      </w:r>
    </w:p>
    <w:p w14:paraId="58CDFF24" w14:textId="77777777" w:rsidR="0033291F" w:rsidRPr="0032506F" w:rsidRDefault="0033291F" w:rsidP="0033291F">
      <w:pPr>
        <w:pStyle w:val="Heading2"/>
      </w:pPr>
      <w:bookmarkStart w:id="41" w:name="_Toc102489443"/>
      <w:r w:rsidRPr="0032506F">
        <w:t>Research Design</w:t>
      </w:r>
      <w:bookmarkEnd w:id="41"/>
    </w:p>
    <w:p w14:paraId="71C1FB8A" w14:textId="018B2158" w:rsidR="0033291F" w:rsidRPr="0032506F" w:rsidRDefault="0033291F" w:rsidP="00853476">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 xml:space="preserve">Because the goal of this study was to develop a new self-report survey measure of online student engagement that can accurately and appropriately measure student engagement in online learning environments of higher education and to assess and evaluate its psychometric properties </w:t>
      </w:r>
      <w:r w:rsidRPr="0032506F">
        <w:rPr>
          <w:rFonts w:ascii="Times New Roman" w:hAnsi="Times New Roman" w:cs="Times New Roman"/>
          <w:sz w:val="24"/>
          <w:szCs w:val="24"/>
        </w:rPr>
        <w:lastRenderedPageBreak/>
        <w:t>(i.e., reliability, validity), multiple steps of a scale development process</w:t>
      </w:r>
      <w:r w:rsidR="00B113D5" w:rsidRPr="0032506F">
        <w:rPr>
          <w:rFonts w:ascii="Times New Roman" w:hAnsi="Times New Roman" w:cs="Times New Roman"/>
          <w:sz w:val="24"/>
          <w:szCs w:val="24"/>
        </w:rPr>
        <w:t xml:space="preserve"> were followed</w:t>
      </w:r>
      <w:r w:rsidRPr="0032506F">
        <w:rPr>
          <w:rFonts w:ascii="Times New Roman" w:hAnsi="Times New Roman" w:cs="Times New Roman"/>
          <w:sz w:val="24"/>
          <w:szCs w:val="24"/>
        </w:rPr>
        <w:t xml:space="preserve"> (DeVellis, 2012; Holmes, 2018). Initial item development, initial </w:t>
      </w:r>
      <w:r w:rsidR="00746075">
        <w:rPr>
          <w:rFonts w:ascii="Times New Roman" w:hAnsi="Times New Roman" w:cs="Times New Roman"/>
          <w:sz w:val="24"/>
          <w:szCs w:val="24"/>
        </w:rPr>
        <w:t xml:space="preserve">dissertation </w:t>
      </w:r>
      <w:r w:rsidRPr="0032506F">
        <w:rPr>
          <w:rFonts w:ascii="Times New Roman" w:hAnsi="Times New Roman" w:cs="Times New Roman"/>
          <w:sz w:val="24"/>
          <w:szCs w:val="24"/>
        </w:rPr>
        <w:t xml:space="preserve">committee reviews, expert reviews, </w:t>
      </w:r>
      <w:r w:rsidR="00B113D5" w:rsidRPr="0032506F">
        <w:rPr>
          <w:rFonts w:ascii="Times New Roman" w:hAnsi="Times New Roman" w:cs="Times New Roman"/>
          <w:sz w:val="24"/>
          <w:szCs w:val="24"/>
        </w:rPr>
        <w:t xml:space="preserve">and </w:t>
      </w:r>
      <w:r w:rsidRPr="0032506F">
        <w:rPr>
          <w:rFonts w:ascii="Times New Roman" w:hAnsi="Times New Roman" w:cs="Times New Roman"/>
          <w:sz w:val="24"/>
          <w:szCs w:val="24"/>
        </w:rPr>
        <w:t>pilot cognitive test</w:t>
      </w:r>
      <w:r w:rsidR="00B113D5" w:rsidRPr="0032506F">
        <w:rPr>
          <w:rFonts w:ascii="Times New Roman" w:hAnsi="Times New Roman" w:cs="Times New Roman"/>
          <w:sz w:val="24"/>
          <w:szCs w:val="24"/>
        </w:rPr>
        <w:t>s were conducted before the testing</w:t>
      </w:r>
      <w:r w:rsidRPr="0032506F">
        <w:rPr>
          <w:rFonts w:ascii="Times New Roman" w:hAnsi="Times New Roman" w:cs="Times New Roman"/>
          <w:sz w:val="24"/>
          <w:szCs w:val="24"/>
        </w:rPr>
        <w:t xml:space="preserve"> of the items</w:t>
      </w:r>
      <w:r w:rsidR="0037292F" w:rsidRPr="0032506F">
        <w:rPr>
          <w:rFonts w:ascii="Times New Roman" w:hAnsi="Times New Roman" w:cs="Times New Roman"/>
          <w:sz w:val="24"/>
          <w:szCs w:val="24"/>
        </w:rPr>
        <w:t xml:space="preserve"> in the validation sample</w:t>
      </w:r>
      <w:r w:rsidRPr="0032506F">
        <w:rPr>
          <w:rFonts w:ascii="Times New Roman" w:hAnsi="Times New Roman" w:cs="Times New Roman"/>
          <w:sz w:val="24"/>
          <w:szCs w:val="24"/>
        </w:rPr>
        <w:t xml:space="preserve"> constitute the multi-stage design of</w:t>
      </w:r>
      <w:r w:rsidR="0037292F" w:rsidRPr="0032506F">
        <w:rPr>
          <w:rFonts w:ascii="Times New Roman" w:hAnsi="Times New Roman" w:cs="Times New Roman"/>
          <w:sz w:val="24"/>
          <w:szCs w:val="24"/>
        </w:rPr>
        <w:t xml:space="preserve"> this </w:t>
      </w:r>
      <w:r w:rsidRPr="0032506F">
        <w:rPr>
          <w:rFonts w:ascii="Times New Roman" w:hAnsi="Times New Roman" w:cs="Times New Roman"/>
          <w:sz w:val="24"/>
          <w:szCs w:val="24"/>
        </w:rPr>
        <w:t xml:space="preserve">study. For the large-group administration of the survey items, a cross-sectional survey research design was used in this study (Creswell, 2014). </w:t>
      </w:r>
    </w:p>
    <w:p w14:paraId="7EC1E6A7" w14:textId="48772337" w:rsidR="00EA5FD3" w:rsidRPr="0032506F" w:rsidRDefault="00EA5FD3" w:rsidP="00BE266A">
      <w:pPr>
        <w:pStyle w:val="Heading2"/>
      </w:pPr>
      <w:bookmarkStart w:id="42" w:name="_Toc102489444"/>
      <w:r w:rsidRPr="0032506F">
        <w:t xml:space="preserve">Summary of Item </w:t>
      </w:r>
      <w:r w:rsidR="00681F05" w:rsidRPr="0032506F">
        <w:t>Development</w:t>
      </w:r>
      <w:r w:rsidR="000E2296" w:rsidRPr="0032506F">
        <w:t xml:space="preserve"> and Validation</w:t>
      </w:r>
      <w:r w:rsidR="00681F05" w:rsidRPr="0032506F">
        <w:t xml:space="preserve"> Process</w:t>
      </w:r>
      <w:bookmarkEnd w:id="42"/>
    </w:p>
    <w:p w14:paraId="24D920F2" w14:textId="31992DF3" w:rsidR="00522122" w:rsidRPr="0032506F" w:rsidRDefault="00681F05" w:rsidP="00536F30">
      <w:pPr>
        <w:tabs>
          <w:tab w:val="left" w:pos="720"/>
          <w:tab w:val="left" w:pos="1440"/>
          <w:tab w:val="left" w:pos="2826"/>
        </w:tabs>
        <w:spacing w:after="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b/>
      </w:r>
      <w:r w:rsidR="00522122" w:rsidRPr="0032506F">
        <w:rPr>
          <w:rFonts w:ascii="Times New Roman" w:eastAsia="Calibri" w:hAnsi="Times New Roman" w:cs="Times New Roman"/>
          <w:bCs/>
          <w:color w:val="000000"/>
          <w:sz w:val="24"/>
          <w:szCs w:val="24"/>
        </w:rPr>
        <w:t xml:space="preserve">Since the reviewed measures of online student engagement were found to be </w:t>
      </w:r>
      <w:r w:rsidR="00BE266A" w:rsidRPr="0032506F">
        <w:rPr>
          <w:rFonts w:ascii="Times New Roman" w:eastAsia="Calibri" w:hAnsi="Times New Roman" w:cs="Times New Roman"/>
          <w:bCs/>
          <w:color w:val="000000"/>
          <w:sz w:val="24"/>
          <w:szCs w:val="24"/>
        </w:rPr>
        <w:t>limited</w:t>
      </w:r>
      <w:r w:rsidR="00522122" w:rsidRPr="0032506F">
        <w:rPr>
          <w:rFonts w:ascii="Times New Roman" w:eastAsia="Calibri" w:hAnsi="Times New Roman" w:cs="Times New Roman"/>
          <w:bCs/>
          <w:color w:val="000000"/>
          <w:sz w:val="24"/>
          <w:szCs w:val="24"/>
        </w:rPr>
        <w:t xml:space="preserve"> </w:t>
      </w:r>
      <w:r w:rsidR="005A3776" w:rsidRPr="0032506F">
        <w:rPr>
          <w:rFonts w:ascii="Times New Roman" w:eastAsia="Calibri" w:hAnsi="Times New Roman" w:cs="Times New Roman"/>
          <w:bCs/>
          <w:color w:val="000000"/>
          <w:sz w:val="24"/>
          <w:szCs w:val="24"/>
        </w:rPr>
        <w:t xml:space="preserve">because of </w:t>
      </w:r>
      <w:r w:rsidR="00522122" w:rsidRPr="0032506F">
        <w:rPr>
          <w:rFonts w:ascii="Times New Roman" w:eastAsia="Calibri" w:hAnsi="Times New Roman" w:cs="Times New Roman"/>
          <w:bCs/>
          <w:color w:val="000000"/>
          <w:sz w:val="24"/>
          <w:szCs w:val="24"/>
        </w:rPr>
        <w:t>the issues of measuring other constructs rather than engagement</w:t>
      </w:r>
      <w:r w:rsidR="00CB329C" w:rsidRPr="0032506F">
        <w:rPr>
          <w:rFonts w:ascii="Times New Roman" w:eastAsia="Calibri" w:hAnsi="Times New Roman" w:cs="Times New Roman"/>
          <w:bCs/>
          <w:color w:val="000000"/>
          <w:sz w:val="24"/>
          <w:szCs w:val="24"/>
        </w:rPr>
        <w:t xml:space="preserve"> (i.e., construct irrelevance)</w:t>
      </w:r>
      <w:r w:rsidR="00522122" w:rsidRPr="0032506F">
        <w:rPr>
          <w:rFonts w:ascii="Times New Roman" w:eastAsia="Calibri" w:hAnsi="Times New Roman" w:cs="Times New Roman"/>
          <w:bCs/>
          <w:color w:val="000000"/>
          <w:sz w:val="24"/>
          <w:szCs w:val="24"/>
        </w:rPr>
        <w:t xml:space="preserve"> and measuring engagement in a manner that was too limited or too broad</w:t>
      </w:r>
      <w:r w:rsidR="00CB329C" w:rsidRPr="0032506F">
        <w:rPr>
          <w:rFonts w:ascii="Times New Roman" w:eastAsia="Calibri" w:hAnsi="Times New Roman" w:cs="Times New Roman"/>
          <w:bCs/>
          <w:color w:val="000000"/>
          <w:sz w:val="24"/>
          <w:szCs w:val="24"/>
        </w:rPr>
        <w:t xml:space="preserve"> (i.e., construct underrepresentation)</w:t>
      </w:r>
      <w:r w:rsidR="00522122" w:rsidRPr="0032506F">
        <w:rPr>
          <w:rFonts w:ascii="Times New Roman" w:eastAsia="Calibri" w:hAnsi="Times New Roman" w:cs="Times New Roman"/>
          <w:bCs/>
          <w:color w:val="000000"/>
          <w:sz w:val="24"/>
          <w:szCs w:val="24"/>
        </w:rPr>
        <w:t xml:space="preserve">, the primary purpose of the initial item construction process was to </w:t>
      </w:r>
      <w:r w:rsidR="009C1AAF" w:rsidRPr="0032506F">
        <w:rPr>
          <w:rFonts w:ascii="Times New Roman" w:eastAsia="Calibri" w:hAnsi="Times New Roman" w:cs="Times New Roman"/>
          <w:bCs/>
          <w:color w:val="000000"/>
          <w:sz w:val="24"/>
          <w:szCs w:val="24"/>
        </w:rPr>
        <w:t>ensure</w:t>
      </w:r>
      <w:r w:rsidR="00522122" w:rsidRPr="0032506F">
        <w:rPr>
          <w:rFonts w:ascii="Times New Roman" w:eastAsia="Calibri" w:hAnsi="Times New Roman" w:cs="Times New Roman"/>
          <w:bCs/>
          <w:color w:val="000000"/>
          <w:sz w:val="24"/>
          <w:szCs w:val="24"/>
        </w:rPr>
        <w:t xml:space="preserve">, as much as possible, that the </w:t>
      </w:r>
      <w:r w:rsidR="00BE266A" w:rsidRPr="0032506F">
        <w:rPr>
          <w:rFonts w:ascii="Times New Roman" w:eastAsia="Calibri" w:hAnsi="Times New Roman" w:cs="Times New Roman"/>
          <w:bCs/>
          <w:color w:val="000000"/>
          <w:sz w:val="24"/>
          <w:szCs w:val="24"/>
        </w:rPr>
        <w:t xml:space="preserve">constructed </w:t>
      </w:r>
      <w:r w:rsidR="00522122" w:rsidRPr="0032506F">
        <w:rPr>
          <w:rFonts w:ascii="Times New Roman" w:eastAsia="Calibri" w:hAnsi="Times New Roman" w:cs="Times New Roman"/>
          <w:bCs/>
          <w:color w:val="000000"/>
          <w:sz w:val="24"/>
          <w:szCs w:val="24"/>
        </w:rPr>
        <w:t xml:space="preserve">items would validly and sufficiently represent </w:t>
      </w:r>
      <w:r w:rsidR="009C1AAF" w:rsidRPr="0032506F">
        <w:rPr>
          <w:rFonts w:ascii="Times New Roman" w:eastAsia="Calibri" w:hAnsi="Times New Roman" w:cs="Times New Roman"/>
          <w:bCs/>
          <w:color w:val="000000"/>
          <w:sz w:val="24"/>
          <w:szCs w:val="24"/>
        </w:rPr>
        <w:t>all</w:t>
      </w:r>
      <w:r w:rsidR="00522122" w:rsidRPr="0032506F">
        <w:rPr>
          <w:rFonts w:ascii="Times New Roman" w:eastAsia="Calibri" w:hAnsi="Times New Roman" w:cs="Times New Roman"/>
          <w:bCs/>
          <w:color w:val="000000"/>
          <w:sz w:val="24"/>
          <w:szCs w:val="24"/>
        </w:rPr>
        <w:t xml:space="preserve"> three</w:t>
      </w:r>
      <w:r w:rsidR="005D7C63" w:rsidRPr="0032506F">
        <w:rPr>
          <w:rFonts w:ascii="Times New Roman" w:eastAsia="Calibri" w:hAnsi="Times New Roman" w:cs="Times New Roman"/>
          <w:bCs/>
          <w:color w:val="000000"/>
          <w:sz w:val="24"/>
          <w:szCs w:val="24"/>
        </w:rPr>
        <w:t xml:space="preserve"> core</w:t>
      </w:r>
      <w:r w:rsidR="00522122" w:rsidRPr="0032506F">
        <w:rPr>
          <w:rFonts w:ascii="Times New Roman" w:eastAsia="Calibri" w:hAnsi="Times New Roman" w:cs="Times New Roman"/>
          <w:bCs/>
          <w:color w:val="000000"/>
          <w:sz w:val="24"/>
          <w:szCs w:val="24"/>
        </w:rPr>
        <w:t xml:space="preserve"> dimensions of online student engagement in terms of their content and language. To achieve this purpose, construct definitions and conceptualization of each dimension of online student engagement with their indicators </w:t>
      </w:r>
      <w:r w:rsidR="007F4FDC" w:rsidRPr="0032506F">
        <w:rPr>
          <w:rFonts w:ascii="Times New Roman" w:eastAsia="Calibri" w:hAnsi="Times New Roman" w:cs="Times New Roman"/>
          <w:bCs/>
          <w:color w:val="000000"/>
          <w:sz w:val="24"/>
          <w:szCs w:val="24"/>
        </w:rPr>
        <w:t xml:space="preserve">were used </w:t>
      </w:r>
      <w:r w:rsidR="00522122" w:rsidRPr="0032506F">
        <w:rPr>
          <w:rFonts w:ascii="Times New Roman" w:eastAsia="Calibri" w:hAnsi="Times New Roman" w:cs="Times New Roman"/>
          <w:bCs/>
          <w:color w:val="000000"/>
          <w:sz w:val="24"/>
          <w:szCs w:val="24"/>
        </w:rPr>
        <w:t>as a guide</w:t>
      </w:r>
      <w:r w:rsidR="007F4FDC" w:rsidRPr="0032506F">
        <w:rPr>
          <w:rFonts w:ascii="Times New Roman" w:eastAsia="Calibri" w:hAnsi="Times New Roman" w:cs="Times New Roman"/>
          <w:bCs/>
          <w:color w:val="000000"/>
          <w:sz w:val="24"/>
          <w:szCs w:val="24"/>
        </w:rPr>
        <w:t xml:space="preserve"> to the </w:t>
      </w:r>
      <w:r w:rsidR="00522122" w:rsidRPr="0032506F">
        <w:rPr>
          <w:rFonts w:ascii="Times New Roman" w:eastAsia="Calibri" w:hAnsi="Times New Roman" w:cs="Times New Roman"/>
          <w:bCs/>
          <w:color w:val="000000"/>
          <w:sz w:val="24"/>
          <w:szCs w:val="24"/>
        </w:rPr>
        <w:t xml:space="preserve">initial item construction process (see </w:t>
      </w:r>
      <w:hyperlink w:anchor="Table31" w:history="1">
        <w:r w:rsidR="00522122" w:rsidRPr="0032506F">
          <w:rPr>
            <w:rFonts w:ascii="Times New Roman" w:eastAsia="Calibri" w:hAnsi="Times New Roman" w:cs="Times New Roman"/>
            <w:bCs/>
            <w:color w:val="0563C1" w:themeColor="hyperlink"/>
            <w:sz w:val="24"/>
            <w:szCs w:val="24"/>
            <w:u w:val="single"/>
          </w:rPr>
          <w:t>Table 3.1</w:t>
        </w:r>
      </w:hyperlink>
      <w:r w:rsidR="00522122" w:rsidRPr="0032506F">
        <w:rPr>
          <w:rFonts w:ascii="Times New Roman" w:eastAsia="Calibri" w:hAnsi="Times New Roman" w:cs="Times New Roman"/>
          <w:bCs/>
          <w:color w:val="000000"/>
          <w:sz w:val="24"/>
          <w:szCs w:val="24"/>
        </w:rPr>
        <w:t>). While</w:t>
      </w:r>
      <w:r w:rsidR="007F4FDC"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the initial pool of</w:t>
      </w:r>
      <w:r w:rsidR="007F4FDC"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 xml:space="preserve">draft items </w:t>
      </w:r>
      <w:r w:rsidR="005D7C63" w:rsidRPr="0032506F">
        <w:rPr>
          <w:rFonts w:ascii="Times New Roman" w:eastAsia="Calibri" w:hAnsi="Times New Roman" w:cs="Times New Roman"/>
          <w:bCs/>
          <w:color w:val="000000"/>
          <w:sz w:val="24"/>
          <w:szCs w:val="24"/>
        </w:rPr>
        <w:t>was</w:t>
      </w:r>
      <w:r w:rsidR="007F4FDC" w:rsidRPr="0032506F">
        <w:rPr>
          <w:rFonts w:ascii="Times New Roman" w:eastAsia="Calibri" w:hAnsi="Times New Roman" w:cs="Times New Roman"/>
          <w:bCs/>
          <w:color w:val="000000"/>
          <w:sz w:val="24"/>
          <w:szCs w:val="24"/>
        </w:rPr>
        <w:t xml:space="preserve"> created</w:t>
      </w:r>
      <w:r w:rsidR="00522122" w:rsidRPr="0032506F">
        <w:rPr>
          <w:rFonts w:ascii="Times New Roman" w:eastAsia="Calibri" w:hAnsi="Times New Roman" w:cs="Times New Roman"/>
          <w:bCs/>
          <w:color w:val="000000"/>
          <w:sz w:val="24"/>
          <w:szCs w:val="24"/>
        </w:rPr>
        <w:t xml:space="preserve">, </w:t>
      </w:r>
      <w:r w:rsidR="007F4FDC" w:rsidRPr="0032506F">
        <w:rPr>
          <w:rFonts w:ascii="Times New Roman" w:eastAsia="Calibri" w:hAnsi="Times New Roman" w:cs="Times New Roman"/>
          <w:bCs/>
          <w:color w:val="000000"/>
          <w:sz w:val="24"/>
          <w:szCs w:val="24"/>
        </w:rPr>
        <w:t xml:space="preserve">the </w:t>
      </w:r>
      <w:r w:rsidR="006771A8" w:rsidRPr="0032506F">
        <w:rPr>
          <w:rFonts w:ascii="Times New Roman" w:eastAsia="Calibri" w:hAnsi="Times New Roman" w:cs="Times New Roman"/>
          <w:bCs/>
          <w:color w:val="000000"/>
          <w:sz w:val="24"/>
          <w:szCs w:val="24"/>
        </w:rPr>
        <w:t xml:space="preserve">scales of </w:t>
      </w:r>
      <w:r w:rsidR="00522122" w:rsidRPr="0032506F">
        <w:rPr>
          <w:rFonts w:ascii="Times New Roman" w:eastAsia="Calibri" w:hAnsi="Times New Roman" w:cs="Times New Roman"/>
          <w:bCs/>
          <w:color w:val="000000"/>
          <w:sz w:val="24"/>
          <w:szCs w:val="24"/>
        </w:rPr>
        <w:t xml:space="preserve">Fredricks et al. (2005), Reeve and Tseng (2011), Reeve (2013), Sun and Rueda (2012), and Young and Bruce (2011) </w:t>
      </w:r>
      <w:r w:rsidR="006771A8" w:rsidRPr="0032506F">
        <w:rPr>
          <w:rFonts w:ascii="Times New Roman" w:eastAsia="Calibri" w:hAnsi="Times New Roman" w:cs="Times New Roman"/>
          <w:bCs/>
          <w:color w:val="000000"/>
          <w:sz w:val="24"/>
          <w:szCs w:val="24"/>
        </w:rPr>
        <w:t>were also consulted</w:t>
      </w:r>
      <w:r w:rsidR="00522122" w:rsidRPr="0032506F">
        <w:rPr>
          <w:rFonts w:ascii="Times New Roman" w:eastAsia="Calibri" w:hAnsi="Times New Roman" w:cs="Times New Roman"/>
          <w:bCs/>
          <w:color w:val="000000"/>
          <w:sz w:val="24"/>
          <w:szCs w:val="24"/>
        </w:rPr>
        <w:t>. Pekrun et al. (2002, 2005,</w:t>
      </w:r>
      <w:r w:rsidR="00D7674B"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 xml:space="preserve">2011) </w:t>
      </w:r>
      <w:r w:rsidR="006771A8" w:rsidRPr="0032506F">
        <w:rPr>
          <w:rFonts w:ascii="Times New Roman" w:eastAsia="Calibri" w:hAnsi="Times New Roman" w:cs="Times New Roman"/>
          <w:bCs/>
          <w:color w:val="000000"/>
          <w:sz w:val="24"/>
          <w:szCs w:val="24"/>
        </w:rPr>
        <w:t xml:space="preserve">was used </w:t>
      </w:r>
      <w:r w:rsidR="00522122" w:rsidRPr="0032506F">
        <w:rPr>
          <w:rFonts w:ascii="Times New Roman" w:eastAsia="Calibri" w:hAnsi="Times New Roman" w:cs="Times New Roman"/>
          <w:bCs/>
          <w:color w:val="000000"/>
          <w:sz w:val="24"/>
          <w:szCs w:val="24"/>
        </w:rPr>
        <w:t xml:space="preserve">for the operationalization of positive academic achievement emotions (i.e., enjoyment, pride, hope) and Pekrun and Linnenbrink-Garcia (2012) and </w:t>
      </w:r>
      <w:bookmarkStart w:id="43" w:name="_Hlk80034479"/>
      <w:r w:rsidR="00522122" w:rsidRPr="0032506F">
        <w:rPr>
          <w:rFonts w:ascii="Times New Roman" w:eastAsia="Calibri" w:hAnsi="Times New Roman" w:cs="Times New Roman"/>
          <w:bCs/>
          <w:color w:val="000000"/>
          <w:sz w:val="24"/>
          <w:szCs w:val="24"/>
        </w:rPr>
        <w:t xml:space="preserve">Litman and Spielberger (2003) </w:t>
      </w:r>
      <w:bookmarkEnd w:id="43"/>
      <w:r w:rsidR="006771A8" w:rsidRPr="0032506F">
        <w:rPr>
          <w:rFonts w:ascii="Times New Roman" w:eastAsia="Calibri" w:hAnsi="Times New Roman" w:cs="Times New Roman"/>
          <w:bCs/>
          <w:color w:val="000000"/>
          <w:sz w:val="24"/>
          <w:szCs w:val="24"/>
        </w:rPr>
        <w:t xml:space="preserve">were </w:t>
      </w:r>
      <w:r w:rsidR="00610DAB" w:rsidRPr="0032506F">
        <w:rPr>
          <w:rFonts w:ascii="Times New Roman" w:eastAsia="Calibri" w:hAnsi="Times New Roman" w:cs="Times New Roman"/>
          <w:bCs/>
          <w:color w:val="000000"/>
          <w:sz w:val="24"/>
          <w:szCs w:val="24"/>
        </w:rPr>
        <w:t xml:space="preserve">consulted </w:t>
      </w:r>
      <w:r w:rsidR="00522122" w:rsidRPr="0032506F">
        <w:rPr>
          <w:rFonts w:ascii="Times New Roman" w:eastAsia="Calibri" w:hAnsi="Times New Roman" w:cs="Times New Roman"/>
          <w:bCs/>
          <w:color w:val="000000"/>
          <w:sz w:val="24"/>
          <w:szCs w:val="24"/>
        </w:rPr>
        <w:t xml:space="preserve">for the operationalization of epistemic emotion of curiosity. </w:t>
      </w:r>
      <w:r w:rsidR="00610DAB" w:rsidRPr="0032506F">
        <w:rPr>
          <w:rFonts w:ascii="Times New Roman" w:eastAsia="Calibri" w:hAnsi="Times New Roman" w:cs="Times New Roman"/>
          <w:bCs/>
          <w:color w:val="000000"/>
          <w:sz w:val="24"/>
          <w:szCs w:val="24"/>
        </w:rPr>
        <w:t>R</w:t>
      </w:r>
      <w:r w:rsidR="00522122" w:rsidRPr="0032506F">
        <w:rPr>
          <w:rFonts w:ascii="Times New Roman" w:eastAsia="Calibri" w:hAnsi="Times New Roman" w:cs="Times New Roman"/>
          <w:bCs/>
          <w:color w:val="000000"/>
          <w:sz w:val="24"/>
          <w:szCs w:val="24"/>
        </w:rPr>
        <w:t>edundant items</w:t>
      </w:r>
      <w:r w:rsidR="00610DAB" w:rsidRPr="0032506F">
        <w:rPr>
          <w:rFonts w:ascii="Times New Roman" w:eastAsia="Calibri" w:hAnsi="Times New Roman" w:cs="Times New Roman"/>
          <w:bCs/>
          <w:color w:val="000000"/>
          <w:sz w:val="24"/>
          <w:szCs w:val="24"/>
        </w:rPr>
        <w:t xml:space="preserve"> were initially constructed</w:t>
      </w:r>
      <w:r w:rsidR="00522122" w:rsidRPr="0032506F">
        <w:rPr>
          <w:rFonts w:ascii="Times New Roman" w:eastAsia="Calibri" w:hAnsi="Times New Roman" w:cs="Times New Roman"/>
          <w:bCs/>
          <w:color w:val="000000"/>
          <w:sz w:val="24"/>
          <w:szCs w:val="24"/>
        </w:rPr>
        <w:t xml:space="preserve"> since redundancy at the initial stages of scale development </w:t>
      </w:r>
      <w:proofErr w:type="gramStart"/>
      <w:r w:rsidR="00522122" w:rsidRPr="0032506F">
        <w:rPr>
          <w:rFonts w:ascii="Times New Roman" w:eastAsia="Calibri" w:hAnsi="Times New Roman" w:cs="Times New Roman"/>
          <w:bCs/>
          <w:color w:val="000000"/>
          <w:sz w:val="24"/>
          <w:szCs w:val="24"/>
        </w:rPr>
        <w:t>is considered to be</w:t>
      </w:r>
      <w:proofErr w:type="gramEnd"/>
      <w:r w:rsidR="00522122" w:rsidRPr="0032506F">
        <w:rPr>
          <w:rFonts w:ascii="Times New Roman" w:eastAsia="Calibri" w:hAnsi="Times New Roman" w:cs="Times New Roman"/>
          <w:bCs/>
          <w:color w:val="000000"/>
          <w:sz w:val="24"/>
          <w:szCs w:val="24"/>
        </w:rPr>
        <w:t xml:space="preserve"> “the foundation of internal-consistency reliability which, in turn, is the foundation of validity” (DeVellis, 2012, p. 85). </w:t>
      </w:r>
      <w:bookmarkStart w:id="44" w:name="_Hlk81388498"/>
      <w:r w:rsidR="00522122" w:rsidRPr="0032506F">
        <w:rPr>
          <w:rFonts w:ascii="Times New Roman" w:eastAsia="Calibri" w:hAnsi="Times New Roman" w:cs="Times New Roman"/>
          <w:bCs/>
          <w:color w:val="000000"/>
          <w:sz w:val="24"/>
          <w:szCs w:val="24"/>
        </w:rPr>
        <w:t xml:space="preserve">Based on the feedback comments of </w:t>
      </w:r>
      <w:r w:rsidR="005D7C63" w:rsidRPr="0032506F">
        <w:rPr>
          <w:rFonts w:ascii="Times New Roman" w:eastAsia="Calibri" w:hAnsi="Times New Roman" w:cs="Times New Roman"/>
          <w:bCs/>
          <w:color w:val="000000"/>
          <w:sz w:val="24"/>
          <w:szCs w:val="24"/>
        </w:rPr>
        <w:t xml:space="preserve">the </w:t>
      </w:r>
      <w:r w:rsidR="0004233F" w:rsidRPr="0032506F">
        <w:rPr>
          <w:rFonts w:ascii="Times New Roman" w:eastAsia="Calibri" w:hAnsi="Times New Roman" w:cs="Times New Roman"/>
          <w:bCs/>
          <w:color w:val="000000"/>
          <w:sz w:val="24"/>
          <w:szCs w:val="24"/>
        </w:rPr>
        <w:t xml:space="preserve">dissertation </w:t>
      </w:r>
      <w:r w:rsidR="00522122" w:rsidRPr="0032506F">
        <w:rPr>
          <w:rFonts w:ascii="Times New Roman" w:eastAsia="Calibri" w:hAnsi="Times New Roman" w:cs="Times New Roman"/>
          <w:bCs/>
          <w:color w:val="000000"/>
          <w:sz w:val="24"/>
          <w:szCs w:val="24"/>
        </w:rPr>
        <w:t xml:space="preserve">committee members </w:t>
      </w:r>
      <w:r w:rsidR="00522122" w:rsidRPr="0032506F">
        <w:rPr>
          <w:rFonts w:ascii="Times New Roman" w:eastAsia="Calibri" w:hAnsi="Times New Roman" w:cs="Times New Roman"/>
          <w:bCs/>
          <w:color w:val="000000"/>
          <w:sz w:val="24"/>
          <w:szCs w:val="24"/>
        </w:rPr>
        <w:lastRenderedPageBreak/>
        <w:t xml:space="preserve">and </w:t>
      </w:r>
      <w:proofErr w:type="gramStart"/>
      <w:r w:rsidR="00522122" w:rsidRPr="0032506F">
        <w:rPr>
          <w:rFonts w:ascii="Times New Roman" w:eastAsia="Calibri" w:hAnsi="Times New Roman" w:cs="Times New Roman"/>
          <w:bCs/>
          <w:color w:val="000000"/>
          <w:sz w:val="24"/>
          <w:szCs w:val="24"/>
        </w:rPr>
        <w:t>in light of</w:t>
      </w:r>
      <w:proofErr w:type="gramEnd"/>
      <w:r w:rsidR="00522122" w:rsidRPr="0032506F">
        <w:rPr>
          <w:rFonts w:ascii="Times New Roman" w:eastAsia="Calibri" w:hAnsi="Times New Roman" w:cs="Times New Roman"/>
          <w:bCs/>
          <w:color w:val="000000"/>
          <w:sz w:val="24"/>
          <w:szCs w:val="24"/>
        </w:rPr>
        <w:t xml:space="preserve"> the relevant literature and existing measures of engagement, iterative revisions, modifications, and additions </w:t>
      </w:r>
      <w:r w:rsidR="005D7C63" w:rsidRPr="0032506F">
        <w:rPr>
          <w:rFonts w:ascii="Times New Roman" w:eastAsia="Calibri" w:hAnsi="Times New Roman" w:cs="Times New Roman"/>
          <w:bCs/>
          <w:color w:val="000000"/>
          <w:sz w:val="24"/>
          <w:szCs w:val="24"/>
        </w:rPr>
        <w:t xml:space="preserve">were made </w:t>
      </w:r>
      <w:r w:rsidR="00522122" w:rsidRPr="0032506F">
        <w:rPr>
          <w:rFonts w:ascii="Times New Roman" w:eastAsia="Calibri" w:hAnsi="Times New Roman" w:cs="Times New Roman"/>
          <w:bCs/>
          <w:color w:val="000000"/>
          <w:sz w:val="24"/>
          <w:szCs w:val="24"/>
        </w:rPr>
        <w:t>before selecting and submitting a set of candidate items as the first draft of the instrument to the expert review process</w:t>
      </w:r>
      <w:bookmarkEnd w:id="44"/>
      <w:r w:rsidR="00522122" w:rsidRPr="0032506F">
        <w:rPr>
          <w:rFonts w:ascii="Times New Roman" w:eastAsia="Calibri" w:hAnsi="Times New Roman" w:cs="Times New Roman"/>
          <w:bCs/>
          <w:color w:val="000000"/>
          <w:sz w:val="24"/>
          <w:szCs w:val="24"/>
        </w:rPr>
        <w:t xml:space="preserve">. Based on two rounds of expert reviews, iterative </w:t>
      </w:r>
      <w:r w:rsidR="00421BB8" w:rsidRPr="0032506F">
        <w:rPr>
          <w:rFonts w:ascii="Times New Roman" w:eastAsia="Calibri" w:hAnsi="Times New Roman" w:cs="Times New Roman"/>
          <w:bCs/>
          <w:color w:val="000000"/>
          <w:sz w:val="24"/>
          <w:szCs w:val="24"/>
        </w:rPr>
        <w:t xml:space="preserve">item </w:t>
      </w:r>
      <w:r w:rsidR="00522122" w:rsidRPr="0032506F">
        <w:rPr>
          <w:rFonts w:ascii="Times New Roman" w:eastAsia="Calibri" w:hAnsi="Times New Roman" w:cs="Times New Roman"/>
          <w:bCs/>
          <w:color w:val="000000"/>
          <w:sz w:val="24"/>
          <w:szCs w:val="24"/>
        </w:rPr>
        <w:t>revisions, additions, and deletions</w:t>
      </w:r>
      <w:r w:rsidR="00421BB8" w:rsidRPr="0032506F">
        <w:rPr>
          <w:rFonts w:ascii="Times New Roman" w:eastAsia="Calibri" w:hAnsi="Times New Roman" w:cs="Times New Roman"/>
          <w:bCs/>
          <w:color w:val="000000"/>
          <w:sz w:val="24"/>
          <w:szCs w:val="24"/>
        </w:rPr>
        <w:t xml:space="preserve"> were made, leading to </w:t>
      </w:r>
      <w:r w:rsidR="00522122" w:rsidRPr="0032506F">
        <w:rPr>
          <w:rFonts w:ascii="Times New Roman" w:eastAsia="Calibri" w:hAnsi="Times New Roman" w:cs="Times New Roman"/>
          <w:bCs/>
          <w:color w:val="000000"/>
          <w:sz w:val="24"/>
          <w:szCs w:val="24"/>
        </w:rPr>
        <w:t xml:space="preserve">a second draft to be submitted to pilot cognitive interviews. As a result of the entire pilot cognitive testing process, a third and final draft of the survey emerged </w:t>
      </w:r>
      <w:r w:rsidR="00421BB8" w:rsidRPr="0032506F">
        <w:rPr>
          <w:rFonts w:ascii="Times New Roman" w:eastAsia="Calibri" w:hAnsi="Times New Roman" w:cs="Times New Roman"/>
          <w:bCs/>
          <w:color w:val="000000"/>
          <w:sz w:val="24"/>
          <w:szCs w:val="24"/>
        </w:rPr>
        <w:t>and was</w:t>
      </w:r>
      <w:r w:rsidR="00522122" w:rsidRPr="0032506F">
        <w:rPr>
          <w:rFonts w:ascii="Times New Roman" w:eastAsia="Calibri" w:hAnsi="Times New Roman" w:cs="Times New Roman"/>
          <w:bCs/>
          <w:color w:val="000000"/>
          <w:sz w:val="24"/>
          <w:szCs w:val="24"/>
        </w:rPr>
        <w:t xml:space="preserve"> submitted to the actual large-group validation study</w:t>
      </w:r>
      <w:r w:rsidR="00421BB8" w:rsidRPr="0032506F">
        <w:rPr>
          <w:rFonts w:ascii="Times New Roman" w:eastAsia="Calibri" w:hAnsi="Times New Roman" w:cs="Times New Roman"/>
          <w:bCs/>
          <w:color w:val="000000"/>
          <w:sz w:val="24"/>
          <w:szCs w:val="24"/>
        </w:rPr>
        <w:t xml:space="preserve"> to test the OEHE items in a validation sample</w:t>
      </w:r>
      <w:r w:rsidR="00536F30"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 xml:space="preserve">(see </w:t>
      </w:r>
      <w:hyperlink w:anchor="figure31" w:history="1">
        <w:r w:rsidR="00522122" w:rsidRPr="0032506F">
          <w:rPr>
            <w:rFonts w:ascii="Times New Roman" w:eastAsia="Calibri" w:hAnsi="Times New Roman" w:cs="Times New Roman"/>
            <w:bCs/>
            <w:color w:val="0563C1" w:themeColor="hyperlink"/>
            <w:sz w:val="24"/>
            <w:szCs w:val="24"/>
            <w:u w:val="single"/>
          </w:rPr>
          <w:t>Figure 3.1</w:t>
        </w:r>
      </w:hyperlink>
      <w:r w:rsidR="00522122" w:rsidRPr="0032506F">
        <w:rPr>
          <w:rFonts w:ascii="Times New Roman" w:eastAsia="Calibri" w:hAnsi="Times New Roman" w:cs="Times New Roman"/>
          <w:bCs/>
          <w:color w:val="000000"/>
          <w:sz w:val="24"/>
          <w:szCs w:val="24"/>
        </w:rPr>
        <w:t xml:space="preserve">). </w:t>
      </w:r>
    </w:p>
    <w:p w14:paraId="38D1A9AC" w14:textId="77777777" w:rsidR="00522122" w:rsidRPr="0032506F" w:rsidRDefault="00522122" w:rsidP="00522122">
      <w:pPr>
        <w:spacing w:after="0" w:line="240" w:lineRule="auto"/>
        <w:rPr>
          <w:rFonts w:ascii="Times New Roman" w:eastAsia="Times New Roman" w:hAnsi="Times New Roman" w:cs="Times New Roman"/>
          <w:b/>
          <w:bCs/>
          <w:color w:val="000000"/>
          <w:sz w:val="24"/>
          <w:szCs w:val="24"/>
        </w:rPr>
      </w:pPr>
      <w:bookmarkStart w:id="45" w:name="Table31"/>
      <w:r w:rsidRPr="0032506F">
        <w:rPr>
          <w:rFonts w:ascii="Times New Roman" w:eastAsia="Times New Roman" w:hAnsi="Times New Roman" w:cs="Times New Roman"/>
          <w:b/>
          <w:bCs/>
          <w:color w:val="000000"/>
          <w:sz w:val="24"/>
          <w:szCs w:val="24"/>
        </w:rPr>
        <w:t>Table 3.1</w:t>
      </w:r>
    </w:p>
    <w:bookmarkEnd w:id="45"/>
    <w:p w14:paraId="5E670971" w14:textId="77777777" w:rsidR="00522122" w:rsidRPr="0032506F" w:rsidRDefault="00522122" w:rsidP="00522122">
      <w:pPr>
        <w:spacing w:after="0" w:line="240" w:lineRule="auto"/>
        <w:rPr>
          <w:rFonts w:ascii="Times New Roman" w:eastAsia="Times New Roman" w:hAnsi="Times New Roman" w:cs="Times New Roman"/>
          <w:b/>
          <w:bCs/>
          <w:color w:val="000000"/>
          <w:sz w:val="24"/>
          <w:szCs w:val="24"/>
        </w:rPr>
      </w:pPr>
    </w:p>
    <w:p w14:paraId="31E22BB6" w14:textId="340DA087" w:rsidR="00522122" w:rsidRPr="0032506F" w:rsidRDefault="00522122" w:rsidP="00522122">
      <w:pPr>
        <w:spacing w:after="0" w:line="480" w:lineRule="auto"/>
        <w:rPr>
          <w:rFonts w:ascii="Times New Roman" w:eastAsia="Calibri" w:hAnsi="Times New Roman" w:cs="Times New Roman"/>
          <w:i/>
          <w:iCs/>
          <w:sz w:val="24"/>
          <w:szCs w:val="24"/>
        </w:rPr>
      </w:pPr>
      <w:r w:rsidRPr="0032506F">
        <w:rPr>
          <w:rFonts w:ascii="Times New Roman" w:eastAsia="Calibri" w:hAnsi="Times New Roman" w:cs="Times New Roman"/>
          <w:i/>
          <w:iCs/>
          <w:sz w:val="24"/>
          <w:szCs w:val="24"/>
        </w:rPr>
        <w:t>Construct Definition</w:t>
      </w:r>
      <w:r w:rsidR="00CE724D" w:rsidRPr="0032506F">
        <w:rPr>
          <w:rFonts w:ascii="Times New Roman" w:eastAsia="Calibri" w:hAnsi="Times New Roman" w:cs="Times New Roman"/>
          <w:i/>
          <w:iCs/>
          <w:sz w:val="24"/>
          <w:szCs w:val="24"/>
        </w:rPr>
        <w:t>s</w:t>
      </w:r>
      <w:r w:rsidRPr="0032506F">
        <w:rPr>
          <w:rFonts w:ascii="Times New Roman" w:eastAsia="Calibri" w:hAnsi="Times New Roman" w:cs="Times New Roman"/>
          <w:i/>
          <w:iCs/>
          <w:sz w:val="24"/>
          <w:szCs w:val="24"/>
        </w:rPr>
        <w:t xml:space="preserve"> and Indicators of Online Student Engagement</w:t>
      </w:r>
      <w:r w:rsidR="00CE724D" w:rsidRPr="0032506F">
        <w:rPr>
          <w:rFonts w:ascii="Times New Roman" w:eastAsia="Calibri" w:hAnsi="Times New Roman" w:cs="Times New Roman"/>
          <w:i/>
          <w:iCs/>
          <w:sz w:val="24"/>
          <w:szCs w:val="24"/>
        </w:rPr>
        <w:t xml:space="preserve"> in the OEHE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1"/>
        <w:gridCol w:w="3216"/>
        <w:gridCol w:w="4297"/>
      </w:tblGrid>
      <w:tr w:rsidR="00522122" w:rsidRPr="0032506F" w14:paraId="2A0736B3" w14:textId="77777777" w:rsidTr="00791EF5">
        <w:tc>
          <w:tcPr>
            <w:tcW w:w="1549" w:type="dxa"/>
            <w:tcBorders>
              <w:top w:val="single" w:sz="8" w:space="0" w:color="auto"/>
              <w:bottom w:val="single" w:sz="8" w:space="0" w:color="auto"/>
            </w:tcBorders>
          </w:tcPr>
          <w:p w14:paraId="4CB3C207" w14:textId="77777777" w:rsidR="00522122" w:rsidRPr="0032506F" w:rsidRDefault="00522122" w:rsidP="00522122">
            <w:pPr>
              <w:rPr>
                <w:rFonts w:ascii="Times New Roman" w:eastAsia="Calibri" w:hAnsi="Times New Roman" w:cs="Times New Roman"/>
                <w:b/>
                <w:bCs/>
              </w:rPr>
            </w:pPr>
            <w:r w:rsidRPr="0032506F">
              <w:rPr>
                <w:rFonts w:ascii="Times New Roman" w:eastAsia="Calibri" w:hAnsi="Times New Roman" w:cs="Times New Roman"/>
                <w:b/>
                <w:sz w:val="24"/>
                <w:szCs w:val="24"/>
              </w:rPr>
              <w:t>S</w:t>
            </w:r>
            <w:r w:rsidRPr="0032506F">
              <w:rPr>
                <w:rFonts w:ascii="Times New Roman" w:eastAsia="Calibri" w:hAnsi="Times New Roman" w:cs="Times New Roman"/>
                <w:b/>
                <w:bCs/>
              </w:rPr>
              <w:t>ubdimension</w:t>
            </w:r>
          </w:p>
        </w:tc>
        <w:tc>
          <w:tcPr>
            <w:tcW w:w="3216" w:type="dxa"/>
            <w:tcBorders>
              <w:top w:val="single" w:sz="8" w:space="0" w:color="auto"/>
              <w:bottom w:val="single" w:sz="8" w:space="0" w:color="auto"/>
            </w:tcBorders>
          </w:tcPr>
          <w:p w14:paraId="27276960" w14:textId="69EBCB00" w:rsidR="00522122" w:rsidRPr="0032506F" w:rsidRDefault="00522122" w:rsidP="00522122">
            <w:pPr>
              <w:jc w:val="center"/>
              <w:rPr>
                <w:rFonts w:ascii="Times New Roman" w:eastAsia="Calibri" w:hAnsi="Times New Roman" w:cs="Times New Roman"/>
                <w:b/>
                <w:bCs/>
              </w:rPr>
            </w:pPr>
            <w:r w:rsidRPr="0032506F">
              <w:rPr>
                <w:rFonts w:ascii="Times New Roman" w:eastAsia="Calibri" w:hAnsi="Times New Roman" w:cs="Times New Roman"/>
                <w:b/>
                <w:bCs/>
              </w:rPr>
              <w:t>Construct Definition</w:t>
            </w:r>
          </w:p>
        </w:tc>
        <w:tc>
          <w:tcPr>
            <w:tcW w:w="4297" w:type="dxa"/>
            <w:tcBorders>
              <w:top w:val="single" w:sz="8" w:space="0" w:color="auto"/>
              <w:bottom w:val="single" w:sz="8" w:space="0" w:color="auto"/>
            </w:tcBorders>
          </w:tcPr>
          <w:p w14:paraId="2E0251C1" w14:textId="7C2B7FEA" w:rsidR="00522122" w:rsidRPr="0032506F" w:rsidRDefault="00522122" w:rsidP="00522122">
            <w:pPr>
              <w:jc w:val="center"/>
              <w:rPr>
                <w:rFonts w:ascii="Times New Roman" w:eastAsia="Calibri" w:hAnsi="Times New Roman" w:cs="Times New Roman"/>
                <w:b/>
                <w:bCs/>
              </w:rPr>
            </w:pPr>
            <w:r w:rsidRPr="0032506F">
              <w:rPr>
                <w:rFonts w:ascii="Times New Roman" w:eastAsia="Calibri" w:hAnsi="Times New Roman" w:cs="Times New Roman"/>
                <w:b/>
                <w:bCs/>
              </w:rPr>
              <w:t>Indicators (</w:t>
            </w:r>
            <w:r w:rsidR="002E0A36" w:rsidRPr="0032506F">
              <w:rPr>
                <w:rFonts w:ascii="Times New Roman" w:eastAsia="Calibri" w:hAnsi="Times New Roman" w:cs="Times New Roman"/>
                <w:b/>
                <w:bCs/>
              </w:rPr>
              <w:t>E</w:t>
            </w:r>
            <w:r w:rsidRPr="0032506F">
              <w:rPr>
                <w:rFonts w:ascii="Times New Roman" w:eastAsia="Calibri" w:hAnsi="Times New Roman" w:cs="Times New Roman"/>
                <w:b/>
                <w:bCs/>
              </w:rPr>
              <w:t>xamples)</w:t>
            </w:r>
          </w:p>
        </w:tc>
      </w:tr>
      <w:tr w:rsidR="00522122" w:rsidRPr="0032506F" w14:paraId="0A009C4E" w14:textId="77777777" w:rsidTr="00791EF5">
        <w:tc>
          <w:tcPr>
            <w:tcW w:w="1549" w:type="dxa"/>
            <w:tcBorders>
              <w:top w:val="single" w:sz="8" w:space="0" w:color="auto"/>
              <w:bottom w:val="single" w:sz="8" w:space="0" w:color="auto"/>
            </w:tcBorders>
          </w:tcPr>
          <w:p w14:paraId="71CA45D8"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Online Behavioral Engagement</w:t>
            </w:r>
          </w:p>
        </w:tc>
        <w:tc>
          <w:tcPr>
            <w:tcW w:w="3216" w:type="dxa"/>
            <w:tcBorders>
              <w:top w:val="single" w:sz="8" w:space="0" w:color="auto"/>
              <w:bottom w:val="single" w:sz="8" w:space="0" w:color="auto"/>
            </w:tcBorders>
          </w:tcPr>
          <w:p w14:paraId="77E660FB"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The extent to which students of higher education (i.e., undergraduate and graduate) exhibit specific behaviors of participation and involvement in their online learning process within online courses of higher education</w:t>
            </w:r>
          </w:p>
        </w:tc>
        <w:tc>
          <w:tcPr>
            <w:tcW w:w="4297" w:type="dxa"/>
            <w:tcBorders>
              <w:top w:val="single" w:sz="8" w:space="0" w:color="auto"/>
              <w:bottom w:val="single" w:sz="8" w:space="0" w:color="auto"/>
            </w:tcBorders>
          </w:tcPr>
          <w:p w14:paraId="5C238494"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reading posts</w:t>
            </w:r>
          </w:p>
          <w:p w14:paraId="59A2044C"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responding to posts</w:t>
            </w:r>
          </w:p>
          <w:p w14:paraId="378BABFB"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sharing resources (e.g.,</w:t>
            </w: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rPr>
              <w:t>articles, website links, videos) with others</w:t>
            </w:r>
          </w:p>
          <w:p w14:paraId="045183E5"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studying text materials (e.g., pdfs, slides)</w:t>
            </w:r>
          </w:p>
          <w:p w14:paraId="463D9526"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studying lecture videos</w:t>
            </w:r>
          </w:p>
          <w:p w14:paraId="438FAC0B"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completing online tasks, activities, and assignments</w:t>
            </w:r>
          </w:p>
          <w:p w14:paraId="79C808A5"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submitting assignments online</w:t>
            </w:r>
          </w:p>
        </w:tc>
      </w:tr>
      <w:tr w:rsidR="00522122" w:rsidRPr="0032506F" w14:paraId="79D4F597" w14:textId="77777777" w:rsidTr="00791EF5">
        <w:tc>
          <w:tcPr>
            <w:tcW w:w="1549" w:type="dxa"/>
            <w:tcBorders>
              <w:top w:val="single" w:sz="8" w:space="0" w:color="auto"/>
              <w:bottom w:val="single" w:sz="8" w:space="0" w:color="auto"/>
            </w:tcBorders>
          </w:tcPr>
          <w:p w14:paraId="54790146"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Online Emotional Engagement</w:t>
            </w:r>
          </w:p>
        </w:tc>
        <w:tc>
          <w:tcPr>
            <w:tcW w:w="3216" w:type="dxa"/>
            <w:tcBorders>
              <w:top w:val="single" w:sz="8" w:space="0" w:color="auto"/>
              <w:bottom w:val="single" w:sz="8" w:space="0" w:color="auto"/>
            </w:tcBorders>
          </w:tcPr>
          <w:p w14:paraId="4132C953"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The extent to which online students of higher education experience certain positive emotions regarding their learning experiences in online courses</w:t>
            </w:r>
          </w:p>
        </w:tc>
        <w:tc>
          <w:tcPr>
            <w:tcW w:w="4297" w:type="dxa"/>
            <w:tcBorders>
              <w:top w:val="single" w:sz="8" w:space="0" w:color="auto"/>
              <w:bottom w:val="single" w:sz="8" w:space="0" w:color="auto"/>
            </w:tcBorders>
          </w:tcPr>
          <w:p w14:paraId="54624866"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enjoyment</w:t>
            </w:r>
          </w:p>
          <w:p w14:paraId="59804353"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pride</w:t>
            </w:r>
          </w:p>
          <w:p w14:paraId="28A3B1ED"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hope</w:t>
            </w:r>
          </w:p>
          <w:p w14:paraId="2AEDA4B8"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curiosity</w:t>
            </w:r>
          </w:p>
        </w:tc>
      </w:tr>
      <w:tr w:rsidR="00522122" w:rsidRPr="0032506F" w14:paraId="52B135A8" w14:textId="77777777" w:rsidTr="00791EF5">
        <w:tc>
          <w:tcPr>
            <w:tcW w:w="1549" w:type="dxa"/>
            <w:tcBorders>
              <w:top w:val="single" w:sz="8" w:space="0" w:color="auto"/>
              <w:bottom w:val="single" w:sz="8" w:space="0" w:color="auto"/>
            </w:tcBorders>
          </w:tcPr>
          <w:p w14:paraId="79DE9E62"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Online Cognitive Engagement</w:t>
            </w:r>
          </w:p>
        </w:tc>
        <w:tc>
          <w:tcPr>
            <w:tcW w:w="3216" w:type="dxa"/>
            <w:tcBorders>
              <w:top w:val="single" w:sz="8" w:space="0" w:color="auto"/>
              <w:bottom w:val="single" w:sz="8" w:space="0" w:color="auto"/>
            </w:tcBorders>
          </w:tcPr>
          <w:p w14:paraId="6C6F119B"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The extent to which online students of higher education expend and regulate conscious mental effort to use cognitive and metacognitive strategies during online learning</w:t>
            </w:r>
          </w:p>
        </w:tc>
        <w:tc>
          <w:tcPr>
            <w:tcW w:w="4297" w:type="dxa"/>
            <w:tcBorders>
              <w:top w:val="single" w:sz="8" w:space="0" w:color="auto"/>
              <w:bottom w:val="single" w:sz="8" w:space="0" w:color="auto"/>
            </w:tcBorders>
          </w:tcPr>
          <w:p w14:paraId="7C0358D2"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making logical connections</w:t>
            </w:r>
          </w:p>
          <w:p w14:paraId="277377B0"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reflecting on ideas</w:t>
            </w:r>
          </w:p>
          <w:p w14:paraId="13C3571C"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deriving logical conclusions</w:t>
            </w:r>
          </w:p>
          <w:p w14:paraId="47F17B2D"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trying to fully understand</w:t>
            </w:r>
          </w:p>
          <w:p w14:paraId="160F5B6C"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 xml:space="preserve">creating examples </w:t>
            </w:r>
          </w:p>
          <w:p w14:paraId="6632EB30"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 xml:space="preserve">formulating questions </w:t>
            </w:r>
          </w:p>
          <w:p w14:paraId="4A75900A"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making inferences</w:t>
            </w:r>
          </w:p>
          <w:p w14:paraId="1B23B64A"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relating new information to prior knowledge</w:t>
            </w:r>
          </w:p>
          <w:p w14:paraId="4414E284"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planning</w:t>
            </w:r>
          </w:p>
          <w:p w14:paraId="7042AD2E"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monitoring</w:t>
            </w:r>
          </w:p>
          <w:p w14:paraId="48FAA5A3" w14:textId="77777777" w:rsidR="00522122" w:rsidRPr="0032506F" w:rsidRDefault="00522122" w:rsidP="00522122">
            <w:pPr>
              <w:numPr>
                <w:ilvl w:val="0"/>
                <w:numId w:val="11"/>
              </w:numPr>
              <w:ind w:left="416"/>
              <w:rPr>
                <w:rFonts w:ascii="Times New Roman" w:eastAsia="Calibri" w:hAnsi="Times New Roman" w:cs="Times New Roman"/>
              </w:rPr>
            </w:pPr>
            <w:r w:rsidRPr="0032506F">
              <w:rPr>
                <w:rFonts w:ascii="Times New Roman" w:eastAsia="Calibri" w:hAnsi="Times New Roman" w:cs="Times New Roman"/>
              </w:rPr>
              <w:t>self-evaluating</w:t>
            </w:r>
          </w:p>
        </w:tc>
      </w:tr>
    </w:tbl>
    <w:p w14:paraId="3FDEED0C" w14:textId="77777777" w:rsidR="00745A4D" w:rsidRDefault="00745A4D" w:rsidP="00522122">
      <w:pPr>
        <w:tabs>
          <w:tab w:val="left" w:pos="720"/>
          <w:tab w:val="left" w:pos="2826"/>
        </w:tabs>
        <w:spacing w:after="0" w:line="480" w:lineRule="auto"/>
        <w:contextualSpacing/>
        <w:rPr>
          <w:rFonts w:ascii="Times New Roman" w:eastAsia="Calibri" w:hAnsi="Times New Roman" w:cs="Times New Roman"/>
          <w:b/>
          <w:bCs/>
          <w:color w:val="000000"/>
          <w:sz w:val="24"/>
          <w:szCs w:val="24"/>
        </w:rPr>
      </w:pPr>
      <w:bookmarkStart w:id="46" w:name="figure31"/>
    </w:p>
    <w:p w14:paraId="3C743241" w14:textId="12F79A16" w:rsidR="00522122" w:rsidRPr="0032506F" w:rsidRDefault="00522122" w:rsidP="00522122">
      <w:pPr>
        <w:tabs>
          <w:tab w:val="left" w:pos="720"/>
          <w:tab w:val="left" w:pos="2826"/>
        </w:tabs>
        <w:spacing w:after="0" w:line="480" w:lineRule="auto"/>
        <w:contextualSpacing/>
        <w:rPr>
          <w:rFonts w:ascii="Times New Roman" w:eastAsia="Calibri" w:hAnsi="Times New Roman" w:cs="Times New Roman"/>
          <w:b/>
          <w:bCs/>
          <w:color w:val="000000"/>
          <w:sz w:val="24"/>
          <w:szCs w:val="24"/>
        </w:rPr>
      </w:pPr>
      <w:r w:rsidRPr="0032506F">
        <w:rPr>
          <w:rFonts w:ascii="Times New Roman" w:eastAsia="Calibri" w:hAnsi="Times New Roman" w:cs="Times New Roman"/>
          <w:b/>
          <w:bCs/>
          <w:color w:val="000000"/>
          <w:sz w:val="24"/>
          <w:szCs w:val="24"/>
        </w:rPr>
        <w:lastRenderedPageBreak/>
        <w:t>Figure 3.1</w:t>
      </w:r>
    </w:p>
    <w:bookmarkEnd w:id="46"/>
    <w:p w14:paraId="50B8C87F" w14:textId="77777777" w:rsidR="00522122" w:rsidRPr="0032506F" w:rsidRDefault="00522122" w:rsidP="00522122">
      <w:pPr>
        <w:tabs>
          <w:tab w:val="left" w:pos="2826"/>
        </w:tabs>
        <w:spacing w:after="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i/>
          <w:iCs/>
          <w:color w:val="000000"/>
          <w:sz w:val="24"/>
          <w:szCs w:val="24"/>
        </w:rPr>
        <w:t>Four Stages and Their Corresponding Steps to Be Followed during the Scale Development</w:t>
      </w:r>
    </w:p>
    <w:p w14:paraId="5BF084A8" w14:textId="77777777" w:rsidR="00522122" w:rsidRPr="0032506F" w:rsidRDefault="00522122" w:rsidP="00522122">
      <w:pPr>
        <w:tabs>
          <w:tab w:val="left" w:pos="2826"/>
        </w:tabs>
        <w:spacing w:after="0" w:line="480" w:lineRule="auto"/>
        <w:contextualSpacing/>
        <w:rPr>
          <w:rFonts w:ascii="Times New Roman" w:eastAsia="Calibri" w:hAnsi="Times New Roman" w:cs="Times New Roman"/>
          <w:bCs/>
          <w:color w:val="000000"/>
          <w:sz w:val="24"/>
          <w:szCs w:val="24"/>
        </w:rPr>
      </w:pPr>
      <w:r w:rsidRPr="0032506F">
        <w:rPr>
          <w:noProof/>
        </w:rPr>
        <w:drawing>
          <wp:inline distT="0" distB="0" distL="0" distR="0" wp14:anchorId="00276535" wp14:editId="02625AFB">
            <wp:extent cx="5786281" cy="5706534"/>
            <wp:effectExtent l="0" t="0" r="508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91268" cy="5711452"/>
                    </a:xfrm>
                    <a:prstGeom prst="rect">
                      <a:avLst/>
                    </a:prstGeom>
                  </pic:spPr>
                </pic:pic>
              </a:graphicData>
            </a:graphic>
          </wp:inline>
        </w:drawing>
      </w:r>
    </w:p>
    <w:p w14:paraId="338A006D" w14:textId="77777777" w:rsidR="00E0242A" w:rsidRPr="0032506F" w:rsidRDefault="00522122" w:rsidP="002D02A5">
      <w:pPr>
        <w:tabs>
          <w:tab w:val="left" w:pos="720"/>
          <w:tab w:val="left" w:pos="2826"/>
        </w:tabs>
        <w:spacing w:after="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b/>
        <w:t xml:space="preserve">Five response options were used in </w:t>
      </w:r>
      <w:r w:rsidR="00791CF1" w:rsidRPr="0032506F">
        <w:rPr>
          <w:rFonts w:ascii="Times New Roman" w:eastAsia="Calibri" w:hAnsi="Times New Roman" w:cs="Times New Roman"/>
          <w:bCs/>
          <w:color w:val="000000"/>
          <w:sz w:val="24"/>
          <w:szCs w:val="24"/>
        </w:rPr>
        <w:t>a</w:t>
      </w:r>
      <w:r w:rsidRPr="0032506F">
        <w:rPr>
          <w:rFonts w:ascii="Times New Roman" w:eastAsia="Calibri" w:hAnsi="Times New Roman" w:cs="Times New Roman"/>
          <w:bCs/>
          <w:color w:val="000000"/>
          <w:sz w:val="24"/>
          <w:szCs w:val="24"/>
        </w:rPr>
        <w:t xml:space="preserve"> Likert-type frequency response scale</w:t>
      </w:r>
      <w:r w:rsidR="00791CF1" w:rsidRPr="0032506F">
        <w:rPr>
          <w:rFonts w:ascii="Times New Roman" w:eastAsia="Calibri" w:hAnsi="Times New Roman" w:cs="Times New Roman"/>
          <w:bCs/>
          <w:color w:val="000000"/>
          <w:sz w:val="24"/>
          <w:szCs w:val="24"/>
        </w:rPr>
        <w:t xml:space="preserve"> (1=Never, 5=Always)</w:t>
      </w:r>
      <w:r w:rsidRPr="0032506F">
        <w:rPr>
          <w:rFonts w:ascii="Times New Roman" w:eastAsia="Calibri" w:hAnsi="Times New Roman" w:cs="Times New Roman"/>
          <w:bCs/>
          <w:color w:val="000000"/>
          <w:sz w:val="24"/>
          <w:szCs w:val="24"/>
        </w:rPr>
        <w:t xml:space="preserve"> for two reasons. First, there is no consensus among researchers on the ideal number of points to be used in response scales (Leung, 2011) and second, “researchers often use five or seven response options, balancing fine-gradation, subtlety, and psychometric quality” (Furr, 2011, p.18). The optimal number of items and the final length of the OEHE instrument was </w:t>
      </w:r>
      <w:r w:rsidRPr="0032506F">
        <w:rPr>
          <w:rFonts w:ascii="Times New Roman" w:eastAsia="Calibri" w:hAnsi="Times New Roman" w:cs="Times New Roman"/>
          <w:bCs/>
          <w:color w:val="000000"/>
          <w:sz w:val="24"/>
          <w:szCs w:val="24"/>
        </w:rPr>
        <w:lastRenderedPageBreak/>
        <w:t xml:space="preserve">determined </w:t>
      </w:r>
      <w:proofErr w:type="gramStart"/>
      <w:r w:rsidRPr="0032506F">
        <w:rPr>
          <w:rFonts w:ascii="Times New Roman" w:eastAsia="Calibri" w:hAnsi="Times New Roman" w:cs="Times New Roman"/>
          <w:bCs/>
          <w:color w:val="000000"/>
          <w:sz w:val="24"/>
          <w:szCs w:val="24"/>
        </w:rPr>
        <w:t>in light of</w:t>
      </w:r>
      <w:proofErr w:type="gramEnd"/>
      <w:r w:rsidRPr="0032506F">
        <w:rPr>
          <w:rFonts w:ascii="Times New Roman" w:eastAsia="Calibri" w:hAnsi="Times New Roman" w:cs="Times New Roman"/>
          <w:bCs/>
          <w:color w:val="000000"/>
          <w:sz w:val="24"/>
          <w:szCs w:val="24"/>
        </w:rPr>
        <w:t xml:space="preserve"> psychometric </w:t>
      </w:r>
      <w:r w:rsidR="00791CF1" w:rsidRPr="0032506F">
        <w:rPr>
          <w:rFonts w:ascii="Times New Roman" w:eastAsia="Calibri" w:hAnsi="Times New Roman" w:cs="Times New Roman"/>
          <w:bCs/>
          <w:color w:val="000000"/>
          <w:sz w:val="24"/>
          <w:szCs w:val="24"/>
        </w:rPr>
        <w:t>properties</w:t>
      </w:r>
      <w:r w:rsidRPr="0032506F">
        <w:rPr>
          <w:rFonts w:ascii="Times New Roman" w:eastAsia="Calibri" w:hAnsi="Times New Roman" w:cs="Times New Roman"/>
          <w:bCs/>
          <w:color w:val="000000"/>
          <w:sz w:val="24"/>
          <w:szCs w:val="24"/>
        </w:rPr>
        <w:t xml:space="preserve"> (i.e., internal consistency reliability, factorial validity) (DeVellis, 2012; Furr, 2011).   </w:t>
      </w:r>
      <w:bookmarkStart w:id="47" w:name="_Hlk67593522"/>
    </w:p>
    <w:p w14:paraId="733AE377" w14:textId="77777777" w:rsidR="00E0242A" w:rsidRPr="0032506F" w:rsidRDefault="00522122" w:rsidP="00195B7F">
      <w:pPr>
        <w:pStyle w:val="Heading2"/>
      </w:pPr>
      <w:bookmarkStart w:id="48" w:name="_Toc102489445"/>
      <w:r w:rsidRPr="0032506F">
        <w:t>Construct Definition and Operationalization of Online Behavioral Engagement</w:t>
      </w:r>
      <w:bookmarkEnd w:id="47"/>
      <w:bookmarkEnd w:id="48"/>
    </w:p>
    <w:p w14:paraId="148EFF17" w14:textId="3CA28964" w:rsidR="00522122" w:rsidRPr="0032506F" w:rsidRDefault="00522122" w:rsidP="00E0242A">
      <w:pPr>
        <w:tabs>
          <w:tab w:val="left" w:pos="720"/>
          <w:tab w:val="left" w:pos="2826"/>
        </w:tabs>
        <w:spacing w:after="20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
          <w:bCs/>
          <w:i/>
          <w:iCs/>
          <w:sz w:val="28"/>
          <w:szCs w:val="28"/>
        </w:rPr>
        <w:t xml:space="preserve"> </w:t>
      </w:r>
      <w:r w:rsidR="00E0242A" w:rsidRPr="0032506F">
        <w:rPr>
          <w:rFonts w:ascii="Times New Roman" w:eastAsia="Calibri" w:hAnsi="Times New Roman" w:cs="Times New Roman"/>
          <w:b/>
          <w:bCs/>
          <w:i/>
          <w:iCs/>
          <w:sz w:val="28"/>
          <w:szCs w:val="28"/>
        </w:rPr>
        <w:tab/>
      </w:r>
      <w:r w:rsidRPr="0032506F">
        <w:rPr>
          <w:rFonts w:ascii="Times New Roman" w:eastAsia="Calibri" w:hAnsi="Times New Roman" w:cs="Times New Roman"/>
          <w:sz w:val="24"/>
          <w:szCs w:val="24"/>
        </w:rPr>
        <w:t xml:space="preserve">Due to the course-level student participation and involvement intended to be measured, </w:t>
      </w:r>
      <w:r w:rsidRPr="0032506F">
        <w:rPr>
          <w:rFonts w:ascii="Times New Roman" w:eastAsia="Calibri" w:hAnsi="Times New Roman" w:cs="Times New Roman"/>
          <w:color w:val="000000"/>
          <w:sz w:val="24"/>
          <w:szCs w:val="24"/>
        </w:rPr>
        <w:t>online behavioral engagement</w:t>
      </w:r>
      <w:r w:rsidR="00F4019A" w:rsidRPr="0032506F">
        <w:rPr>
          <w:rFonts w:ascii="Times New Roman" w:eastAsia="Calibri" w:hAnsi="Times New Roman" w:cs="Times New Roman"/>
          <w:color w:val="000000"/>
          <w:sz w:val="24"/>
          <w:szCs w:val="24"/>
        </w:rPr>
        <w:t xml:space="preserve"> is defined</w:t>
      </w:r>
      <w:r w:rsidRPr="0032506F">
        <w:rPr>
          <w:rFonts w:ascii="Times New Roman" w:eastAsia="Calibri" w:hAnsi="Times New Roman" w:cs="Times New Roman"/>
          <w:color w:val="000000"/>
          <w:sz w:val="24"/>
          <w:szCs w:val="24"/>
        </w:rPr>
        <w:t xml:space="preserve"> in this study as the dimension which refers to</w:t>
      </w:r>
      <w:r w:rsidRPr="0032506F">
        <w:rPr>
          <w:rFonts w:ascii="Times New Roman" w:eastAsia="Calibri" w:hAnsi="Times New Roman" w:cs="Times New Roman"/>
          <w:sz w:val="24"/>
          <w:szCs w:val="24"/>
        </w:rPr>
        <w:t xml:space="preserve"> </w:t>
      </w:r>
      <w:r w:rsidRPr="0032506F">
        <w:rPr>
          <w:rFonts w:ascii="Times New Roman" w:eastAsia="Calibri" w:hAnsi="Times New Roman" w:cs="Times New Roman"/>
          <w:i/>
          <w:iCs/>
          <w:sz w:val="24"/>
          <w:szCs w:val="24"/>
        </w:rPr>
        <w:t>the extent to which students of higher education (i.e., undergraduate and graduate) exhibit specific behaviors of participation and involvement in their online learning process within online courses of higher  education</w:t>
      </w:r>
      <w:r w:rsidRPr="0032506F">
        <w:rPr>
          <w:rFonts w:ascii="Times New Roman" w:eastAsia="Calibri" w:hAnsi="Times New Roman" w:cs="Times New Roman"/>
          <w:sz w:val="24"/>
          <w:szCs w:val="24"/>
        </w:rPr>
        <w:t xml:space="preserve"> </w:t>
      </w:r>
      <w:r w:rsidRPr="0032506F">
        <w:rPr>
          <w:rFonts w:ascii="Times New Roman" w:eastAsia="Calibri" w:hAnsi="Times New Roman" w:cs="Times New Roman"/>
          <w:color w:val="000000"/>
          <w:sz w:val="24"/>
          <w:szCs w:val="24"/>
        </w:rPr>
        <w:t xml:space="preserve">(e.g., participating in asynchronous online discussions, participating in online activities, submitting assignments by due dates). </w:t>
      </w:r>
      <w:r w:rsidR="00F4019A" w:rsidRPr="0032506F">
        <w:rPr>
          <w:rFonts w:ascii="Times New Roman" w:eastAsia="Calibri" w:hAnsi="Times New Roman" w:cs="Times New Roman"/>
          <w:color w:val="000000"/>
          <w:sz w:val="24"/>
          <w:szCs w:val="24"/>
        </w:rPr>
        <w:t>This</w:t>
      </w:r>
      <w:r w:rsidRPr="0032506F">
        <w:rPr>
          <w:rFonts w:ascii="Times New Roman" w:eastAsia="Calibri" w:hAnsi="Times New Roman" w:cs="Times New Roman"/>
          <w:color w:val="000000"/>
          <w:sz w:val="24"/>
          <w:szCs w:val="24"/>
        </w:rPr>
        <w:t xml:space="preserve"> construct definition corresponds to conceptualization of behavioral engagement as student participation and involvement in academic learning (Finn, 1989; Fredricks et al., 2004; Fredricks &amp; McColskey, 2012).</w:t>
      </w:r>
      <w:bookmarkStart w:id="49" w:name="_Hlk67651435"/>
      <w:r w:rsidRPr="0032506F">
        <w:rPr>
          <w:rFonts w:ascii="Times New Roman" w:eastAsia="Calibri" w:hAnsi="Times New Roman" w:cs="Times New Roman"/>
          <w:color w:val="000000"/>
          <w:sz w:val="24"/>
          <w:szCs w:val="24"/>
        </w:rPr>
        <w:t xml:space="preserve"> Next, in light of the engagement literature suggesting common indicators of behavioral engagement (e.g., </w:t>
      </w:r>
      <w:bookmarkStart w:id="50" w:name="_Hlk94365940"/>
      <w:r w:rsidRPr="0032506F">
        <w:rPr>
          <w:rFonts w:ascii="Times New Roman" w:eastAsia="Calibri" w:hAnsi="Times New Roman" w:cs="Times New Roman"/>
          <w:color w:val="000000"/>
          <w:sz w:val="24"/>
          <w:szCs w:val="24"/>
        </w:rPr>
        <w:t>homework completion, studying, participation/involvement, asking for help, see Bond et al., 2020; Henrie et al., 2015</w:t>
      </w:r>
      <w:bookmarkEnd w:id="50"/>
      <w:r w:rsidRPr="0032506F">
        <w:rPr>
          <w:rFonts w:ascii="Times New Roman" w:eastAsia="Calibri" w:hAnsi="Times New Roman" w:cs="Times New Roman"/>
          <w:color w:val="000000"/>
          <w:sz w:val="24"/>
          <w:szCs w:val="24"/>
        </w:rPr>
        <w:t>) and in alignment with the relevant literature indicating</w:t>
      </w:r>
      <w:bookmarkEnd w:id="49"/>
      <w:r w:rsidRPr="0032506F">
        <w:rPr>
          <w:rFonts w:ascii="Times New Roman" w:eastAsia="Calibri" w:hAnsi="Times New Roman" w:cs="Times New Roman"/>
          <w:color w:val="000000"/>
          <w:sz w:val="24"/>
          <w:szCs w:val="24"/>
        </w:rPr>
        <w:t xml:space="preserve"> common online student participation behaviors and engagement actions, such as participation in online discussions (e.g., discussion posting, reading others’ discussion posts, responding to discussion posts) (Chen et al., 2010; Dennen, 2008; Goggins &amp; Xing, 2016; Ramos &amp; Yudko, 2008; Warren, 2018), knowledge sharing behaviors in online discussions (</w:t>
      </w:r>
      <w:r w:rsidRPr="0032506F">
        <w:rPr>
          <w:rFonts w:ascii="Times New Roman" w:eastAsia="Calibri" w:hAnsi="Times New Roman" w:cs="Times New Roman"/>
          <w:bCs/>
          <w:color w:val="000000"/>
          <w:sz w:val="24"/>
          <w:szCs w:val="24"/>
        </w:rPr>
        <w:t xml:space="preserve">Kumi &amp; Sabherwal, 2019; </w:t>
      </w:r>
      <w:r w:rsidRPr="0032506F">
        <w:rPr>
          <w:rFonts w:ascii="Times New Roman" w:eastAsia="Calibri" w:hAnsi="Times New Roman" w:cs="Times New Roman"/>
          <w:color w:val="000000"/>
          <w:sz w:val="24"/>
          <w:szCs w:val="24"/>
        </w:rPr>
        <w:t>Yilmaz &amp; Karaoglan Yilmaz, 201</w:t>
      </w:r>
      <w:r w:rsidR="008F1CFA" w:rsidRPr="0032506F">
        <w:rPr>
          <w:rFonts w:ascii="Times New Roman" w:eastAsia="Calibri" w:hAnsi="Times New Roman" w:cs="Times New Roman"/>
          <w:color w:val="000000"/>
          <w:sz w:val="24"/>
          <w:szCs w:val="24"/>
        </w:rPr>
        <w:t>9</w:t>
      </w:r>
      <w:r w:rsidRPr="0032506F">
        <w:rPr>
          <w:rFonts w:ascii="Times New Roman" w:eastAsia="Calibri" w:hAnsi="Times New Roman" w:cs="Times New Roman"/>
          <w:color w:val="000000"/>
          <w:sz w:val="24"/>
          <w:szCs w:val="24"/>
        </w:rPr>
        <w:t>), exchanging or sharing resources/contents with others (Park et al., 2016; Shackelford &amp; Maxwell, 2012), watching lecture videos (Ozan &amp; Ozarslan, 2016), note-taking behaviors of online students (van de Sande et al., 2017; Watkins et al., 2015), completing online tasks and activities, submitting assignments online (Cerezo et al., 2016; Kokoc et al., 2021; Park et al., 2016), and getting and using feedback from the instructor</w:t>
      </w:r>
      <w:r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lastRenderedPageBreak/>
        <w:t>(Watson et al., 2017),</w:t>
      </w:r>
      <w:r w:rsidRPr="0032506F">
        <w:rPr>
          <w:rFonts w:ascii="Times New Roman" w:eastAsia="Calibri" w:hAnsi="Times New Roman" w:cs="Times New Roman"/>
          <w:color w:val="000000"/>
          <w:sz w:val="24"/>
          <w:szCs w:val="24"/>
        </w:rPr>
        <w:t xml:space="preserve">  certain indicators intended to adequately and accurately represent the content domain or universe of online behavioral engagement</w:t>
      </w:r>
      <w:r w:rsidR="00903981" w:rsidRPr="0032506F">
        <w:rPr>
          <w:rFonts w:ascii="Times New Roman" w:eastAsia="Calibri" w:hAnsi="Times New Roman" w:cs="Times New Roman"/>
          <w:color w:val="000000"/>
          <w:sz w:val="24"/>
          <w:szCs w:val="24"/>
        </w:rPr>
        <w:t xml:space="preserve"> were developed</w:t>
      </w:r>
      <w:r w:rsidRPr="0032506F">
        <w:rPr>
          <w:rFonts w:ascii="Times New Roman" w:eastAsia="Calibri" w:hAnsi="Times New Roman" w:cs="Times New Roman"/>
          <w:color w:val="000000"/>
          <w:sz w:val="24"/>
          <w:szCs w:val="24"/>
        </w:rPr>
        <w:t xml:space="preserve">. </w:t>
      </w:r>
      <w:r w:rsidR="00085284" w:rsidRPr="0032506F">
        <w:rPr>
          <w:rFonts w:ascii="Times New Roman" w:eastAsia="Calibri" w:hAnsi="Times New Roman" w:cs="Times New Roman"/>
          <w:bCs/>
          <w:color w:val="000000"/>
          <w:sz w:val="24"/>
          <w:szCs w:val="24"/>
        </w:rPr>
        <w:t>To address the issues of construct irrelevance (CI) and construct underrepresentation (CU), all the constructed items were kept within the relevant domain of online student behaviors but nothing else and as many draft items as possible were created to adequately represent the relevant content domain</w:t>
      </w:r>
      <w:r w:rsidR="003E2708">
        <w:rPr>
          <w:rFonts w:ascii="Times New Roman" w:eastAsia="Calibri" w:hAnsi="Times New Roman" w:cs="Times New Roman"/>
          <w:bCs/>
          <w:color w:val="000000"/>
          <w:sz w:val="24"/>
          <w:szCs w:val="24"/>
        </w:rPr>
        <w:t xml:space="preserve"> of</w:t>
      </w:r>
      <w:r w:rsidR="00085284" w:rsidRPr="0032506F">
        <w:rPr>
          <w:rFonts w:ascii="Times New Roman" w:eastAsia="Calibri" w:hAnsi="Times New Roman" w:cs="Times New Roman"/>
          <w:bCs/>
          <w:color w:val="000000"/>
          <w:sz w:val="24"/>
          <w:szCs w:val="24"/>
        </w:rPr>
        <w:t xml:space="preserve"> online behavioral engagement. </w:t>
      </w:r>
      <w:r w:rsidRPr="0032506F">
        <w:rPr>
          <w:rFonts w:ascii="Times New Roman" w:eastAsia="Calibri" w:hAnsi="Times New Roman" w:cs="Times New Roman"/>
          <w:bCs/>
          <w:color w:val="000000"/>
          <w:sz w:val="24"/>
          <w:szCs w:val="24"/>
        </w:rPr>
        <w:t>Fredricks et al. (2005), Reeve and Tseng (2011), Reeve (2013), and Sun and Rueda (2012), in which student engagement was similarly operationalized and measured in line with Fredricks et al.’s (2004) multi-dimensional operationalization of engagement</w:t>
      </w:r>
      <w:r w:rsidR="00903981" w:rsidRPr="0032506F">
        <w:rPr>
          <w:rFonts w:ascii="Times New Roman" w:eastAsia="Calibri" w:hAnsi="Times New Roman" w:cs="Times New Roman"/>
          <w:bCs/>
          <w:color w:val="000000"/>
          <w:sz w:val="24"/>
          <w:szCs w:val="24"/>
        </w:rPr>
        <w:t xml:space="preserve"> were also consulted</w:t>
      </w:r>
      <w:r w:rsidRPr="0032506F">
        <w:rPr>
          <w:rFonts w:ascii="Times New Roman" w:eastAsia="Calibri" w:hAnsi="Times New Roman" w:cs="Times New Roman"/>
          <w:bCs/>
          <w:color w:val="000000"/>
          <w:sz w:val="24"/>
          <w:szCs w:val="24"/>
        </w:rPr>
        <w:t xml:space="preserve">. </w:t>
      </w:r>
      <w:hyperlink w:anchor="Table32" w:history="1">
        <w:r w:rsidRPr="0032506F">
          <w:rPr>
            <w:rFonts w:ascii="Times New Roman" w:eastAsia="Calibri" w:hAnsi="Times New Roman" w:cs="Times New Roman"/>
            <w:color w:val="0563C1" w:themeColor="hyperlink"/>
            <w:sz w:val="24"/>
            <w:szCs w:val="24"/>
            <w:u w:val="single"/>
          </w:rPr>
          <w:t>Table 3.2</w:t>
        </w:r>
      </w:hyperlink>
      <w:r w:rsidRPr="0032506F">
        <w:rPr>
          <w:rFonts w:ascii="Times New Roman" w:eastAsia="Calibri" w:hAnsi="Times New Roman" w:cs="Times New Roman"/>
          <w:color w:val="000000"/>
          <w:sz w:val="24"/>
          <w:szCs w:val="24"/>
        </w:rPr>
        <w:t xml:space="preserve"> presents the construct definition and the corresponding indicators of online behavioral engagement. </w:t>
      </w:r>
    </w:p>
    <w:p w14:paraId="4CDCCE9A" w14:textId="77777777" w:rsidR="00522122" w:rsidRPr="0032506F" w:rsidRDefault="00522122" w:rsidP="00522122">
      <w:pPr>
        <w:spacing w:after="0" w:line="480" w:lineRule="auto"/>
        <w:rPr>
          <w:rFonts w:ascii="Times New Roman" w:eastAsia="Calibri" w:hAnsi="Times New Roman" w:cs="Times New Roman"/>
          <w:b/>
          <w:bCs/>
          <w:sz w:val="24"/>
          <w:szCs w:val="24"/>
        </w:rPr>
      </w:pPr>
      <w:bookmarkStart w:id="51" w:name="Table32"/>
      <w:r w:rsidRPr="0032506F">
        <w:rPr>
          <w:rFonts w:ascii="Times New Roman" w:eastAsia="Calibri" w:hAnsi="Times New Roman" w:cs="Times New Roman"/>
          <w:b/>
          <w:bCs/>
          <w:sz w:val="24"/>
          <w:szCs w:val="24"/>
        </w:rPr>
        <w:t>Table 3.2</w:t>
      </w:r>
    </w:p>
    <w:p w14:paraId="4DEEBB18" w14:textId="64EAEF69" w:rsidR="00522122" w:rsidRPr="0032506F" w:rsidRDefault="00522122" w:rsidP="00522122">
      <w:pPr>
        <w:spacing w:after="0" w:line="480" w:lineRule="auto"/>
        <w:rPr>
          <w:rFonts w:ascii="Times New Roman" w:eastAsia="Calibri" w:hAnsi="Times New Roman" w:cs="Times New Roman"/>
          <w:i/>
          <w:iCs/>
          <w:sz w:val="24"/>
          <w:szCs w:val="24"/>
        </w:rPr>
      </w:pPr>
      <w:bookmarkStart w:id="52" w:name="_Hlk67488997"/>
      <w:bookmarkEnd w:id="51"/>
      <w:r w:rsidRPr="0032506F">
        <w:rPr>
          <w:rFonts w:ascii="Times New Roman" w:eastAsia="Calibri" w:hAnsi="Times New Roman" w:cs="Times New Roman"/>
          <w:i/>
          <w:iCs/>
          <w:sz w:val="24"/>
          <w:szCs w:val="24"/>
        </w:rPr>
        <w:t>Construct Definition and Indicators of Online Behavioral Engagement</w:t>
      </w:r>
      <w:r w:rsidR="00F56EFB" w:rsidRPr="0032506F">
        <w:rPr>
          <w:rFonts w:ascii="Times New Roman" w:eastAsia="Calibri" w:hAnsi="Times New Roman" w:cs="Times New Roman"/>
          <w:i/>
          <w:iCs/>
          <w:sz w:val="24"/>
          <w:szCs w:val="24"/>
        </w:rPr>
        <w:t xml:space="preserve"> (OBE)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694"/>
        <w:gridCol w:w="4647"/>
      </w:tblGrid>
      <w:tr w:rsidR="00522122" w:rsidRPr="0032506F" w14:paraId="05C66DFF" w14:textId="77777777" w:rsidTr="00464606">
        <w:trPr>
          <w:trHeight w:val="248"/>
        </w:trPr>
        <w:tc>
          <w:tcPr>
            <w:tcW w:w="1701" w:type="dxa"/>
            <w:tcBorders>
              <w:top w:val="single" w:sz="8" w:space="0" w:color="auto"/>
              <w:bottom w:val="single" w:sz="8" w:space="0" w:color="auto"/>
            </w:tcBorders>
          </w:tcPr>
          <w:bookmarkEnd w:id="52"/>
          <w:p w14:paraId="5A8C56B1" w14:textId="77777777" w:rsidR="00522122" w:rsidRPr="0032506F" w:rsidRDefault="00522122" w:rsidP="00522122">
            <w:pPr>
              <w:rPr>
                <w:rFonts w:ascii="Times New Roman" w:eastAsia="Calibri" w:hAnsi="Times New Roman" w:cs="Times New Roman"/>
                <w:b/>
                <w:bCs/>
                <w:sz w:val="20"/>
                <w:szCs w:val="20"/>
              </w:rPr>
            </w:pPr>
            <w:r w:rsidRPr="0032506F">
              <w:rPr>
                <w:rFonts w:ascii="Times New Roman" w:eastAsia="Calibri" w:hAnsi="Times New Roman" w:cs="Times New Roman"/>
                <w:sz w:val="20"/>
                <w:szCs w:val="20"/>
              </w:rPr>
              <w:t xml:space="preserve"> </w:t>
            </w:r>
            <w:r w:rsidRPr="0032506F">
              <w:rPr>
                <w:rFonts w:ascii="Times New Roman" w:eastAsia="Calibri" w:hAnsi="Times New Roman" w:cs="Times New Roman"/>
                <w:b/>
                <w:bCs/>
                <w:sz w:val="20"/>
                <w:szCs w:val="20"/>
              </w:rPr>
              <w:t>Subdimension</w:t>
            </w:r>
          </w:p>
        </w:tc>
        <w:tc>
          <w:tcPr>
            <w:tcW w:w="2694" w:type="dxa"/>
            <w:tcBorders>
              <w:top w:val="single" w:sz="8" w:space="0" w:color="auto"/>
              <w:bottom w:val="single" w:sz="8" w:space="0" w:color="auto"/>
            </w:tcBorders>
          </w:tcPr>
          <w:p w14:paraId="54E6AF5F" w14:textId="62625FD3" w:rsidR="00522122" w:rsidRPr="0032506F" w:rsidRDefault="00522122" w:rsidP="00522122">
            <w:pPr>
              <w:jc w:val="center"/>
              <w:rPr>
                <w:rFonts w:ascii="Times New Roman" w:eastAsia="Calibri" w:hAnsi="Times New Roman" w:cs="Times New Roman"/>
                <w:b/>
                <w:bCs/>
                <w:sz w:val="20"/>
                <w:szCs w:val="20"/>
              </w:rPr>
            </w:pPr>
            <w:r w:rsidRPr="0032506F">
              <w:rPr>
                <w:rFonts w:ascii="Times New Roman" w:eastAsia="Calibri" w:hAnsi="Times New Roman" w:cs="Times New Roman"/>
                <w:b/>
                <w:bCs/>
                <w:sz w:val="20"/>
                <w:szCs w:val="20"/>
              </w:rPr>
              <w:t>Construct Definition</w:t>
            </w:r>
          </w:p>
        </w:tc>
        <w:tc>
          <w:tcPr>
            <w:tcW w:w="4647" w:type="dxa"/>
            <w:tcBorders>
              <w:top w:val="single" w:sz="8" w:space="0" w:color="auto"/>
              <w:bottom w:val="single" w:sz="8" w:space="0" w:color="auto"/>
            </w:tcBorders>
          </w:tcPr>
          <w:p w14:paraId="30E2BF02" w14:textId="4F883237" w:rsidR="00522122" w:rsidRPr="0032506F" w:rsidRDefault="00522122" w:rsidP="00522122">
            <w:pPr>
              <w:jc w:val="center"/>
              <w:rPr>
                <w:rFonts w:ascii="Times New Roman" w:eastAsia="Calibri" w:hAnsi="Times New Roman" w:cs="Times New Roman"/>
                <w:b/>
                <w:bCs/>
                <w:sz w:val="20"/>
                <w:szCs w:val="20"/>
              </w:rPr>
            </w:pPr>
            <w:r w:rsidRPr="0032506F">
              <w:rPr>
                <w:rFonts w:ascii="Times New Roman" w:eastAsia="Calibri" w:hAnsi="Times New Roman" w:cs="Times New Roman"/>
                <w:b/>
                <w:bCs/>
                <w:sz w:val="20"/>
                <w:szCs w:val="20"/>
              </w:rPr>
              <w:t>Indicators (Examples)</w:t>
            </w:r>
          </w:p>
        </w:tc>
      </w:tr>
      <w:tr w:rsidR="00522122" w:rsidRPr="0032506F" w14:paraId="288BBE4F" w14:textId="77777777" w:rsidTr="00464606">
        <w:trPr>
          <w:trHeight w:val="2369"/>
        </w:trPr>
        <w:tc>
          <w:tcPr>
            <w:tcW w:w="1701" w:type="dxa"/>
            <w:tcBorders>
              <w:top w:val="single" w:sz="8" w:space="0" w:color="auto"/>
              <w:bottom w:val="single" w:sz="8" w:space="0" w:color="auto"/>
            </w:tcBorders>
          </w:tcPr>
          <w:p w14:paraId="287680F1" w14:textId="77777777" w:rsidR="00522122" w:rsidRPr="0032506F" w:rsidRDefault="00522122" w:rsidP="00522122">
            <w:pPr>
              <w:rPr>
                <w:rFonts w:ascii="Times New Roman" w:eastAsia="Calibri" w:hAnsi="Times New Roman" w:cs="Times New Roman"/>
                <w:sz w:val="20"/>
                <w:szCs w:val="20"/>
              </w:rPr>
            </w:pPr>
            <w:r w:rsidRPr="0032506F">
              <w:rPr>
                <w:rFonts w:ascii="Times New Roman" w:eastAsia="Calibri" w:hAnsi="Times New Roman" w:cs="Times New Roman"/>
                <w:sz w:val="20"/>
                <w:szCs w:val="20"/>
              </w:rPr>
              <w:t>Online Behavioral Engagement</w:t>
            </w:r>
          </w:p>
        </w:tc>
        <w:tc>
          <w:tcPr>
            <w:tcW w:w="2694" w:type="dxa"/>
            <w:tcBorders>
              <w:top w:val="single" w:sz="8" w:space="0" w:color="auto"/>
              <w:bottom w:val="single" w:sz="8" w:space="0" w:color="auto"/>
            </w:tcBorders>
          </w:tcPr>
          <w:p w14:paraId="653D64F5" w14:textId="77777777" w:rsidR="00522122" w:rsidRPr="0032506F" w:rsidRDefault="00522122" w:rsidP="00522122">
            <w:pPr>
              <w:rPr>
                <w:rFonts w:ascii="Times New Roman" w:eastAsia="Calibri" w:hAnsi="Times New Roman" w:cs="Times New Roman"/>
                <w:sz w:val="20"/>
                <w:szCs w:val="20"/>
              </w:rPr>
            </w:pPr>
            <w:r w:rsidRPr="0032506F">
              <w:rPr>
                <w:rFonts w:ascii="Times New Roman" w:eastAsia="Calibri" w:hAnsi="Times New Roman" w:cs="Times New Roman"/>
                <w:sz w:val="20"/>
                <w:szCs w:val="20"/>
              </w:rPr>
              <w:t>The extent to which students of higher education (i.e., undergraduate and graduate) exhibit specific behaviors of participation and involvement in their online learning process within online courses of higher education</w:t>
            </w:r>
          </w:p>
        </w:tc>
        <w:tc>
          <w:tcPr>
            <w:tcW w:w="4647" w:type="dxa"/>
            <w:tcBorders>
              <w:top w:val="single" w:sz="8" w:space="0" w:color="auto"/>
              <w:bottom w:val="single" w:sz="8" w:space="0" w:color="auto"/>
            </w:tcBorders>
          </w:tcPr>
          <w:p w14:paraId="7F56E8D0"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posting</w:t>
            </w:r>
          </w:p>
          <w:p w14:paraId="442E5D49"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reading posts</w:t>
            </w:r>
          </w:p>
          <w:p w14:paraId="41BD9EBF"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responding to posts</w:t>
            </w:r>
          </w:p>
          <w:p w14:paraId="227FEE70"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sharing additional resources with peers</w:t>
            </w:r>
          </w:p>
          <w:p w14:paraId="20EB0B7E"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studying course materials</w:t>
            </w:r>
          </w:p>
          <w:p w14:paraId="74249B37"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completing assignments</w:t>
            </w:r>
          </w:p>
          <w:p w14:paraId="3B6380E5"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submitting assignments</w:t>
            </w:r>
          </w:p>
          <w:p w14:paraId="7354AB07"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read feedback</w:t>
            </w:r>
          </w:p>
          <w:p w14:paraId="12322395" w14:textId="77777777" w:rsidR="00522122" w:rsidRPr="0032506F" w:rsidRDefault="00522122" w:rsidP="00522122">
            <w:pPr>
              <w:numPr>
                <w:ilvl w:val="0"/>
                <w:numId w:val="11"/>
              </w:numPr>
              <w:ind w:left="326"/>
              <w:rPr>
                <w:rFonts w:ascii="Times New Roman" w:eastAsia="Calibri" w:hAnsi="Times New Roman" w:cs="Times New Roman"/>
                <w:sz w:val="20"/>
                <w:szCs w:val="20"/>
              </w:rPr>
            </w:pPr>
            <w:r w:rsidRPr="0032506F">
              <w:rPr>
                <w:rFonts w:ascii="Times New Roman" w:eastAsia="Calibri" w:hAnsi="Times New Roman" w:cs="Times New Roman"/>
                <w:sz w:val="20"/>
                <w:szCs w:val="20"/>
              </w:rPr>
              <w:t>incorporate feedback into future work</w:t>
            </w:r>
          </w:p>
        </w:tc>
      </w:tr>
    </w:tbl>
    <w:p w14:paraId="49C6BBC4" w14:textId="77777777" w:rsidR="00C822B8" w:rsidRPr="0032506F" w:rsidRDefault="00C822B8" w:rsidP="00522122">
      <w:pPr>
        <w:spacing w:after="0" w:line="480" w:lineRule="auto"/>
        <w:ind w:firstLine="720"/>
        <w:rPr>
          <w:rFonts w:ascii="Times New Roman" w:eastAsiaTheme="majorEastAsia" w:hAnsi="Times New Roman" w:cs="Times New Roman"/>
          <w:b/>
          <w:bCs/>
          <w:i/>
          <w:iCs/>
          <w:sz w:val="24"/>
          <w:szCs w:val="24"/>
        </w:rPr>
      </w:pPr>
    </w:p>
    <w:p w14:paraId="2FBBAF48" w14:textId="77777777" w:rsidR="00C822B8" w:rsidRPr="0032506F" w:rsidRDefault="00522122" w:rsidP="00195B7F">
      <w:pPr>
        <w:pStyle w:val="Heading2"/>
      </w:pPr>
      <w:bookmarkStart w:id="53" w:name="_Toc102489446"/>
      <w:r w:rsidRPr="0032506F">
        <w:t>Construct Definition and Operationalization of Online Emotional Engagement</w:t>
      </w:r>
      <w:bookmarkEnd w:id="53"/>
    </w:p>
    <w:p w14:paraId="5AD0FC02" w14:textId="4F8F6208" w:rsidR="00522122" w:rsidRPr="0032506F" w:rsidRDefault="00316489" w:rsidP="00522122">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w:t>
      </w:r>
      <w:r w:rsidR="00522122" w:rsidRPr="0032506F">
        <w:rPr>
          <w:rFonts w:ascii="Times New Roman" w:eastAsia="Calibri" w:hAnsi="Times New Roman" w:cs="Times New Roman"/>
          <w:color w:val="000000"/>
          <w:sz w:val="24"/>
          <w:szCs w:val="24"/>
        </w:rPr>
        <w:t xml:space="preserve">ngagement is </w:t>
      </w:r>
      <w:r w:rsidR="00555563" w:rsidRPr="0032506F">
        <w:rPr>
          <w:rFonts w:ascii="Times New Roman" w:eastAsia="Calibri" w:hAnsi="Times New Roman" w:cs="Times New Roman"/>
          <w:color w:val="000000"/>
          <w:sz w:val="24"/>
          <w:szCs w:val="24"/>
        </w:rPr>
        <w:t>when an individual is</w:t>
      </w:r>
      <w:r w:rsidR="00522122" w:rsidRPr="0032506F">
        <w:rPr>
          <w:rFonts w:ascii="Times New Roman" w:eastAsia="Calibri" w:hAnsi="Times New Roman" w:cs="Times New Roman"/>
          <w:color w:val="000000"/>
          <w:sz w:val="24"/>
          <w:szCs w:val="24"/>
        </w:rPr>
        <w:t xml:space="preserve"> </w:t>
      </w:r>
      <w:proofErr w:type="gramStart"/>
      <w:r w:rsidR="00522122" w:rsidRPr="0032506F">
        <w:rPr>
          <w:rFonts w:ascii="Times New Roman" w:eastAsia="Calibri" w:hAnsi="Times New Roman" w:cs="Times New Roman"/>
          <w:color w:val="000000"/>
          <w:sz w:val="24"/>
          <w:szCs w:val="24"/>
        </w:rPr>
        <w:t>actually doing</w:t>
      </w:r>
      <w:proofErr w:type="gramEnd"/>
      <w:r w:rsidR="00522122" w:rsidRPr="0032506F">
        <w:rPr>
          <w:rFonts w:ascii="Times New Roman" w:eastAsia="Calibri" w:hAnsi="Times New Roman" w:cs="Times New Roman"/>
          <w:color w:val="000000"/>
          <w:sz w:val="24"/>
          <w:szCs w:val="24"/>
        </w:rPr>
        <w:t xml:space="preserve"> something or actively experiencing some phenomenon or a certain state rather than being a reason or motivation behind that action or experience (Fredricks &amp; McColskey, 2012)</w:t>
      </w:r>
      <w:r w:rsidR="003856FC" w:rsidRPr="0032506F">
        <w:rPr>
          <w:rFonts w:ascii="Times New Roman" w:eastAsia="Calibri" w:hAnsi="Times New Roman" w:cs="Times New Roman"/>
          <w:color w:val="000000"/>
          <w:sz w:val="24"/>
          <w:szCs w:val="24"/>
        </w:rPr>
        <w:t>. According to this definition</w:t>
      </w:r>
      <w:r w:rsidR="00522122" w:rsidRPr="0032506F">
        <w:rPr>
          <w:rFonts w:ascii="Times New Roman" w:eastAsia="Calibri" w:hAnsi="Times New Roman" w:cs="Times New Roman"/>
          <w:color w:val="000000"/>
          <w:sz w:val="24"/>
          <w:szCs w:val="24"/>
        </w:rPr>
        <w:t xml:space="preserve">, emotional engagement in this study </w:t>
      </w:r>
      <w:r w:rsidR="002A515D" w:rsidRPr="0032506F">
        <w:rPr>
          <w:rFonts w:ascii="Times New Roman" w:eastAsia="Calibri" w:hAnsi="Times New Roman" w:cs="Times New Roman"/>
          <w:color w:val="000000"/>
          <w:sz w:val="24"/>
          <w:szCs w:val="24"/>
        </w:rPr>
        <w:t xml:space="preserve">is defined </w:t>
      </w:r>
      <w:r w:rsidR="00522122" w:rsidRPr="0032506F">
        <w:rPr>
          <w:rFonts w:ascii="Times New Roman" w:eastAsia="Calibri" w:hAnsi="Times New Roman" w:cs="Times New Roman"/>
          <w:color w:val="000000"/>
          <w:sz w:val="24"/>
          <w:szCs w:val="24"/>
        </w:rPr>
        <w:t xml:space="preserve">as </w:t>
      </w:r>
      <w:r w:rsidR="00522122" w:rsidRPr="0032506F">
        <w:rPr>
          <w:rFonts w:ascii="Times New Roman" w:eastAsia="Calibri" w:hAnsi="Times New Roman" w:cs="Times New Roman"/>
          <w:i/>
          <w:iCs/>
          <w:color w:val="000000"/>
          <w:sz w:val="24"/>
          <w:szCs w:val="24"/>
        </w:rPr>
        <w:t>the extent to which online students of higher education experience certain positive emotions regarding their learning experiences in online courses</w:t>
      </w:r>
      <w:r w:rsidR="00522122" w:rsidRPr="0032506F">
        <w:rPr>
          <w:rFonts w:ascii="Times New Roman" w:eastAsia="Calibri" w:hAnsi="Times New Roman" w:cs="Times New Roman"/>
          <w:color w:val="000000"/>
          <w:sz w:val="24"/>
          <w:szCs w:val="24"/>
        </w:rPr>
        <w:t xml:space="preserve">. </w:t>
      </w:r>
      <w:r w:rsidR="002A515D" w:rsidRPr="0032506F">
        <w:rPr>
          <w:rFonts w:ascii="Times New Roman" w:eastAsia="Calibri" w:hAnsi="Times New Roman" w:cs="Times New Roman"/>
          <w:color w:val="000000"/>
          <w:sz w:val="24"/>
          <w:szCs w:val="24"/>
        </w:rPr>
        <w:t xml:space="preserve">This </w:t>
      </w:r>
      <w:r w:rsidR="00522122" w:rsidRPr="0032506F">
        <w:rPr>
          <w:rFonts w:ascii="Times New Roman" w:eastAsia="Calibri" w:hAnsi="Times New Roman" w:cs="Times New Roman"/>
          <w:color w:val="000000"/>
          <w:sz w:val="24"/>
          <w:szCs w:val="24"/>
        </w:rPr>
        <w:lastRenderedPageBreak/>
        <w:t xml:space="preserve">conceptualization of online emotional engagement is in line with the achievement emotions literature stating that “emotions are critically important for students’ engagement with academic tasks” (Pekrun &amp; Linnenbrink-Garcia, 2012, p. 278). As defined by Pekrun et al. (2011) in the control-value theory, achievement emotions refer to those emotions experienced by students in relation to their achievement activities or outcomes in academic achievement settings. According to the control-value theory, both activity-related emotions such as a student’s </w:t>
      </w:r>
      <w:r w:rsidR="00522122" w:rsidRPr="0032506F">
        <w:rPr>
          <w:rFonts w:ascii="Times New Roman" w:eastAsia="Calibri" w:hAnsi="Times New Roman" w:cs="Times New Roman"/>
          <w:i/>
          <w:iCs/>
          <w:color w:val="000000"/>
          <w:sz w:val="24"/>
          <w:szCs w:val="24"/>
        </w:rPr>
        <w:t>enjoyment</w:t>
      </w:r>
      <w:r w:rsidR="00522122" w:rsidRPr="0032506F">
        <w:rPr>
          <w:rFonts w:ascii="Times New Roman" w:eastAsia="Calibri" w:hAnsi="Times New Roman" w:cs="Times New Roman"/>
          <w:color w:val="000000"/>
          <w:sz w:val="24"/>
          <w:szCs w:val="24"/>
        </w:rPr>
        <w:t xml:space="preserve"> of a particular learning activity in progress and outcome-related emotions such as prospective outcome emotion of </w:t>
      </w:r>
      <w:r w:rsidR="00522122" w:rsidRPr="0032506F">
        <w:rPr>
          <w:rFonts w:ascii="Times New Roman" w:eastAsia="Calibri" w:hAnsi="Times New Roman" w:cs="Times New Roman"/>
          <w:i/>
          <w:iCs/>
          <w:color w:val="000000"/>
          <w:sz w:val="24"/>
          <w:szCs w:val="24"/>
        </w:rPr>
        <w:t>hope</w:t>
      </w:r>
      <w:r w:rsidR="00522122" w:rsidRPr="0032506F">
        <w:rPr>
          <w:rFonts w:ascii="Times New Roman" w:eastAsia="Calibri" w:hAnsi="Times New Roman" w:cs="Times New Roman"/>
          <w:color w:val="000000"/>
          <w:sz w:val="24"/>
          <w:szCs w:val="24"/>
        </w:rPr>
        <w:t xml:space="preserve"> about possible success in the future and retrospective outcome emotion of </w:t>
      </w:r>
      <w:r w:rsidR="00522122" w:rsidRPr="0032506F">
        <w:rPr>
          <w:rFonts w:ascii="Times New Roman" w:eastAsia="Calibri" w:hAnsi="Times New Roman" w:cs="Times New Roman"/>
          <w:i/>
          <w:iCs/>
          <w:color w:val="000000"/>
          <w:sz w:val="24"/>
          <w:szCs w:val="24"/>
        </w:rPr>
        <w:t>pride</w:t>
      </w:r>
      <w:r w:rsidR="00522122" w:rsidRPr="0032506F">
        <w:rPr>
          <w:rFonts w:ascii="Times New Roman" w:eastAsia="Calibri" w:hAnsi="Times New Roman" w:cs="Times New Roman"/>
          <w:color w:val="000000"/>
          <w:sz w:val="24"/>
          <w:szCs w:val="24"/>
        </w:rPr>
        <w:t xml:space="preserve"> about past success are all achievement emotions experienced in academic learning settings (Pekrun et al., 2011). </w:t>
      </w:r>
    </w:p>
    <w:p w14:paraId="1E60CBD2" w14:textId="1603F686" w:rsidR="00522122" w:rsidRPr="0032506F" w:rsidRDefault="00522122" w:rsidP="00522122">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The specific achievement emotions </w:t>
      </w:r>
      <w:r w:rsidR="002A515D" w:rsidRPr="0032506F">
        <w:rPr>
          <w:rFonts w:ascii="Times New Roman" w:eastAsia="Calibri" w:hAnsi="Times New Roman" w:cs="Times New Roman"/>
          <w:color w:val="000000"/>
          <w:sz w:val="24"/>
          <w:szCs w:val="24"/>
        </w:rPr>
        <w:t>used</w:t>
      </w:r>
      <w:r w:rsidRPr="0032506F">
        <w:rPr>
          <w:rFonts w:ascii="Times New Roman" w:eastAsia="Calibri" w:hAnsi="Times New Roman" w:cs="Times New Roman"/>
          <w:color w:val="000000"/>
          <w:sz w:val="24"/>
          <w:szCs w:val="24"/>
        </w:rPr>
        <w:t xml:space="preserve"> in the current study to conceptualize and operationalize online emotional engagement include </w:t>
      </w:r>
      <w:r w:rsidRPr="0032506F">
        <w:rPr>
          <w:rFonts w:ascii="Times New Roman" w:eastAsia="Calibri" w:hAnsi="Times New Roman" w:cs="Times New Roman"/>
          <w:i/>
          <w:iCs/>
          <w:color w:val="000000"/>
          <w:sz w:val="24"/>
          <w:szCs w:val="24"/>
        </w:rPr>
        <w:t>enjoyment</w:t>
      </w: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i/>
          <w:iCs/>
          <w:color w:val="000000"/>
          <w:sz w:val="24"/>
          <w:szCs w:val="24"/>
        </w:rPr>
        <w:t xml:space="preserve">pride, </w:t>
      </w:r>
      <w:r w:rsidRPr="0032506F">
        <w:rPr>
          <w:rFonts w:ascii="Times New Roman" w:eastAsia="Calibri" w:hAnsi="Times New Roman" w:cs="Times New Roman"/>
          <w:color w:val="000000"/>
          <w:sz w:val="24"/>
          <w:szCs w:val="24"/>
        </w:rPr>
        <w:t xml:space="preserve">and </w:t>
      </w:r>
      <w:r w:rsidRPr="0032506F">
        <w:rPr>
          <w:rFonts w:ascii="Times New Roman" w:eastAsia="Calibri" w:hAnsi="Times New Roman" w:cs="Times New Roman"/>
          <w:i/>
          <w:iCs/>
          <w:color w:val="000000"/>
          <w:sz w:val="24"/>
          <w:szCs w:val="24"/>
        </w:rPr>
        <w:t>hope</w:t>
      </w:r>
      <w:r w:rsidRPr="0032506F">
        <w:rPr>
          <w:rFonts w:ascii="Times New Roman" w:eastAsia="Calibri" w:hAnsi="Times New Roman" w:cs="Times New Roman"/>
          <w:color w:val="000000"/>
          <w:sz w:val="24"/>
          <w:szCs w:val="24"/>
        </w:rPr>
        <w:t xml:space="preserve">. In this study, </w:t>
      </w:r>
      <w:r w:rsidRPr="0032506F">
        <w:rPr>
          <w:rFonts w:ascii="Times New Roman" w:eastAsia="Calibri" w:hAnsi="Times New Roman" w:cs="Times New Roman"/>
          <w:i/>
          <w:iCs/>
          <w:color w:val="000000"/>
          <w:sz w:val="24"/>
          <w:szCs w:val="24"/>
        </w:rPr>
        <w:t>enjoyment</w:t>
      </w:r>
      <w:r w:rsidRPr="0032506F">
        <w:rPr>
          <w:rFonts w:ascii="Times New Roman" w:eastAsia="Calibri" w:hAnsi="Times New Roman" w:cs="Times New Roman"/>
          <w:color w:val="000000"/>
          <w:sz w:val="24"/>
          <w:szCs w:val="24"/>
        </w:rPr>
        <w:t xml:space="preserve"> refers to an online student’s sense of joy and liking experienced in relation to engaging in a particular activity or behavior in an online course (e.g., enjoying reading peers’ discussion posts, enjoying sharing perspectives during online discussions). </w:t>
      </w:r>
      <w:r w:rsidRPr="0032506F">
        <w:rPr>
          <w:rFonts w:ascii="Times New Roman" w:eastAsia="Calibri" w:hAnsi="Times New Roman" w:cs="Times New Roman"/>
          <w:i/>
          <w:iCs/>
          <w:color w:val="000000"/>
          <w:sz w:val="24"/>
          <w:szCs w:val="24"/>
        </w:rPr>
        <w:t>Pride</w:t>
      </w:r>
      <w:r w:rsidRPr="0032506F">
        <w:rPr>
          <w:rFonts w:ascii="Times New Roman" w:eastAsia="Calibri" w:hAnsi="Times New Roman" w:cs="Times New Roman"/>
          <w:color w:val="000000"/>
          <w:sz w:val="24"/>
          <w:szCs w:val="24"/>
        </w:rPr>
        <w:t xml:space="preserve"> refers in this study to an online student’s sense of feeling good, happy, and/or pleased about themselves in relation to a certain successful or pleasant outcome (e.g., feeling proud about getting positive feedback, feeling proud about being able to answer peers’ questions during online discussions). </w:t>
      </w:r>
      <w:r w:rsidRPr="0032506F">
        <w:rPr>
          <w:rFonts w:ascii="Times New Roman" w:eastAsia="Calibri" w:hAnsi="Times New Roman" w:cs="Times New Roman"/>
          <w:i/>
          <w:iCs/>
          <w:color w:val="000000"/>
          <w:sz w:val="24"/>
          <w:szCs w:val="24"/>
        </w:rPr>
        <w:t>Hope</w:t>
      </w:r>
      <w:r w:rsidRPr="0032506F">
        <w:rPr>
          <w:rFonts w:ascii="Times New Roman" w:eastAsia="Calibri" w:hAnsi="Times New Roman" w:cs="Times New Roman"/>
          <w:color w:val="000000"/>
          <w:sz w:val="24"/>
          <w:szCs w:val="24"/>
        </w:rPr>
        <w:t xml:space="preserve"> refers in this study to an online student’s sense of being positive and remaining optimistic about their successful learning and good performance in the online course. </w:t>
      </w:r>
    </w:p>
    <w:p w14:paraId="4D7632E0" w14:textId="36BF497D" w:rsidR="00522122" w:rsidRDefault="002A515D" w:rsidP="00522122">
      <w:pPr>
        <w:spacing w:after="0" w:line="48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These </w:t>
      </w:r>
      <w:r w:rsidR="00522122" w:rsidRPr="0032506F">
        <w:rPr>
          <w:rFonts w:ascii="Times New Roman" w:eastAsia="Calibri" w:hAnsi="Times New Roman" w:cs="Times New Roman"/>
          <w:color w:val="000000"/>
          <w:sz w:val="24"/>
          <w:szCs w:val="24"/>
        </w:rPr>
        <w:t>three achievement emotions</w:t>
      </w:r>
      <w:r w:rsidRPr="0032506F">
        <w:rPr>
          <w:rFonts w:ascii="Times New Roman" w:eastAsia="Calibri" w:hAnsi="Times New Roman" w:cs="Times New Roman"/>
          <w:color w:val="000000"/>
          <w:sz w:val="24"/>
          <w:szCs w:val="24"/>
        </w:rPr>
        <w:t xml:space="preserve"> were incorporated into the OEHE </w:t>
      </w:r>
      <w:r w:rsidR="008A17C9" w:rsidRPr="0032506F">
        <w:rPr>
          <w:rFonts w:ascii="Times New Roman" w:eastAsia="Calibri" w:hAnsi="Times New Roman" w:cs="Times New Roman"/>
          <w:color w:val="000000"/>
          <w:sz w:val="24"/>
          <w:szCs w:val="24"/>
        </w:rPr>
        <w:t>sub</w:t>
      </w:r>
      <w:r w:rsidRPr="0032506F">
        <w:rPr>
          <w:rFonts w:ascii="Times New Roman" w:eastAsia="Calibri" w:hAnsi="Times New Roman" w:cs="Times New Roman"/>
          <w:color w:val="000000"/>
          <w:sz w:val="24"/>
          <w:szCs w:val="24"/>
        </w:rPr>
        <w:t>scale of em</w:t>
      </w:r>
      <w:r w:rsidR="00522122" w:rsidRPr="0032506F">
        <w:rPr>
          <w:rFonts w:ascii="Times New Roman" w:eastAsia="Calibri" w:hAnsi="Times New Roman" w:cs="Times New Roman"/>
          <w:color w:val="000000"/>
          <w:sz w:val="24"/>
          <w:szCs w:val="24"/>
        </w:rPr>
        <w:t xml:space="preserve">otional engagement </w:t>
      </w:r>
      <w:r w:rsidR="008A17C9" w:rsidRPr="0032506F">
        <w:rPr>
          <w:rFonts w:ascii="Times New Roman" w:eastAsia="Calibri" w:hAnsi="Times New Roman" w:cs="Times New Roman"/>
          <w:color w:val="000000"/>
          <w:sz w:val="24"/>
          <w:szCs w:val="24"/>
        </w:rPr>
        <w:t>on the empirical grounds that</w:t>
      </w:r>
      <w:r w:rsidR="00522122" w:rsidRPr="0032506F">
        <w:rPr>
          <w:rFonts w:ascii="Times New Roman" w:eastAsia="Calibri" w:hAnsi="Times New Roman" w:cs="Times New Roman"/>
          <w:color w:val="000000"/>
          <w:sz w:val="24"/>
          <w:szCs w:val="24"/>
        </w:rPr>
        <w:t xml:space="preserve"> </w:t>
      </w:r>
      <w:bookmarkStart w:id="54" w:name="_Hlk94370822"/>
      <w:r w:rsidR="00522122" w:rsidRPr="0032506F">
        <w:rPr>
          <w:rFonts w:ascii="Times New Roman" w:eastAsia="Calibri" w:hAnsi="Times New Roman" w:cs="Times New Roman"/>
          <w:color w:val="000000"/>
          <w:sz w:val="24"/>
          <w:szCs w:val="24"/>
        </w:rPr>
        <w:t xml:space="preserve">these positive-activating emotions are among the achievement emotions commonly experienced by university students in academic </w:t>
      </w:r>
      <w:r w:rsidR="00522122" w:rsidRPr="0032506F">
        <w:rPr>
          <w:rFonts w:ascii="Times New Roman" w:eastAsia="Calibri" w:hAnsi="Times New Roman" w:cs="Times New Roman"/>
          <w:color w:val="000000"/>
          <w:sz w:val="24"/>
          <w:szCs w:val="24"/>
        </w:rPr>
        <w:lastRenderedPageBreak/>
        <w:t>settings and that they represent the major achievement emotions as indicated within the control-value theory (Pekrun et al., 2011; Pekrun &amp; Linnenbrink-Garcia, 2012)</w:t>
      </w:r>
      <w:bookmarkEnd w:id="54"/>
      <w:r w:rsidR="00522122" w:rsidRPr="0032506F">
        <w:rPr>
          <w:rFonts w:ascii="Times New Roman" w:eastAsia="Calibri" w:hAnsi="Times New Roman" w:cs="Times New Roman"/>
          <w:color w:val="000000"/>
          <w:sz w:val="24"/>
          <w:szCs w:val="24"/>
        </w:rPr>
        <w:t xml:space="preserve">. </w:t>
      </w:r>
      <w:r w:rsidR="00081299" w:rsidRPr="0032506F">
        <w:rPr>
          <w:rFonts w:ascii="Times New Roman" w:eastAsia="Calibri" w:hAnsi="Times New Roman" w:cs="Times New Roman"/>
          <w:i/>
          <w:iCs/>
          <w:color w:val="000000"/>
          <w:sz w:val="24"/>
          <w:szCs w:val="24"/>
        </w:rPr>
        <w:t>C</w:t>
      </w:r>
      <w:r w:rsidR="00522122" w:rsidRPr="0032506F">
        <w:rPr>
          <w:rFonts w:ascii="Times New Roman" w:eastAsia="Calibri" w:hAnsi="Times New Roman" w:cs="Times New Roman"/>
          <w:i/>
          <w:iCs/>
          <w:color w:val="000000"/>
          <w:sz w:val="24"/>
          <w:szCs w:val="24"/>
        </w:rPr>
        <w:t>uriosity</w:t>
      </w:r>
      <w:r w:rsidR="00522122" w:rsidRPr="0032506F">
        <w:rPr>
          <w:rFonts w:ascii="Times New Roman" w:eastAsia="Calibri" w:hAnsi="Times New Roman" w:cs="Times New Roman"/>
          <w:color w:val="000000"/>
          <w:sz w:val="24"/>
          <w:szCs w:val="24"/>
        </w:rPr>
        <w:t xml:space="preserve"> </w:t>
      </w:r>
      <w:r w:rsidR="00BA79BA" w:rsidRPr="0032506F">
        <w:rPr>
          <w:rFonts w:ascii="Times New Roman" w:eastAsia="Calibri" w:hAnsi="Times New Roman" w:cs="Times New Roman"/>
          <w:color w:val="000000"/>
          <w:sz w:val="24"/>
          <w:szCs w:val="24"/>
        </w:rPr>
        <w:t>is</w:t>
      </w:r>
      <w:r w:rsidR="00081299" w:rsidRPr="0032506F">
        <w:rPr>
          <w:rFonts w:ascii="Times New Roman" w:eastAsia="Calibri" w:hAnsi="Times New Roman" w:cs="Times New Roman"/>
          <w:color w:val="000000"/>
          <w:sz w:val="24"/>
          <w:szCs w:val="24"/>
        </w:rPr>
        <w:t xml:space="preserve"> also used </w:t>
      </w:r>
      <w:r w:rsidR="00522122" w:rsidRPr="0032506F">
        <w:rPr>
          <w:rFonts w:ascii="Times New Roman" w:eastAsia="Calibri" w:hAnsi="Times New Roman" w:cs="Times New Roman"/>
          <w:color w:val="000000"/>
          <w:sz w:val="24"/>
          <w:szCs w:val="24"/>
        </w:rPr>
        <w:t xml:space="preserve">as an indicator of emotional engagement because curiosity is given as an epistemic emotion triggered by cognitive incongruities that are also commonly experienced by students in academic settings (Pekrun &amp; Linnenbrink-Garcia, 2012). In line with its epistemic nature indicated by Pekrun and Linnenbrink-Garcia (2012) and in line with </w:t>
      </w:r>
      <w:r w:rsidR="00522122" w:rsidRPr="0032506F">
        <w:rPr>
          <w:rFonts w:ascii="Times New Roman" w:eastAsia="Calibri" w:hAnsi="Times New Roman" w:cs="Times New Roman"/>
          <w:bCs/>
          <w:color w:val="000000"/>
          <w:sz w:val="24"/>
          <w:szCs w:val="24"/>
        </w:rPr>
        <w:t xml:space="preserve">Litman and Spielberger’s (2003) conceptualization of epistemic curiosity, </w:t>
      </w:r>
      <w:r w:rsidR="00522122" w:rsidRPr="0032506F">
        <w:rPr>
          <w:rFonts w:ascii="Times New Roman" w:eastAsia="Calibri" w:hAnsi="Times New Roman" w:cs="Times New Roman"/>
          <w:bCs/>
          <w:i/>
          <w:iCs/>
          <w:color w:val="000000"/>
          <w:sz w:val="24"/>
          <w:szCs w:val="24"/>
        </w:rPr>
        <w:t>curiosity</w:t>
      </w:r>
      <w:r w:rsidR="00522122" w:rsidRPr="0032506F">
        <w:rPr>
          <w:rFonts w:ascii="Times New Roman" w:eastAsia="Calibri" w:hAnsi="Times New Roman" w:cs="Times New Roman"/>
          <w:bCs/>
          <w:color w:val="000000"/>
          <w:sz w:val="24"/>
          <w:szCs w:val="24"/>
        </w:rPr>
        <w:t xml:space="preserve"> </w:t>
      </w:r>
      <w:r w:rsidR="00594FA2" w:rsidRPr="0032506F">
        <w:rPr>
          <w:rFonts w:ascii="Times New Roman" w:eastAsia="Calibri" w:hAnsi="Times New Roman" w:cs="Times New Roman"/>
          <w:bCs/>
          <w:color w:val="000000"/>
          <w:sz w:val="24"/>
          <w:szCs w:val="24"/>
        </w:rPr>
        <w:t xml:space="preserve">in this study </w:t>
      </w:r>
      <w:r w:rsidR="00522122" w:rsidRPr="0032506F">
        <w:rPr>
          <w:rFonts w:ascii="Times New Roman" w:eastAsia="Calibri" w:hAnsi="Times New Roman" w:cs="Times New Roman"/>
          <w:bCs/>
          <w:color w:val="000000"/>
          <w:sz w:val="24"/>
          <w:szCs w:val="24"/>
        </w:rPr>
        <w:t xml:space="preserve">is defined as an epistemic emotion that refers to an online student’s desire or wish to learn and know about what others think or believe about a course concept or issue, to learn about the course concepts, and their desire to explore, find out, and acquire more about the course concepts being taught in the online course. </w:t>
      </w:r>
      <w:r w:rsidR="00522122" w:rsidRPr="0032506F">
        <w:rPr>
          <w:rFonts w:ascii="Times New Roman" w:eastAsia="Calibri" w:hAnsi="Times New Roman" w:cs="Times New Roman"/>
          <w:color w:val="000000"/>
          <w:sz w:val="24"/>
          <w:szCs w:val="24"/>
        </w:rPr>
        <w:t xml:space="preserve">Negative emotions (e.g., anxiety, shame, anger, guilt) were not used in the current study as indicators of online emotional engagement due to their more complex nature and their ambiguous effects on students’ engagement (Daniels &amp; Stupnisky, 2012; Pekrun et al., 2009, 2011; Pekrun &amp; Linnenbrink-Garcia, 2012). </w:t>
      </w:r>
      <w:r w:rsidR="00670981" w:rsidRPr="0032506F">
        <w:rPr>
          <w:rFonts w:ascii="Times New Roman" w:eastAsia="Calibri" w:hAnsi="Times New Roman" w:cs="Times New Roman"/>
          <w:bCs/>
          <w:color w:val="000000"/>
          <w:sz w:val="24"/>
          <w:szCs w:val="24"/>
        </w:rPr>
        <w:t xml:space="preserve">To address the issues of CI and CU, all the OEE items were intentionally kept within the relevant domain of online student emotions but nothing else and as many draft items as possible were created to adequately represent the relevant domain of online emotional engagement. </w:t>
      </w:r>
      <w:r w:rsidR="00522122" w:rsidRPr="0032506F">
        <w:rPr>
          <w:rFonts w:ascii="Times New Roman" w:eastAsia="Calibri" w:hAnsi="Times New Roman" w:cs="Times New Roman"/>
          <w:color w:val="000000"/>
          <w:sz w:val="24"/>
          <w:szCs w:val="24"/>
        </w:rPr>
        <w:t xml:space="preserve">While determining the indicators, </w:t>
      </w:r>
      <w:r w:rsidR="00522122" w:rsidRPr="0032506F">
        <w:rPr>
          <w:rFonts w:ascii="Times New Roman" w:eastAsia="Calibri" w:hAnsi="Times New Roman" w:cs="Times New Roman"/>
          <w:bCs/>
          <w:color w:val="000000"/>
          <w:sz w:val="24"/>
          <w:szCs w:val="24"/>
        </w:rPr>
        <w:t>Fredricks et al. (2005), Reeve and Tseng (2011), Reeve (2013), and Sun and Rueda (2012)</w:t>
      </w:r>
      <w:r w:rsidR="00F56EFB" w:rsidRPr="0032506F">
        <w:rPr>
          <w:rFonts w:ascii="Times New Roman" w:eastAsia="Calibri" w:hAnsi="Times New Roman" w:cs="Times New Roman"/>
          <w:bCs/>
          <w:color w:val="000000"/>
          <w:sz w:val="24"/>
          <w:szCs w:val="24"/>
        </w:rPr>
        <w:t xml:space="preserve"> were also consulted</w:t>
      </w:r>
      <w:r w:rsidR="00522122" w:rsidRPr="0032506F">
        <w:rPr>
          <w:rFonts w:ascii="Times New Roman" w:eastAsia="Calibri" w:hAnsi="Times New Roman" w:cs="Times New Roman"/>
          <w:color w:val="000000"/>
          <w:sz w:val="24"/>
          <w:szCs w:val="24"/>
        </w:rPr>
        <w:t xml:space="preserve">. </w:t>
      </w:r>
      <w:hyperlink w:anchor="Table33" w:history="1">
        <w:r w:rsidR="00522122" w:rsidRPr="0032506F">
          <w:rPr>
            <w:rFonts w:ascii="Times New Roman" w:eastAsia="Calibri" w:hAnsi="Times New Roman" w:cs="Times New Roman"/>
            <w:color w:val="0563C1" w:themeColor="hyperlink"/>
            <w:sz w:val="24"/>
            <w:szCs w:val="24"/>
            <w:u w:val="single"/>
          </w:rPr>
          <w:t>Table 3.3</w:t>
        </w:r>
      </w:hyperlink>
      <w:r w:rsidR="00522122" w:rsidRPr="0032506F">
        <w:rPr>
          <w:rFonts w:ascii="Times New Roman" w:eastAsia="Calibri" w:hAnsi="Times New Roman" w:cs="Times New Roman"/>
          <w:color w:val="000000"/>
          <w:sz w:val="24"/>
          <w:szCs w:val="24"/>
        </w:rPr>
        <w:t xml:space="preserve"> presents the construct definition and the corresponding indicators of online emotional engagement. </w:t>
      </w:r>
    </w:p>
    <w:p w14:paraId="6373202B" w14:textId="52A5F0B4" w:rsidR="00464606" w:rsidRDefault="00464606" w:rsidP="00522122">
      <w:pPr>
        <w:spacing w:after="0" w:line="480" w:lineRule="auto"/>
        <w:ind w:firstLine="720"/>
        <w:rPr>
          <w:rFonts w:ascii="Times New Roman" w:eastAsia="Calibri" w:hAnsi="Times New Roman" w:cs="Times New Roman"/>
          <w:color w:val="000000"/>
          <w:sz w:val="24"/>
          <w:szCs w:val="24"/>
        </w:rPr>
      </w:pPr>
    </w:p>
    <w:p w14:paraId="4310167D" w14:textId="6540E7DD" w:rsidR="00464606" w:rsidRDefault="00464606" w:rsidP="00522122">
      <w:pPr>
        <w:spacing w:after="0" w:line="480" w:lineRule="auto"/>
        <w:ind w:firstLine="720"/>
        <w:rPr>
          <w:rFonts w:ascii="Times New Roman" w:eastAsia="Calibri" w:hAnsi="Times New Roman" w:cs="Times New Roman"/>
          <w:color w:val="000000"/>
          <w:sz w:val="24"/>
          <w:szCs w:val="24"/>
        </w:rPr>
      </w:pPr>
    </w:p>
    <w:p w14:paraId="060BE4B4" w14:textId="77777777" w:rsidR="00464606" w:rsidRPr="0032506F" w:rsidRDefault="00464606" w:rsidP="00522122">
      <w:pPr>
        <w:spacing w:after="0" w:line="480" w:lineRule="auto"/>
        <w:ind w:firstLine="720"/>
        <w:rPr>
          <w:rFonts w:ascii="Times New Roman" w:eastAsia="Calibri" w:hAnsi="Times New Roman" w:cs="Times New Roman"/>
          <w:color w:val="000000"/>
          <w:sz w:val="24"/>
          <w:szCs w:val="24"/>
        </w:rPr>
      </w:pPr>
    </w:p>
    <w:p w14:paraId="4A8A94C4" w14:textId="77777777" w:rsidR="00522122" w:rsidRPr="0032506F" w:rsidRDefault="00522122" w:rsidP="00522122">
      <w:pPr>
        <w:spacing w:after="0" w:line="480" w:lineRule="auto"/>
        <w:rPr>
          <w:rFonts w:ascii="Times New Roman" w:eastAsia="Calibri" w:hAnsi="Times New Roman" w:cs="Times New Roman"/>
          <w:b/>
          <w:bCs/>
          <w:color w:val="000000"/>
          <w:sz w:val="24"/>
          <w:szCs w:val="24"/>
        </w:rPr>
      </w:pPr>
      <w:bookmarkStart w:id="55" w:name="Table33"/>
      <w:r w:rsidRPr="0032506F">
        <w:rPr>
          <w:rFonts w:ascii="Times New Roman" w:eastAsia="Calibri" w:hAnsi="Times New Roman" w:cs="Times New Roman"/>
          <w:b/>
          <w:bCs/>
          <w:color w:val="000000"/>
          <w:sz w:val="24"/>
          <w:szCs w:val="24"/>
        </w:rPr>
        <w:lastRenderedPageBreak/>
        <w:t>Table 3.3</w:t>
      </w:r>
    </w:p>
    <w:bookmarkEnd w:id="55"/>
    <w:p w14:paraId="417A086E" w14:textId="3BBEB55E" w:rsidR="00522122" w:rsidRPr="0032506F" w:rsidRDefault="00522122" w:rsidP="00522122">
      <w:pPr>
        <w:spacing w:after="0" w:line="480" w:lineRule="auto"/>
        <w:rPr>
          <w:rFonts w:ascii="Times New Roman" w:eastAsia="Calibri" w:hAnsi="Times New Roman" w:cs="Times New Roman"/>
          <w:i/>
          <w:iCs/>
          <w:color w:val="000000"/>
          <w:sz w:val="24"/>
          <w:szCs w:val="24"/>
        </w:rPr>
      </w:pPr>
      <w:r w:rsidRPr="0032506F">
        <w:rPr>
          <w:rFonts w:ascii="Times New Roman" w:eastAsia="Calibri" w:hAnsi="Times New Roman" w:cs="Times New Roman"/>
          <w:i/>
          <w:iCs/>
          <w:color w:val="000000"/>
          <w:sz w:val="24"/>
          <w:szCs w:val="24"/>
        </w:rPr>
        <w:t>Construct Definition and Indicators of Online Emotional Engagement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9"/>
        <w:gridCol w:w="3030"/>
        <w:gridCol w:w="3030"/>
      </w:tblGrid>
      <w:tr w:rsidR="00522122" w:rsidRPr="0032506F" w14:paraId="5808D22E" w14:textId="77777777" w:rsidTr="00464606">
        <w:trPr>
          <w:trHeight w:val="428"/>
        </w:trPr>
        <w:tc>
          <w:tcPr>
            <w:tcW w:w="3029" w:type="dxa"/>
            <w:tcBorders>
              <w:top w:val="single" w:sz="8" w:space="0" w:color="auto"/>
              <w:bottom w:val="single" w:sz="8" w:space="0" w:color="auto"/>
            </w:tcBorders>
          </w:tcPr>
          <w:p w14:paraId="01A24D04" w14:textId="77777777" w:rsidR="00522122" w:rsidRPr="0032506F" w:rsidRDefault="00522122" w:rsidP="00522122">
            <w:pPr>
              <w:rPr>
                <w:rFonts w:ascii="Times New Roman" w:eastAsia="Calibri" w:hAnsi="Times New Roman" w:cs="Times New Roman"/>
                <w:sz w:val="20"/>
                <w:szCs w:val="20"/>
              </w:rPr>
            </w:pPr>
            <w:r w:rsidRPr="0032506F">
              <w:rPr>
                <w:rFonts w:ascii="Times New Roman" w:eastAsia="Calibri" w:hAnsi="Times New Roman" w:cs="Times New Roman"/>
                <w:b/>
                <w:bCs/>
                <w:sz w:val="20"/>
                <w:szCs w:val="20"/>
              </w:rPr>
              <w:t>Subdimension</w:t>
            </w:r>
          </w:p>
        </w:tc>
        <w:tc>
          <w:tcPr>
            <w:tcW w:w="3030" w:type="dxa"/>
            <w:tcBorders>
              <w:top w:val="single" w:sz="8" w:space="0" w:color="auto"/>
              <w:bottom w:val="single" w:sz="8" w:space="0" w:color="auto"/>
            </w:tcBorders>
          </w:tcPr>
          <w:p w14:paraId="4A7138E4" w14:textId="730C3F78" w:rsidR="00522122" w:rsidRPr="0032506F" w:rsidRDefault="00522122" w:rsidP="00522122">
            <w:pPr>
              <w:rPr>
                <w:rFonts w:ascii="Times New Roman" w:eastAsia="Calibri" w:hAnsi="Times New Roman" w:cs="Times New Roman"/>
                <w:b/>
                <w:bCs/>
                <w:sz w:val="20"/>
                <w:szCs w:val="20"/>
              </w:rPr>
            </w:pPr>
            <w:r w:rsidRPr="0032506F">
              <w:rPr>
                <w:rFonts w:ascii="Times New Roman" w:eastAsia="Calibri" w:hAnsi="Times New Roman" w:cs="Times New Roman"/>
                <w:b/>
                <w:bCs/>
                <w:sz w:val="20"/>
                <w:szCs w:val="20"/>
              </w:rPr>
              <w:t>Construct Definition</w:t>
            </w:r>
          </w:p>
        </w:tc>
        <w:tc>
          <w:tcPr>
            <w:tcW w:w="3030" w:type="dxa"/>
            <w:tcBorders>
              <w:top w:val="single" w:sz="8" w:space="0" w:color="auto"/>
              <w:bottom w:val="single" w:sz="8" w:space="0" w:color="auto"/>
            </w:tcBorders>
          </w:tcPr>
          <w:p w14:paraId="74A063A2" w14:textId="77777777" w:rsidR="00522122" w:rsidRPr="0032506F" w:rsidRDefault="00522122" w:rsidP="00522122">
            <w:pPr>
              <w:rPr>
                <w:rFonts w:ascii="Times New Roman" w:eastAsia="Calibri" w:hAnsi="Times New Roman" w:cs="Times New Roman"/>
                <w:b/>
                <w:bCs/>
                <w:sz w:val="20"/>
                <w:szCs w:val="20"/>
              </w:rPr>
            </w:pPr>
            <w:r w:rsidRPr="0032506F">
              <w:rPr>
                <w:rFonts w:ascii="Times New Roman" w:eastAsia="Calibri" w:hAnsi="Times New Roman" w:cs="Times New Roman"/>
                <w:b/>
                <w:bCs/>
                <w:sz w:val="20"/>
                <w:szCs w:val="20"/>
              </w:rPr>
              <w:t xml:space="preserve">Indicators </w:t>
            </w:r>
          </w:p>
          <w:p w14:paraId="481B3D3B" w14:textId="77777777" w:rsidR="00522122" w:rsidRPr="0032506F" w:rsidRDefault="00522122" w:rsidP="00522122">
            <w:pPr>
              <w:rPr>
                <w:rFonts w:ascii="Times New Roman" w:eastAsia="Calibri" w:hAnsi="Times New Roman" w:cs="Times New Roman"/>
                <w:b/>
                <w:bCs/>
                <w:sz w:val="20"/>
                <w:szCs w:val="20"/>
              </w:rPr>
            </w:pPr>
          </w:p>
        </w:tc>
      </w:tr>
      <w:tr w:rsidR="00522122" w:rsidRPr="0032506F" w14:paraId="7C68BB86" w14:textId="77777777" w:rsidTr="00464606">
        <w:trPr>
          <w:trHeight w:val="1282"/>
        </w:trPr>
        <w:tc>
          <w:tcPr>
            <w:tcW w:w="3029" w:type="dxa"/>
            <w:tcBorders>
              <w:top w:val="single" w:sz="8" w:space="0" w:color="auto"/>
              <w:bottom w:val="single" w:sz="8" w:space="0" w:color="auto"/>
            </w:tcBorders>
          </w:tcPr>
          <w:p w14:paraId="65740F11" w14:textId="77777777" w:rsidR="00522122" w:rsidRPr="0032506F" w:rsidRDefault="00522122" w:rsidP="00522122">
            <w:pPr>
              <w:rPr>
                <w:rFonts w:ascii="Times New Roman" w:eastAsia="Calibri" w:hAnsi="Times New Roman" w:cs="Times New Roman"/>
                <w:sz w:val="20"/>
                <w:szCs w:val="20"/>
              </w:rPr>
            </w:pPr>
            <w:r w:rsidRPr="0032506F">
              <w:rPr>
                <w:rFonts w:ascii="Times New Roman" w:eastAsia="Calibri" w:hAnsi="Times New Roman" w:cs="Times New Roman"/>
                <w:sz w:val="20"/>
                <w:szCs w:val="20"/>
              </w:rPr>
              <w:t>Online Emotional Engagement</w:t>
            </w:r>
          </w:p>
        </w:tc>
        <w:tc>
          <w:tcPr>
            <w:tcW w:w="3030" w:type="dxa"/>
            <w:tcBorders>
              <w:top w:val="single" w:sz="8" w:space="0" w:color="auto"/>
              <w:bottom w:val="single" w:sz="8" w:space="0" w:color="auto"/>
            </w:tcBorders>
          </w:tcPr>
          <w:p w14:paraId="3072EFA5" w14:textId="77777777" w:rsidR="00522122" w:rsidRPr="0032506F" w:rsidRDefault="00522122" w:rsidP="00522122">
            <w:pPr>
              <w:rPr>
                <w:rFonts w:ascii="Times New Roman" w:eastAsia="Calibri" w:hAnsi="Times New Roman" w:cs="Times New Roman"/>
                <w:sz w:val="20"/>
                <w:szCs w:val="20"/>
              </w:rPr>
            </w:pPr>
            <w:r w:rsidRPr="0032506F">
              <w:rPr>
                <w:rFonts w:ascii="Times New Roman" w:eastAsia="Calibri" w:hAnsi="Times New Roman" w:cs="Times New Roman"/>
                <w:sz w:val="20"/>
                <w:szCs w:val="20"/>
              </w:rPr>
              <w:t>The extent to which online students of higher education experience certain positive emotions regarding their learning experiences in online courses</w:t>
            </w:r>
          </w:p>
        </w:tc>
        <w:tc>
          <w:tcPr>
            <w:tcW w:w="3030" w:type="dxa"/>
            <w:tcBorders>
              <w:top w:val="single" w:sz="8" w:space="0" w:color="auto"/>
              <w:bottom w:val="single" w:sz="8" w:space="0" w:color="auto"/>
            </w:tcBorders>
          </w:tcPr>
          <w:p w14:paraId="44605912" w14:textId="77777777" w:rsidR="00522122" w:rsidRPr="0032506F" w:rsidRDefault="00522122" w:rsidP="00522122">
            <w:pPr>
              <w:numPr>
                <w:ilvl w:val="0"/>
                <w:numId w:val="12"/>
              </w:numPr>
              <w:ind w:left="331" w:hanging="270"/>
              <w:rPr>
                <w:rFonts w:ascii="Times New Roman" w:eastAsia="Calibri" w:hAnsi="Times New Roman" w:cs="Times New Roman"/>
                <w:sz w:val="20"/>
                <w:szCs w:val="20"/>
              </w:rPr>
            </w:pPr>
            <w:r w:rsidRPr="0032506F">
              <w:rPr>
                <w:rFonts w:ascii="Times New Roman" w:eastAsia="Calibri" w:hAnsi="Times New Roman" w:cs="Times New Roman"/>
                <w:sz w:val="20"/>
                <w:szCs w:val="20"/>
              </w:rPr>
              <w:t>enjoyment</w:t>
            </w:r>
          </w:p>
          <w:p w14:paraId="3F45CFFF" w14:textId="77777777" w:rsidR="00522122" w:rsidRPr="0032506F" w:rsidRDefault="00522122" w:rsidP="00522122">
            <w:pPr>
              <w:numPr>
                <w:ilvl w:val="0"/>
                <w:numId w:val="12"/>
              </w:numPr>
              <w:ind w:left="331" w:hanging="270"/>
              <w:rPr>
                <w:rFonts w:ascii="Times New Roman" w:eastAsia="Calibri" w:hAnsi="Times New Roman" w:cs="Times New Roman"/>
                <w:sz w:val="20"/>
                <w:szCs w:val="20"/>
              </w:rPr>
            </w:pPr>
            <w:r w:rsidRPr="0032506F">
              <w:rPr>
                <w:rFonts w:ascii="Times New Roman" w:eastAsia="Calibri" w:hAnsi="Times New Roman" w:cs="Times New Roman"/>
                <w:sz w:val="20"/>
                <w:szCs w:val="20"/>
              </w:rPr>
              <w:t>pride</w:t>
            </w:r>
          </w:p>
          <w:p w14:paraId="744935E9" w14:textId="77777777" w:rsidR="00522122" w:rsidRPr="0032506F" w:rsidRDefault="00522122" w:rsidP="00522122">
            <w:pPr>
              <w:numPr>
                <w:ilvl w:val="0"/>
                <w:numId w:val="12"/>
              </w:numPr>
              <w:ind w:left="331" w:hanging="270"/>
              <w:rPr>
                <w:rFonts w:ascii="Times New Roman" w:eastAsia="Calibri" w:hAnsi="Times New Roman" w:cs="Times New Roman"/>
                <w:sz w:val="20"/>
                <w:szCs w:val="20"/>
              </w:rPr>
            </w:pPr>
            <w:r w:rsidRPr="0032506F">
              <w:rPr>
                <w:rFonts w:ascii="Times New Roman" w:eastAsia="Calibri" w:hAnsi="Times New Roman" w:cs="Times New Roman"/>
                <w:sz w:val="20"/>
                <w:szCs w:val="20"/>
              </w:rPr>
              <w:t>hope</w:t>
            </w:r>
          </w:p>
          <w:p w14:paraId="37A62867" w14:textId="77777777" w:rsidR="00522122" w:rsidRPr="0032506F" w:rsidRDefault="00522122" w:rsidP="00522122">
            <w:pPr>
              <w:numPr>
                <w:ilvl w:val="0"/>
                <w:numId w:val="12"/>
              </w:numPr>
              <w:ind w:left="331" w:hanging="270"/>
              <w:rPr>
                <w:rFonts w:ascii="Times New Roman" w:eastAsia="Calibri" w:hAnsi="Times New Roman" w:cs="Times New Roman"/>
                <w:sz w:val="20"/>
                <w:szCs w:val="20"/>
              </w:rPr>
            </w:pPr>
            <w:r w:rsidRPr="0032506F">
              <w:rPr>
                <w:rFonts w:ascii="Times New Roman" w:eastAsia="Calibri" w:hAnsi="Times New Roman" w:cs="Times New Roman"/>
                <w:sz w:val="20"/>
                <w:szCs w:val="20"/>
              </w:rPr>
              <w:t>curiosity</w:t>
            </w:r>
          </w:p>
        </w:tc>
      </w:tr>
    </w:tbl>
    <w:p w14:paraId="6B2CDCC9" w14:textId="77777777" w:rsidR="00670981" w:rsidRPr="0032506F" w:rsidRDefault="00670981" w:rsidP="001B0937"/>
    <w:p w14:paraId="44D67E86" w14:textId="23A77B2B" w:rsidR="00195B7F" w:rsidRPr="0032506F" w:rsidRDefault="00522122" w:rsidP="001B0937">
      <w:pPr>
        <w:pStyle w:val="Heading2"/>
      </w:pPr>
      <w:bookmarkStart w:id="56" w:name="_Toc102489447"/>
      <w:r w:rsidRPr="0032506F">
        <w:t>Construct Definition and Operationalization of Online Cognitive Engagement</w:t>
      </w:r>
      <w:bookmarkEnd w:id="56"/>
    </w:p>
    <w:p w14:paraId="65189F66" w14:textId="3191A6B3" w:rsidR="00522122" w:rsidRPr="0032506F" w:rsidRDefault="00522122" w:rsidP="00522122">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b/>
          <w:bCs/>
          <w:i/>
          <w:iCs/>
          <w:sz w:val="28"/>
          <w:szCs w:val="28"/>
        </w:rPr>
        <w:t xml:space="preserve"> </w:t>
      </w:r>
      <w:r w:rsidR="00195B7F" w:rsidRPr="0032506F">
        <w:rPr>
          <w:rFonts w:ascii="Times New Roman" w:eastAsia="Calibri" w:hAnsi="Times New Roman" w:cs="Times New Roman"/>
          <w:b/>
          <w:bCs/>
          <w:i/>
          <w:iCs/>
          <w:sz w:val="28"/>
          <w:szCs w:val="28"/>
        </w:rPr>
        <w:tab/>
      </w:r>
      <w:r w:rsidR="001C48D7" w:rsidRPr="0032506F">
        <w:rPr>
          <w:rFonts w:ascii="Times New Roman" w:eastAsia="Calibri" w:hAnsi="Times New Roman" w:cs="Times New Roman"/>
          <w:color w:val="000000"/>
          <w:sz w:val="24"/>
          <w:szCs w:val="24"/>
        </w:rPr>
        <w:t xml:space="preserve">Based on a critical review </w:t>
      </w:r>
      <w:r w:rsidR="00B63D36" w:rsidRPr="0032506F">
        <w:rPr>
          <w:rFonts w:ascii="Times New Roman" w:eastAsia="Calibri" w:hAnsi="Times New Roman" w:cs="Times New Roman"/>
          <w:color w:val="000000"/>
          <w:sz w:val="24"/>
          <w:szCs w:val="24"/>
        </w:rPr>
        <w:t>of the literature of cognitive engagement</w:t>
      </w:r>
      <w:r w:rsidRPr="0032506F">
        <w:rPr>
          <w:rFonts w:ascii="Times New Roman" w:eastAsia="Calibri" w:hAnsi="Times New Roman" w:cs="Times New Roman"/>
          <w:color w:val="000000"/>
          <w:sz w:val="24"/>
          <w:szCs w:val="24"/>
        </w:rPr>
        <w:t xml:space="preserve"> (</w:t>
      </w:r>
      <w:r w:rsidR="001A24D4" w:rsidRPr="0032506F">
        <w:rPr>
          <w:rFonts w:ascii="Times New Roman" w:eastAsia="Calibri" w:hAnsi="Times New Roman" w:cs="Times New Roman"/>
          <w:color w:val="000000"/>
          <w:sz w:val="24"/>
          <w:szCs w:val="24"/>
        </w:rPr>
        <w:t xml:space="preserve">Fredricks et al., 2004; </w:t>
      </w:r>
      <w:r w:rsidRPr="0032506F">
        <w:rPr>
          <w:rFonts w:ascii="Times New Roman" w:eastAsia="Calibri" w:hAnsi="Times New Roman" w:cs="Times New Roman"/>
          <w:color w:val="000000"/>
          <w:sz w:val="24"/>
          <w:szCs w:val="24"/>
        </w:rPr>
        <w:t>Fredricks &amp; McColskey, 2012), online cognitive engagement</w:t>
      </w:r>
      <w:r w:rsidR="00AD6BBA" w:rsidRPr="0032506F">
        <w:rPr>
          <w:rFonts w:ascii="Times New Roman" w:eastAsia="Calibri" w:hAnsi="Times New Roman" w:cs="Times New Roman"/>
          <w:color w:val="000000"/>
          <w:sz w:val="24"/>
          <w:szCs w:val="24"/>
        </w:rPr>
        <w:t xml:space="preserve"> in this study</w:t>
      </w:r>
      <w:r w:rsidR="00F56EFB" w:rsidRPr="0032506F">
        <w:rPr>
          <w:rFonts w:ascii="Times New Roman" w:eastAsia="Calibri" w:hAnsi="Times New Roman" w:cs="Times New Roman"/>
          <w:color w:val="000000"/>
          <w:sz w:val="24"/>
          <w:szCs w:val="24"/>
        </w:rPr>
        <w:t xml:space="preserve"> is defined</w:t>
      </w:r>
      <w:r w:rsidRPr="0032506F">
        <w:rPr>
          <w:rFonts w:ascii="Times New Roman" w:eastAsia="Calibri" w:hAnsi="Times New Roman" w:cs="Times New Roman"/>
          <w:color w:val="000000"/>
          <w:sz w:val="24"/>
          <w:szCs w:val="24"/>
        </w:rPr>
        <w:t xml:space="preserve"> as </w:t>
      </w:r>
      <w:r w:rsidRPr="0032506F">
        <w:rPr>
          <w:rFonts w:ascii="Times New Roman" w:eastAsia="Calibri" w:hAnsi="Times New Roman" w:cs="Times New Roman"/>
          <w:i/>
          <w:iCs/>
          <w:color w:val="000000"/>
          <w:sz w:val="24"/>
          <w:szCs w:val="24"/>
        </w:rPr>
        <w:t>the extent to which online students of higher education expend and regulate conscious mental effort to use cognitive and metacognitive strategies during online learning</w:t>
      </w:r>
      <w:r w:rsidRPr="0032506F">
        <w:rPr>
          <w:rFonts w:ascii="Times New Roman" w:eastAsia="Calibri" w:hAnsi="Times New Roman" w:cs="Times New Roman"/>
          <w:color w:val="000000"/>
          <w:sz w:val="24"/>
          <w:szCs w:val="24"/>
        </w:rPr>
        <w:t>.</w:t>
      </w:r>
      <w:r w:rsidRPr="0032506F">
        <w:rPr>
          <w:rFonts w:ascii="Times New Roman" w:eastAsia="Calibri" w:hAnsi="Times New Roman" w:cs="Times New Roman"/>
          <w:b/>
          <w:bCs/>
          <w:color w:val="000000"/>
          <w:sz w:val="24"/>
          <w:szCs w:val="24"/>
        </w:rPr>
        <w:t xml:space="preserve"> </w:t>
      </w:r>
      <w:r w:rsidR="00121BCC" w:rsidRPr="0032506F">
        <w:rPr>
          <w:rFonts w:ascii="Times New Roman" w:eastAsia="Calibri" w:hAnsi="Times New Roman" w:cs="Times New Roman"/>
          <w:color w:val="000000"/>
          <w:sz w:val="24"/>
          <w:szCs w:val="24"/>
        </w:rPr>
        <w:t>This</w:t>
      </w:r>
      <w:r w:rsidRPr="0032506F">
        <w:rPr>
          <w:rFonts w:ascii="Times New Roman" w:eastAsia="Calibri" w:hAnsi="Times New Roman" w:cs="Times New Roman"/>
          <w:color w:val="000000"/>
          <w:sz w:val="24"/>
          <w:szCs w:val="24"/>
        </w:rPr>
        <w:t xml:space="preserve"> conceptualization of online cognitive engagement as expending conscious mental effort to use cognitive and metacognitive strategies versus psychological investment (motivation) conceptualization rests on the argument that students’ making conscious mental effort for the use of cognitive and metacognitive strategies is conceptually and theoretically closer to the action or experience-based nature of the construct of engagement (Fredricks &amp; McColskey, 2012). </w:t>
      </w:r>
    </w:p>
    <w:p w14:paraId="7CA80715" w14:textId="6B6B2C18" w:rsidR="00522122" w:rsidRPr="0032506F" w:rsidRDefault="00522122" w:rsidP="00522122">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t xml:space="preserve">Next, based on </w:t>
      </w:r>
      <w:r w:rsidR="00121BCC" w:rsidRPr="0032506F">
        <w:rPr>
          <w:rFonts w:ascii="Times New Roman" w:eastAsia="Calibri" w:hAnsi="Times New Roman" w:cs="Times New Roman"/>
          <w:color w:val="000000"/>
          <w:sz w:val="24"/>
          <w:szCs w:val="24"/>
        </w:rPr>
        <w:t xml:space="preserve">this </w:t>
      </w:r>
      <w:r w:rsidRPr="0032506F">
        <w:rPr>
          <w:rFonts w:ascii="Times New Roman" w:eastAsia="Calibri" w:hAnsi="Times New Roman" w:cs="Times New Roman"/>
          <w:color w:val="000000"/>
          <w:sz w:val="24"/>
          <w:szCs w:val="24"/>
        </w:rPr>
        <w:t xml:space="preserve">construct definition, in light of </w:t>
      </w:r>
      <w:bookmarkStart w:id="57" w:name="_Hlk94527926"/>
      <w:r w:rsidRPr="0032506F">
        <w:rPr>
          <w:rFonts w:ascii="Times New Roman" w:eastAsia="Calibri" w:hAnsi="Times New Roman" w:cs="Times New Roman"/>
          <w:color w:val="000000"/>
          <w:sz w:val="24"/>
          <w:szCs w:val="24"/>
        </w:rPr>
        <w:t>the relevant literature of cognitive engagement (Henrie et al., 2015) and of cognitive and metacognitive strategies (e.g., Greene &amp; Miller, 1996; Wolters, 2004) as well as the relevant literature of cognitive engagement indicators in online learning environments such as reflection on the discussion board (e.g., Dennen, 2008)</w:t>
      </w:r>
      <w:bookmarkEnd w:id="57"/>
      <w:r w:rsidRPr="0032506F">
        <w:rPr>
          <w:rFonts w:ascii="Times New Roman" w:eastAsia="Calibri" w:hAnsi="Times New Roman" w:cs="Times New Roman"/>
          <w:color w:val="000000"/>
          <w:sz w:val="24"/>
          <w:szCs w:val="24"/>
        </w:rPr>
        <w:t>,  certain indicators intended to adequately and accurately represent the content domain or universe of online cognitive engagement</w:t>
      </w:r>
      <w:r w:rsidR="00121BCC" w:rsidRPr="0032506F">
        <w:rPr>
          <w:rFonts w:ascii="Times New Roman" w:eastAsia="Calibri" w:hAnsi="Times New Roman" w:cs="Times New Roman"/>
          <w:color w:val="000000"/>
          <w:sz w:val="24"/>
          <w:szCs w:val="24"/>
        </w:rPr>
        <w:t xml:space="preserve"> were</w:t>
      </w:r>
      <w:r w:rsidR="00242D50" w:rsidRPr="0032506F">
        <w:rPr>
          <w:rFonts w:ascii="Times New Roman" w:eastAsia="Calibri" w:hAnsi="Times New Roman" w:cs="Times New Roman"/>
          <w:color w:val="000000"/>
          <w:sz w:val="24"/>
          <w:szCs w:val="24"/>
        </w:rPr>
        <w:t xml:space="preserve"> created</w:t>
      </w:r>
      <w:r w:rsidRPr="0032506F">
        <w:rPr>
          <w:rFonts w:ascii="Times New Roman" w:eastAsia="Calibri" w:hAnsi="Times New Roman" w:cs="Times New Roman"/>
          <w:color w:val="000000"/>
          <w:sz w:val="24"/>
          <w:szCs w:val="24"/>
        </w:rPr>
        <w:t>. Specific indicators</w:t>
      </w:r>
      <w:r w:rsidR="00242D50"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 xml:space="preserve">used to operationalize online cognitive engagement include but are not limited to making logical connections between ideas, </w:t>
      </w:r>
      <w:r w:rsidRPr="0032506F">
        <w:rPr>
          <w:rFonts w:ascii="Times New Roman" w:eastAsia="Calibri" w:hAnsi="Times New Roman" w:cs="Times New Roman"/>
          <w:color w:val="000000"/>
          <w:sz w:val="24"/>
          <w:szCs w:val="24"/>
        </w:rPr>
        <w:lastRenderedPageBreak/>
        <w:t>creating one’s examples, making conscious mental effort to better understand, elaborating on ideas, reflection, and thinking and asking about one’s own learning, which are some common cognitive and metacognitive learning strategies used by students in academic settings (</w:t>
      </w:r>
      <w:bookmarkStart w:id="58" w:name="_Hlk67658702"/>
      <w:r w:rsidRPr="0032506F">
        <w:rPr>
          <w:rFonts w:ascii="Times New Roman" w:eastAsia="Calibri" w:hAnsi="Times New Roman" w:cs="Times New Roman"/>
          <w:color w:val="000000"/>
          <w:sz w:val="24"/>
          <w:szCs w:val="24"/>
        </w:rPr>
        <w:t>Greene &amp; Miller, 1996</w:t>
      </w:r>
      <w:bookmarkEnd w:id="58"/>
      <w:r w:rsidRPr="0032506F">
        <w:rPr>
          <w:rFonts w:ascii="Times New Roman" w:eastAsia="Calibri" w:hAnsi="Times New Roman" w:cs="Times New Roman"/>
          <w:color w:val="000000"/>
          <w:sz w:val="24"/>
          <w:szCs w:val="24"/>
        </w:rPr>
        <w:t xml:space="preserve">; Wolters, 2004). </w:t>
      </w:r>
      <w:r w:rsidR="00BC2CED" w:rsidRPr="0032506F">
        <w:rPr>
          <w:rFonts w:ascii="Times New Roman" w:eastAsia="Calibri" w:hAnsi="Times New Roman" w:cs="Times New Roman"/>
          <w:color w:val="000000"/>
          <w:sz w:val="24"/>
          <w:szCs w:val="24"/>
        </w:rPr>
        <w:t xml:space="preserve">To address the issues of CI and CU, all the OCE items were kept within the relevant domain of online students’ use of cognitive and metacognitive learning strategies but nothing else and as many draft items as possible were created to adequately represent the relevant domain of online cognitive engagement. </w:t>
      </w:r>
      <w:r w:rsidRPr="0032506F">
        <w:rPr>
          <w:rFonts w:ascii="Times New Roman" w:eastAsia="Calibri" w:hAnsi="Times New Roman" w:cs="Times New Roman"/>
          <w:color w:val="000000"/>
          <w:sz w:val="24"/>
          <w:szCs w:val="24"/>
        </w:rPr>
        <w:t xml:space="preserve">While determining these indicators, the indicators of cognitive engagement used by </w:t>
      </w:r>
      <w:bookmarkStart w:id="59" w:name="_Hlk94528044"/>
      <w:r w:rsidRPr="0032506F">
        <w:rPr>
          <w:rFonts w:ascii="Times New Roman" w:eastAsia="Calibri" w:hAnsi="Times New Roman" w:cs="Times New Roman"/>
          <w:color w:val="000000"/>
          <w:sz w:val="24"/>
          <w:szCs w:val="24"/>
        </w:rPr>
        <w:t>Fredricks et al. (2005)</w:t>
      </w:r>
      <w:bookmarkEnd w:id="59"/>
      <w:r w:rsidRPr="0032506F">
        <w:rPr>
          <w:rFonts w:ascii="Times New Roman" w:eastAsia="Calibri" w:hAnsi="Times New Roman" w:cs="Times New Roman"/>
          <w:color w:val="000000"/>
          <w:sz w:val="24"/>
          <w:szCs w:val="24"/>
        </w:rPr>
        <w:t>, Miller et al. (1996), Reeve and Tseng (2011), Reeve (2013), and Sun and Rueda (2012)</w:t>
      </w:r>
      <w:r w:rsidR="00242D50" w:rsidRPr="0032506F">
        <w:rPr>
          <w:rFonts w:ascii="Times New Roman" w:eastAsia="Calibri" w:hAnsi="Times New Roman" w:cs="Times New Roman"/>
          <w:color w:val="000000"/>
          <w:sz w:val="24"/>
          <w:szCs w:val="24"/>
        </w:rPr>
        <w:t xml:space="preserve"> were also examined</w:t>
      </w:r>
      <w:r w:rsidRPr="0032506F">
        <w:rPr>
          <w:rFonts w:ascii="Times New Roman" w:eastAsia="Calibri" w:hAnsi="Times New Roman" w:cs="Times New Roman"/>
          <w:color w:val="000000"/>
          <w:sz w:val="24"/>
          <w:szCs w:val="24"/>
        </w:rPr>
        <w:t xml:space="preserve">. </w:t>
      </w:r>
      <w:hyperlink w:anchor="Table34" w:history="1">
        <w:r w:rsidRPr="0032506F">
          <w:rPr>
            <w:rFonts w:ascii="Times New Roman" w:eastAsia="Calibri" w:hAnsi="Times New Roman" w:cs="Times New Roman"/>
            <w:color w:val="0563C1" w:themeColor="hyperlink"/>
            <w:sz w:val="24"/>
            <w:szCs w:val="24"/>
            <w:u w:val="single"/>
          </w:rPr>
          <w:t>Table 3.4</w:t>
        </w:r>
      </w:hyperlink>
      <w:r w:rsidRPr="0032506F">
        <w:rPr>
          <w:rFonts w:ascii="Times New Roman" w:eastAsia="Calibri" w:hAnsi="Times New Roman" w:cs="Times New Roman"/>
          <w:color w:val="000000"/>
          <w:sz w:val="24"/>
          <w:szCs w:val="24"/>
        </w:rPr>
        <w:t xml:space="preserve"> presents the construct definition and the corresponding indicators of online cognitive engagement.</w:t>
      </w:r>
    </w:p>
    <w:p w14:paraId="5524BA92" w14:textId="77777777" w:rsidR="00522122" w:rsidRPr="0032506F" w:rsidRDefault="00522122" w:rsidP="00522122">
      <w:pPr>
        <w:spacing w:after="0" w:line="480" w:lineRule="auto"/>
        <w:rPr>
          <w:rFonts w:ascii="Times New Roman" w:eastAsia="Calibri" w:hAnsi="Times New Roman" w:cs="Times New Roman"/>
          <w:b/>
          <w:bCs/>
          <w:sz w:val="24"/>
          <w:szCs w:val="24"/>
        </w:rPr>
      </w:pPr>
      <w:bookmarkStart w:id="60" w:name="Table34"/>
      <w:r w:rsidRPr="0032506F">
        <w:rPr>
          <w:rFonts w:ascii="Times New Roman" w:eastAsia="Calibri" w:hAnsi="Times New Roman" w:cs="Times New Roman"/>
          <w:b/>
          <w:bCs/>
          <w:sz w:val="24"/>
          <w:szCs w:val="24"/>
        </w:rPr>
        <w:t>Table 3.4</w:t>
      </w:r>
    </w:p>
    <w:bookmarkEnd w:id="60"/>
    <w:p w14:paraId="7D165C4F" w14:textId="44331587" w:rsidR="00522122" w:rsidRPr="0032506F" w:rsidRDefault="00522122" w:rsidP="00522122">
      <w:pPr>
        <w:spacing w:after="0" w:line="480" w:lineRule="auto"/>
        <w:rPr>
          <w:rFonts w:ascii="Times New Roman" w:eastAsia="Calibri" w:hAnsi="Times New Roman" w:cs="Times New Roman"/>
          <w:i/>
          <w:iCs/>
          <w:sz w:val="24"/>
          <w:szCs w:val="24"/>
        </w:rPr>
      </w:pPr>
      <w:r w:rsidRPr="0032506F">
        <w:rPr>
          <w:rFonts w:ascii="Times New Roman" w:eastAsia="Calibri" w:hAnsi="Times New Roman" w:cs="Times New Roman"/>
          <w:i/>
          <w:iCs/>
          <w:sz w:val="24"/>
          <w:szCs w:val="24"/>
        </w:rPr>
        <w:t>Construct Definition and Indicators of Online Cognitive Engagement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2"/>
        <w:gridCol w:w="3339"/>
        <w:gridCol w:w="4238"/>
      </w:tblGrid>
      <w:tr w:rsidR="00522122" w:rsidRPr="0032506F" w14:paraId="2FAE3F7F" w14:textId="77777777" w:rsidTr="00791EF5">
        <w:trPr>
          <w:trHeight w:val="522"/>
        </w:trPr>
        <w:tc>
          <w:tcPr>
            <w:tcW w:w="1562" w:type="dxa"/>
            <w:tcBorders>
              <w:top w:val="single" w:sz="8" w:space="0" w:color="auto"/>
              <w:bottom w:val="single" w:sz="8" w:space="0" w:color="auto"/>
            </w:tcBorders>
          </w:tcPr>
          <w:p w14:paraId="5DE04AC4" w14:textId="77777777" w:rsidR="00522122" w:rsidRPr="0032506F" w:rsidRDefault="00522122" w:rsidP="00522122">
            <w:pPr>
              <w:rPr>
                <w:rFonts w:ascii="Times New Roman" w:eastAsia="Calibri" w:hAnsi="Times New Roman" w:cs="Times New Roman"/>
                <w:b/>
                <w:bCs/>
              </w:rPr>
            </w:pPr>
            <w:r w:rsidRPr="0032506F">
              <w:rPr>
                <w:rFonts w:ascii="Times New Roman" w:eastAsia="Calibri" w:hAnsi="Times New Roman" w:cs="Times New Roman"/>
                <w:b/>
                <w:bCs/>
              </w:rPr>
              <w:t>Subdimension</w:t>
            </w:r>
          </w:p>
        </w:tc>
        <w:tc>
          <w:tcPr>
            <w:tcW w:w="3339" w:type="dxa"/>
            <w:tcBorders>
              <w:top w:val="single" w:sz="8" w:space="0" w:color="auto"/>
              <w:bottom w:val="single" w:sz="8" w:space="0" w:color="auto"/>
            </w:tcBorders>
          </w:tcPr>
          <w:p w14:paraId="00A13C04" w14:textId="3F5B2274" w:rsidR="00522122" w:rsidRPr="0032506F" w:rsidRDefault="00522122" w:rsidP="00522122">
            <w:pPr>
              <w:rPr>
                <w:rFonts w:ascii="Times New Roman" w:eastAsia="Calibri" w:hAnsi="Times New Roman" w:cs="Times New Roman"/>
                <w:b/>
                <w:bCs/>
              </w:rPr>
            </w:pPr>
            <w:r w:rsidRPr="0032506F">
              <w:rPr>
                <w:rFonts w:ascii="Times New Roman" w:eastAsia="Calibri" w:hAnsi="Times New Roman" w:cs="Times New Roman"/>
                <w:b/>
                <w:bCs/>
              </w:rPr>
              <w:t>Construct Definition</w:t>
            </w:r>
          </w:p>
        </w:tc>
        <w:tc>
          <w:tcPr>
            <w:tcW w:w="4238" w:type="dxa"/>
            <w:tcBorders>
              <w:top w:val="single" w:sz="8" w:space="0" w:color="auto"/>
              <w:bottom w:val="single" w:sz="8" w:space="0" w:color="auto"/>
            </w:tcBorders>
          </w:tcPr>
          <w:p w14:paraId="44880DC4" w14:textId="77777777" w:rsidR="00522122" w:rsidRPr="0032506F" w:rsidRDefault="00522122" w:rsidP="00522122">
            <w:pPr>
              <w:rPr>
                <w:rFonts w:ascii="Times New Roman" w:eastAsia="Calibri" w:hAnsi="Times New Roman" w:cs="Times New Roman"/>
                <w:b/>
                <w:bCs/>
              </w:rPr>
            </w:pPr>
            <w:r w:rsidRPr="0032506F">
              <w:rPr>
                <w:rFonts w:ascii="Times New Roman" w:eastAsia="Calibri" w:hAnsi="Times New Roman" w:cs="Times New Roman"/>
                <w:b/>
                <w:bCs/>
              </w:rPr>
              <w:t xml:space="preserve">Indicators </w:t>
            </w:r>
          </w:p>
          <w:p w14:paraId="3284E768" w14:textId="287EEE88" w:rsidR="00522122" w:rsidRPr="0032506F" w:rsidRDefault="00522122" w:rsidP="00522122">
            <w:pPr>
              <w:rPr>
                <w:rFonts w:ascii="Times New Roman" w:eastAsia="Calibri" w:hAnsi="Times New Roman" w:cs="Times New Roman"/>
                <w:b/>
                <w:bCs/>
              </w:rPr>
            </w:pPr>
            <w:r w:rsidRPr="0032506F">
              <w:rPr>
                <w:rFonts w:ascii="Times New Roman" w:eastAsia="Calibri" w:hAnsi="Times New Roman" w:cs="Times New Roman"/>
                <w:b/>
                <w:bCs/>
              </w:rPr>
              <w:t>(</w:t>
            </w:r>
            <w:r w:rsidR="00753A92" w:rsidRPr="0032506F">
              <w:rPr>
                <w:rFonts w:ascii="Times New Roman" w:eastAsia="Calibri" w:hAnsi="Times New Roman" w:cs="Times New Roman"/>
                <w:b/>
                <w:bCs/>
              </w:rPr>
              <w:t>E</w:t>
            </w:r>
            <w:r w:rsidRPr="0032506F">
              <w:rPr>
                <w:rFonts w:ascii="Times New Roman" w:eastAsia="Calibri" w:hAnsi="Times New Roman" w:cs="Times New Roman"/>
                <w:b/>
                <w:bCs/>
              </w:rPr>
              <w:t>xamples)</w:t>
            </w:r>
          </w:p>
        </w:tc>
      </w:tr>
      <w:tr w:rsidR="00522122" w:rsidRPr="0032506F" w14:paraId="2A1E8CCD" w14:textId="77777777" w:rsidTr="00791EF5">
        <w:trPr>
          <w:trHeight w:val="2768"/>
        </w:trPr>
        <w:tc>
          <w:tcPr>
            <w:tcW w:w="1562" w:type="dxa"/>
            <w:tcBorders>
              <w:top w:val="single" w:sz="8" w:space="0" w:color="auto"/>
              <w:bottom w:val="single" w:sz="8" w:space="0" w:color="auto"/>
            </w:tcBorders>
          </w:tcPr>
          <w:p w14:paraId="4AC6C640"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Online Cognitive Engagement</w:t>
            </w:r>
          </w:p>
        </w:tc>
        <w:tc>
          <w:tcPr>
            <w:tcW w:w="3339" w:type="dxa"/>
            <w:tcBorders>
              <w:top w:val="single" w:sz="8" w:space="0" w:color="auto"/>
              <w:bottom w:val="single" w:sz="8" w:space="0" w:color="auto"/>
            </w:tcBorders>
          </w:tcPr>
          <w:p w14:paraId="46B05A4B" w14:textId="77777777" w:rsidR="00522122" w:rsidRPr="0032506F" w:rsidRDefault="00522122" w:rsidP="00522122">
            <w:pPr>
              <w:rPr>
                <w:rFonts w:ascii="Times New Roman" w:eastAsia="Calibri" w:hAnsi="Times New Roman" w:cs="Times New Roman"/>
              </w:rPr>
            </w:pPr>
            <w:r w:rsidRPr="0032506F">
              <w:rPr>
                <w:rFonts w:ascii="Times New Roman" w:eastAsia="Calibri" w:hAnsi="Times New Roman" w:cs="Times New Roman"/>
              </w:rPr>
              <w:t>The extent to which online students of higher education expend and regulate conscious mental effort to use cognitive and metacognitive strategies during online learning</w:t>
            </w:r>
          </w:p>
        </w:tc>
        <w:tc>
          <w:tcPr>
            <w:tcW w:w="4238" w:type="dxa"/>
            <w:tcBorders>
              <w:top w:val="single" w:sz="8" w:space="0" w:color="auto"/>
              <w:bottom w:val="single" w:sz="8" w:space="0" w:color="auto"/>
            </w:tcBorders>
          </w:tcPr>
          <w:p w14:paraId="7684CF4D"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making logical connections</w:t>
            </w:r>
          </w:p>
          <w:p w14:paraId="6011B7EE"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reflecting on ideas</w:t>
            </w:r>
          </w:p>
          <w:p w14:paraId="22CA0226"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 xml:space="preserve">creating examples </w:t>
            </w:r>
          </w:p>
          <w:p w14:paraId="3AC139BB"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 xml:space="preserve">formulating questions </w:t>
            </w:r>
          </w:p>
          <w:p w14:paraId="21D0912E"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making inferences</w:t>
            </w:r>
          </w:p>
          <w:p w14:paraId="595E47CF"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relating prior knowledge to new knowledge</w:t>
            </w:r>
          </w:p>
          <w:p w14:paraId="10F5AF96"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planning</w:t>
            </w:r>
          </w:p>
          <w:p w14:paraId="3C5DC9BC"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monitoring</w:t>
            </w:r>
          </w:p>
          <w:p w14:paraId="75110CA2" w14:textId="77777777" w:rsidR="00522122" w:rsidRPr="0032506F" w:rsidRDefault="00522122" w:rsidP="00522122">
            <w:pPr>
              <w:numPr>
                <w:ilvl w:val="0"/>
                <w:numId w:val="13"/>
              </w:numPr>
              <w:ind w:left="421"/>
              <w:rPr>
                <w:rFonts w:ascii="Times New Roman" w:eastAsia="Calibri" w:hAnsi="Times New Roman" w:cs="Times New Roman"/>
              </w:rPr>
            </w:pPr>
            <w:r w:rsidRPr="0032506F">
              <w:rPr>
                <w:rFonts w:ascii="Times New Roman" w:eastAsia="Calibri" w:hAnsi="Times New Roman" w:cs="Times New Roman"/>
              </w:rPr>
              <w:t>self-evaluating</w:t>
            </w:r>
          </w:p>
        </w:tc>
      </w:tr>
    </w:tbl>
    <w:p w14:paraId="133B2CF9" w14:textId="42C08347" w:rsidR="007A6AB0" w:rsidRPr="0032506F" w:rsidRDefault="007A6AB0" w:rsidP="00464606">
      <w:pPr>
        <w:tabs>
          <w:tab w:val="left" w:pos="720"/>
          <w:tab w:val="left" w:pos="2826"/>
        </w:tabs>
        <w:spacing w:after="0" w:line="480" w:lineRule="auto"/>
        <w:contextualSpacing/>
        <w:rPr>
          <w:rFonts w:ascii="Times New Roman" w:eastAsiaTheme="majorEastAsia" w:hAnsi="Times New Roman" w:cs="Times New Roman"/>
          <w:b/>
          <w:bCs/>
          <w:sz w:val="24"/>
          <w:szCs w:val="24"/>
        </w:rPr>
      </w:pPr>
    </w:p>
    <w:p w14:paraId="06E8C59A" w14:textId="47A56950" w:rsidR="005959CA" w:rsidRPr="0032506F" w:rsidRDefault="005959CA" w:rsidP="008533E0">
      <w:pPr>
        <w:pStyle w:val="Heading2"/>
      </w:pPr>
      <w:bookmarkStart w:id="61" w:name="_Toc102489448"/>
      <w:r w:rsidRPr="0032506F">
        <w:t>Expert Review and Cognitive Pilot Testing</w:t>
      </w:r>
      <w:bookmarkEnd w:id="61"/>
      <w:r w:rsidR="00F423E5" w:rsidRPr="0032506F">
        <w:tab/>
      </w:r>
    </w:p>
    <w:p w14:paraId="2CC2E6D7" w14:textId="45F15A5B" w:rsidR="004938D6" w:rsidRPr="0032506F" w:rsidRDefault="005959CA" w:rsidP="004938D6">
      <w:pPr>
        <w:tabs>
          <w:tab w:val="left" w:pos="720"/>
          <w:tab w:val="left" w:pos="2826"/>
        </w:tabs>
        <w:spacing w:after="20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b/>
        <w:t>A</w:t>
      </w:r>
      <w:r w:rsidR="00522122" w:rsidRPr="0032506F">
        <w:rPr>
          <w:rFonts w:ascii="Times New Roman" w:eastAsia="Calibri" w:hAnsi="Times New Roman" w:cs="Times New Roman"/>
          <w:bCs/>
          <w:color w:val="000000"/>
          <w:sz w:val="24"/>
          <w:szCs w:val="24"/>
        </w:rPr>
        <w:t xml:space="preserve"> shortened version of the initial pool </w:t>
      </w:r>
      <w:r w:rsidRPr="0032506F">
        <w:rPr>
          <w:rFonts w:ascii="Times New Roman" w:eastAsia="Calibri" w:hAnsi="Times New Roman" w:cs="Times New Roman"/>
          <w:bCs/>
          <w:color w:val="000000"/>
          <w:sz w:val="24"/>
          <w:szCs w:val="24"/>
        </w:rPr>
        <w:t xml:space="preserve">was submitted </w:t>
      </w:r>
      <w:r w:rsidR="00522122" w:rsidRPr="0032506F">
        <w:rPr>
          <w:rFonts w:ascii="Times New Roman" w:eastAsia="Calibri" w:hAnsi="Times New Roman" w:cs="Times New Roman"/>
          <w:bCs/>
          <w:color w:val="000000"/>
          <w:sz w:val="24"/>
          <w:szCs w:val="24"/>
        </w:rPr>
        <w:t xml:space="preserve">to </w:t>
      </w:r>
      <w:r w:rsidR="00F423E5" w:rsidRPr="0032506F">
        <w:rPr>
          <w:rFonts w:ascii="Times New Roman" w:eastAsia="Calibri" w:hAnsi="Times New Roman" w:cs="Times New Roman"/>
          <w:bCs/>
          <w:color w:val="000000"/>
          <w:sz w:val="24"/>
          <w:szCs w:val="24"/>
        </w:rPr>
        <w:t>the</w:t>
      </w:r>
      <w:r w:rsidR="002E7E6D" w:rsidRPr="0032506F">
        <w:rPr>
          <w:rFonts w:ascii="Times New Roman" w:eastAsia="Calibri" w:hAnsi="Times New Roman" w:cs="Times New Roman"/>
          <w:bCs/>
          <w:color w:val="000000"/>
          <w:sz w:val="24"/>
          <w:szCs w:val="24"/>
        </w:rPr>
        <w:t xml:space="preserve"> dissertation</w:t>
      </w:r>
      <w:r w:rsidR="00522122" w:rsidRPr="0032506F">
        <w:rPr>
          <w:rFonts w:ascii="Times New Roman" w:eastAsia="Calibri" w:hAnsi="Times New Roman" w:cs="Times New Roman"/>
          <w:bCs/>
          <w:color w:val="000000"/>
          <w:sz w:val="24"/>
          <w:szCs w:val="24"/>
        </w:rPr>
        <w:t xml:space="preserve"> committee members for their reviews of and selections from among </w:t>
      </w:r>
      <w:r w:rsidR="00F423E5" w:rsidRPr="0032506F">
        <w:rPr>
          <w:rFonts w:ascii="Times New Roman" w:eastAsia="Calibri" w:hAnsi="Times New Roman" w:cs="Times New Roman"/>
          <w:bCs/>
          <w:color w:val="000000"/>
          <w:sz w:val="24"/>
          <w:szCs w:val="24"/>
        </w:rPr>
        <w:t>the</w:t>
      </w:r>
      <w:r w:rsidR="00522122" w:rsidRPr="0032506F">
        <w:rPr>
          <w:rFonts w:ascii="Times New Roman" w:eastAsia="Calibri" w:hAnsi="Times New Roman" w:cs="Times New Roman"/>
          <w:bCs/>
          <w:color w:val="000000"/>
          <w:sz w:val="24"/>
          <w:szCs w:val="24"/>
        </w:rPr>
        <w:t xml:space="preserve"> draft items. Based on the feedback</w:t>
      </w:r>
      <w:r w:rsidR="002E7E6D" w:rsidRPr="0032506F">
        <w:rPr>
          <w:rFonts w:ascii="Times New Roman" w:eastAsia="Calibri" w:hAnsi="Times New Roman" w:cs="Times New Roman"/>
          <w:bCs/>
          <w:color w:val="000000"/>
          <w:sz w:val="24"/>
          <w:szCs w:val="24"/>
        </w:rPr>
        <w:t>,</w:t>
      </w:r>
      <w:r w:rsidR="00522122"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lastRenderedPageBreak/>
        <w:t>comments</w:t>
      </w:r>
      <w:r w:rsidR="002E7E6D" w:rsidRPr="0032506F">
        <w:rPr>
          <w:rFonts w:ascii="Times New Roman" w:eastAsia="Calibri" w:hAnsi="Times New Roman" w:cs="Times New Roman"/>
          <w:bCs/>
          <w:color w:val="000000"/>
          <w:sz w:val="24"/>
          <w:szCs w:val="24"/>
        </w:rPr>
        <w:t>,</w:t>
      </w:r>
      <w:r w:rsidR="00522122" w:rsidRPr="0032506F">
        <w:rPr>
          <w:rFonts w:ascii="Times New Roman" w:eastAsia="Calibri" w:hAnsi="Times New Roman" w:cs="Times New Roman"/>
          <w:bCs/>
          <w:color w:val="000000"/>
          <w:sz w:val="24"/>
          <w:szCs w:val="24"/>
        </w:rPr>
        <w:t xml:space="preserve"> and suggestions</w:t>
      </w:r>
      <w:r w:rsidR="0026296C"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several </w:t>
      </w:r>
      <w:r w:rsidR="00522122" w:rsidRPr="0032506F">
        <w:rPr>
          <w:rFonts w:ascii="Times New Roman" w:eastAsia="Calibri" w:hAnsi="Times New Roman" w:cs="Times New Roman"/>
          <w:bCs/>
          <w:color w:val="000000"/>
          <w:sz w:val="24"/>
          <w:szCs w:val="24"/>
        </w:rPr>
        <w:t xml:space="preserve">iterative </w:t>
      </w:r>
      <w:r w:rsidR="0026296C" w:rsidRPr="0032506F">
        <w:rPr>
          <w:rFonts w:ascii="Times New Roman" w:eastAsia="Calibri" w:hAnsi="Times New Roman" w:cs="Times New Roman"/>
          <w:bCs/>
          <w:color w:val="000000"/>
          <w:sz w:val="24"/>
          <w:szCs w:val="24"/>
        </w:rPr>
        <w:t xml:space="preserve">item </w:t>
      </w:r>
      <w:r w:rsidR="00522122" w:rsidRPr="0032506F">
        <w:rPr>
          <w:rFonts w:ascii="Times New Roman" w:eastAsia="Calibri" w:hAnsi="Times New Roman" w:cs="Times New Roman"/>
          <w:bCs/>
          <w:color w:val="000000"/>
          <w:sz w:val="24"/>
          <w:szCs w:val="24"/>
        </w:rPr>
        <w:t>revisions, additions, and deletions</w:t>
      </w:r>
      <w:r w:rsidR="0026296C" w:rsidRPr="0032506F">
        <w:rPr>
          <w:rFonts w:ascii="Times New Roman" w:eastAsia="Calibri" w:hAnsi="Times New Roman" w:cs="Times New Roman"/>
          <w:bCs/>
          <w:color w:val="000000"/>
          <w:sz w:val="24"/>
          <w:szCs w:val="24"/>
        </w:rPr>
        <w:t xml:space="preserve"> were made</w:t>
      </w:r>
      <w:r w:rsidR="00522122" w:rsidRPr="0032506F">
        <w:rPr>
          <w:rFonts w:ascii="Times New Roman" w:eastAsia="Calibri" w:hAnsi="Times New Roman" w:cs="Times New Roman"/>
          <w:bCs/>
          <w:color w:val="000000"/>
          <w:sz w:val="24"/>
          <w:szCs w:val="24"/>
        </w:rPr>
        <w:t>.</w:t>
      </w:r>
      <w:r w:rsidR="0026296C"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Next, a set of candidate items from this reviewed initial pool</w:t>
      </w:r>
      <w:r w:rsidR="00FE2CC0" w:rsidRPr="0032506F">
        <w:rPr>
          <w:rFonts w:ascii="Times New Roman" w:eastAsia="Calibri" w:hAnsi="Times New Roman" w:cs="Times New Roman"/>
          <w:bCs/>
          <w:color w:val="000000"/>
          <w:sz w:val="24"/>
          <w:szCs w:val="24"/>
        </w:rPr>
        <w:t xml:space="preserve"> was selected</w:t>
      </w:r>
      <w:r w:rsidR="00522122" w:rsidRPr="0032506F">
        <w:rPr>
          <w:rFonts w:ascii="Times New Roman" w:eastAsia="Calibri" w:hAnsi="Times New Roman" w:cs="Times New Roman"/>
          <w:bCs/>
          <w:color w:val="000000"/>
          <w:sz w:val="24"/>
          <w:szCs w:val="24"/>
        </w:rPr>
        <w:t xml:space="preserve">, coming up with the first draft of </w:t>
      </w:r>
      <w:r w:rsidR="00FE2CC0" w:rsidRPr="0032506F">
        <w:rPr>
          <w:rFonts w:ascii="Times New Roman" w:eastAsia="Calibri" w:hAnsi="Times New Roman" w:cs="Times New Roman"/>
          <w:bCs/>
          <w:color w:val="000000"/>
          <w:sz w:val="24"/>
          <w:szCs w:val="24"/>
        </w:rPr>
        <w:t xml:space="preserve">the </w:t>
      </w:r>
      <w:r w:rsidR="00522122" w:rsidRPr="0032506F">
        <w:rPr>
          <w:rFonts w:ascii="Times New Roman" w:eastAsia="Calibri" w:hAnsi="Times New Roman" w:cs="Times New Roman"/>
          <w:bCs/>
          <w:color w:val="000000"/>
          <w:sz w:val="24"/>
          <w:szCs w:val="24"/>
        </w:rPr>
        <w:t>OEHE instrument</w:t>
      </w:r>
      <w:r w:rsidR="00FE2CC0" w:rsidRPr="0032506F">
        <w:rPr>
          <w:rFonts w:ascii="Times New Roman" w:eastAsia="Calibri" w:hAnsi="Times New Roman" w:cs="Times New Roman"/>
          <w:bCs/>
          <w:color w:val="000000"/>
          <w:sz w:val="24"/>
          <w:szCs w:val="24"/>
        </w:rPr>
        <w:t xml:space="preserve"> for </w:t>
      </w:r>
      <w:r w:rsidR="00522122" w:rsidRPr="0032506F">
        <w:rPr>
          <w:rFonts w:ascii="Times New Roman" w:eastAsia="Calibri" w:hAnsi="Times New Roman" w:cs="Times New Roman"/>
          <w:bCs/>
          <w:color w:val="000000"/>
          <w:sz w:val="24"/>
          <w:szCs w:val="24"/>
        </w:rPr>
        <w:t>expert revie</w:t>
      </w:r>
      <w:r w:rsidR="00AF4FEE" w:rsidRPr="0032506F">
        <w:rPr>
          <w:rFonts w:ascii="Times New Roman" w:eastAsia="Calibri" w:hAnsi="Times New Roman" w:cs="Times New Roman"/>
          <w:bCs/>
          <w:color w:val="000000"/>
          <w:sz w:val="24"/>
          <w:szCs w:val="24"/>
        </w:rPr>
        <w:t>ws</w:t>
      </w:r>
      <w:r w:rsidR="00522122" w:rsidRPr="0032506F">
        <w:rPr>
          <w:rFonts w:ascii="Times New Roman" w:eastAsia="Calibri" w:hAnsi="Times New Roman" w:cs="Times New Roman"/>
          <w:bCs/>
          <w:color w:val="000000"/>
          <w:sz w:val="24"/>
          <w:szCs w:val="24"/>
        </w:rPr>
        <w:t xml:space="preserve">. </w:t>
      </w:r>
      <w:r w:rsidR="007D273A" w:rsidRPr="0032506F">
        <w:rPr>
          <w:rFonts w:ascii="Times New Roman" w:eastAsia="Calibri" w:hAnsi="Times New Roman" w:cs="Times New Roman"/>
          <w:bCs/>
          <w:color w:val="000000"/>
          <w:sz w:val="24"/>
          <w:szCs w:val="24"/>
        </w:rPr>
        <w:t xml:space="preserve">Invitation emails were sent to more than ten experts in the field of online education, instructional design and technology, and educational psychology. </w:t>
      </w:r>
      <w:r w:rsidR="004938D6" w:rsidRPr="0032506F">
        <w:rPr>
          <w:rFonts w:ascii="Times New Roman" w:eastAsia="Calibri" w:hAnsi="Times New Roman" w:cs="Times New Roman"/>
          <w:bCs/>
          <w:color w:val="000000"/>
          <w:sz w:val="24"/>
          <w:szCs w:val="24"/>
        </w:rPr>
        <w:t xml:space="preserve">Expert reviews provide a good deal of useful information about the face validity, content validity, and language quality of the survey items and questions (DeVellis, 2012; Groves et al., 2009). </w:t>
      </w:r>
      <w:r w:rsidR="00AF4FEE" w:rsidRPr="0032506F">
        <w:rPr>
          <w:rFonts w:ascii="Times New Roman" w:eastAsia="Calibri" w:hAnsi="Times New Roman" w:cs="Times New Roman"/>
          <w:bCs/>
          <w:color w:val="000000"/>
          <w:sz w:val="24"/>
          <w:szCs w:val="24"/>
        </w:rPr>
        <w:t>The expert reviews were conducted in two rounds</w:t>
      </w:r>
      <w:r w:rsidR="007D273A" w:rsidRPr="0032506F">
        <w:rPr>
          <w:rFonts w:ascii="Times New Roman" w:eastAsia="Calibri" w:hAnsi="Times New Roman" w:cs="Times New Roman"/>
          <w:bCs/>
          <w:color w:val="000000"/>
          <w:sz w:val="24"/>
          <w:szCs w:val="24"/>
        </w:rPr>
        <w:t xml:space="preserve"> (</w:t>
      </w:r>
      <w:r w:rsidR="00981F61" w:rsidRPr="0032506F">
        <w:rPr>
          <w:rFonts w:ascii="Times New Roman" w:eastAsia="Calibri" w:hAnsi="Times New Roman" w:cs="Times New Roman"/>
          <w:bCs/>
          <w:color w:val="000000"/>
          <w:sz w:val="24"/>
          <w:szCs w:val="24"/>
        </w:rPr>
        <w:t>6 experts in round 1 and 5 experts in round 2).</w:t>
      </w:r>
      <w:r w:rsidR="004938D6" w:rsidRPr="0032506F">
        <w:rPr>
          <w:rFonts w:ascii="Times New Roman" w:eastAsia="Calibri" w:hAnsi="Times New Roman" w:cs="Times New Roman"/>
          <w:bCs/>
          <w:color w:val="000000"/>
          <w:sz w:val="24"/>
          <w:szCs w:val="24"/>
        </w:rPr>
        <w:t xml:space="preserve"> </w:t>
      </w:r>
      <w:r w:rsidR="00AF4FEE" w:rsidRPr="0032506F">
        <w:rPr>
          <w:rFonts w:ascii="Times New Roman" w:eastAsia="Calibri" w:hAnsi="Times New Roman" w:cs="Times New Roman"/>
          <w:bCs/>
          <w:color w:val="000000"/>
          <w:sz w:val="24"/>
          <w:szCs w:val="24"/>
        </w:rPr>
        <w:t xml:space="preserve">The purpose of the first round was to focus on the qualitative </w:t>
      </w:r>
      <w:r w:rsidR="00AA590B" w:rsidRPr="0032506F">
        <w:rPr>
          <w:rFonts w:ascii="Times New Roman" w:eastAsia="Calibri" w:hAnsi="Times New Roman" w:cs="Times New Roman"/>
          <w:bCs/>
          <w:color w:val="000000"/>
          <w:sz w:val="24"/>
          <w:szCs w:val="24"/>
        </w:rPr>
        <w:t>comments and suggestions of the experts</w:t>
      </w:r>
      <w:r w:rsidR="00B70396" w:rsidRPr="0032506F">
        <w:rPr>
          <w:rFonts w:ascii="Times New Roman" w:eastAsia="Calibri" w:hAnsi="Times New Roman" w:cs="Times New Roman"/>
          <w:bCs/>
          <w:color w:val="000000"/>
          <w:sz w:val="24"/>
          <w:szCs w:val="24"/>
        </w:rPr>
        <w:t xml:space="preserve"> and the primary focus of the second round</w:t>
      </w:r>
      <w:r w:rsidR="00661A9D" w:rsidRPr="0032506F">
        <w:rPr>
          <w:rFonts w:ascii="Times New Roman" w:eastAsia="Calibri" w:hAnsi="Times New Roman" w:cs="Times New Roman"/>
          <w:bCs/>
          <w:color w:val="000000"/>
          <w:sz w:val="24"/>
          <w:szCs w:val="24"/>
        </w:rPr>
        <w:t xml:space="preserve"> was to focus on experts’ item ratings and orderings to land on the best items</w:t>
      </w:r>
      <w:r w:rsidR="001B0937" w:rsidRPr="0032506F">
        <w:rPr>
          <w:rFonts w:ascii="Times New Roman" w:eastAsia="Calibri" w:hAnsi="Times New Roman" w:cs="Times New Roman"/>
          <w:bCs/>
          <w:color w:val="000000"/>
          <w:sz w:val="24"/>
          <w:szCs w:val="24"/>
        </w:rPr>
        <w:t xml:space="preserve">. </w:t>
      </w:r>
      <w:r w:rsidR="004938D6" w:rsidRPr="0032506F">
        <w:rPr>
          <w:rFonts w:ascii="Times New Roman" w:eastAsia="Calibri" w:hAnsi="Times New Roman" w:cs="Times New Roman"/>
          <w:bCs/>
          <w:color w:val="000000"/>
          <w:sz w:val="24"/>
          <w:szCs w:val="24"/>
        </w:rPr>
        <w:t xml:space="preserve">A Likert-type frequency scale of 1=Never to 5=Always was adopted for the OEHE based on the experts’ feedback and suggestions as well. </w:t>
      </w:r>
    </w:p>
    <w:p w14:paraId="5511B822" w14:textId="7E944065" w:rsidR="001743A8" w:rsidRPr="0032506F" w:rsidRDefault="001B0937" w:rsidP="001743A8">
      <w:pPr>
        <w:tabs>
          <w:tab w:val="left" w:pos="720"/>
          <w:tab w:val="left" w:pos="2826"/>
        </w:tabs>
        <w:spacing w:after="20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As a result of the expert review process, </w:t>
      </w:r>
      <w:r w:rsidR="00661A9D" w:rsidRPr="0032506F">
        <w:rPr>
          <w:rFonts w:ascii="Times New Roman" w:eastAsia="Calibri" w:hAnsi="Times New Roman" w:cs="Times New Roman"/>
          <w:bCs/>
          <w:color w:val="000000"/>
          <w:sz w:val="24"/>
          <w:szCs w:val="24"/>
        </w:rPr>
        <w:t>several item revisions</w:t>
      </w:r>
      <w:r w:rsidR="008549EB" w:rsidRPr="0032506F">
        <w:rPr>
          <w:rFonts w:ascii="Times New Roman" w:eastAsia="Calibri" w:hAnsi="Times New Roman" w:cs="Times New Roman"/>
          <w:bCs/>
          <w:color w:val="000000"/>
          <w:sz w:val="24"/>
          <w:szCs w:val="24"/>
        </w:rPr>
        <w:t xml:space="preserve"> and modifications were applied and </w:t>
      </w:r>
      <w:r w:rsidRPr="0032506F">
        <w:rPr>
          <w:rFonts w:ascii="Times New Roman" w:eastAsia="Calibri" w:hAnsi="Times New Roman" w:cs="Times New Roman"/>
          <w:bCs/>
          <w:color w:val="000000"/>
          <w:sz w:val="24"/>
          <w:szCs w:val="24"/>
        </w:rPr>
        <w:t xml:space="preserve">18 OBE, 21 OEE, and 22 OCE items were </w:t>
      </w:r>
      <w:r w:rsidR="008549EB" w:rsidRPr="0032506F">
        <w:rPr>
          <w:rFonts w:ascii="Times New Roman" w:eastAsia="Calibri" w:hAnsi="Times New Roman" w:cs="Times New Roman"/>
          <w:bCs/>
          <w:color w:val="000000"/>
          <w:sz w:val="24"/>
          <w:szCs w:val="24"/>
        </w:rPr>
        <w:t xml:space="preserve">selected as the best items to be </w:t>
      </w:r>
      <w:r w:rsidRPr="0032506F">
        <w:rPr>
          <w:rFonts w:ascii="Times New Roman" w:eastAsia="Calibri" w:hAnsi="Times New Roman" w:cs="Times New Roman"/>
          <w:bCs/>
          <w:color w:val="000000"/>
          <w:sz w:val="24"/>
          <w:szCs w:val="24"/>
        </w:rPr>
        <w:t>submitted as the second survey draft to pilot cognitive testing (</w:t>
      </w:r>
      <w:hyperlink w:anchor="_Appendix_A_Candidate" w:history="1">
        <w:r w:rsidRPr="0032506F">
          <w:rPr>
            <w:rStyle w:val="Hyperlink"/>
            <w:rFonts w:ascii="Times New Roman" w:eastAsia="Calibri" w:hAnsi="Times New Roman" w:cs="Times New Roman"/>
            <w:bCs/>
            <w:sz w:val="24"/>
            <w:szCs w:val="24"/>
          </w:rPr>
          <w:t xml:space="preserve">see Appendix </w:t>
        </w:r>
        <w:r w:rsidR="000D07F7">
          <w:rPr>
            <w:rStyle w:val="Hyperlink"/>
            <w:rFonts w:ascii="Times New Roman" w:eastAsia="Calibri" w:hAnsi="Times New Roman" w:cs="Times New Roman"/>
            <w:bCs/>
            <w:sz w:val="24"/>
            <w:szCs w:val="24"/>
          </w:rPr>
          <w:t>A</w:t>
        </w:r>
      </w:hyperlink>
      <w:r w:rsidRPr="0032506F">
        <w:rPr>
          <w:rFonts w:ascii="Times New Roman" w:eastAsia="Calibri" w:hAnsi="Times New Roman" w:cs="Times New Roman"/>
          <w:bCs/>
          <w:color w:val="000000"/>
          <w:sz w:val="24"/>
          <w:szCs w:val="24"/>
        </w:rPr>
        <w:t>).</w:t>
      </w:r>
      <w:r w:rsidR="001743A8" w:rsidRPr="0032506F">
        <w:rPr>
          <w:rFonts w:ascii="Times New Roman" w:eastAsia="Calibri" w:hAnsi="Times New Roman" w:cs="Times New Roman"/>
          <w:bCs/>
          <w:color w:val="000000"/>
          <w:sz w:val="24"/>
          <w:szCs w:val="24"/>
        </w:rPr>
        <w:t xml:space="preserve"> </w:t>
      </w:r>
    </w:p>
    <w:p w14:paraId="284CD143" w14:textId="4CC2AC2B" w:rsidR="00415C65" w:rsidRPr="0032506F" w:rsidRDefault="001031D4" w:rsidP="00415C65">
      <w:pPr>
        <w:tabs>
          <w:tab w:val="left" w:pos="720"/>
          <w:tab w:val="left" w:pos="2826"/>
        </w:tabs>
        <w:spacing w:after="200" w:line="480" w:lineRule="auto"/>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color w:val="000000"/>
          <w:sz w:val="24"/>
          <w:szCs w:val="24"/>
        </w:rPr>
        <w:tab/>
      </w:r>
      <w:r w:rsidR="00522122" w:rsidRPr="0032506F">
        <w:rPr>
          <w:rFonts w:ascii="Times New Roman" w:eastAsia="Calibri" w:hAnsi="Times New Roman" w:cs="Times New Roman"/>
          <w:color w:val="000000"/>
          <w:sz w:val="24"/>
          <w:szCs w:val="24"/>
        </w:rPr>
        <w:t xml:space="preserve">Cognitive interviewing </w:t>
      </w:r>
      <w:r w:rsidR="004658B0" w:rsidRPr="0032506F">
        <w:rPr>
          <w:rFonts w:ascii="Times New Roman" w:eastAsia="Calibri" w:hAnsi="Times New Roman" w:cs="Times New Roman"/>
          <w:color w:val="000000"/>
          <w:sz w:val="24"/>
          <w:szCs w:val="24"/>
        </w:rPr>
        <w:t xml:space="preserve">as a pilot testing </w:t>
      </w:r>
      <w:r w:rsidR="00345B2C" w:rsidRPr="0032506F">
        <w:rPr>
          <w:rFonts w:ascii="Times New Roman" w:eastAsia="Calibri" w:hAnsi="Times New Roman" w:cs="Times New Roman"/>
          <w:color w:val="000000"/>
          <w:sz w:val="24"/>
          <w:szCs w:val="24"/>
        </w:rPr>
        <w:t xml:space="preserve">of newly developed scales </w:t>
      </w:r>
      <w:r w:rsidR="00522122" w:rsidRPr="0032506F">
        <w:rPr>
          <w:rFonts w:ascii="Times New Roman" w:eastAsia="Calibri" w:hAnsi="Times New Roman" w:cs="Times New Roman"/>
          <w:color w:val="000000"/>
          <w:sz w:val="24"/>
          <w:szCs w:val="24"/>
        </w:rPr>
        <w:t xml:space="preserve">is one of the </w:t>
      </w:r>
      <w:proofErr w:type="gramStart"/>
      <w:r w:rsidR="00522122" w:rsidRPr="0032506F">
        <w:rPr>
          <w:rFonts w:ascii="Times New Roman" w:eastAsia="Calibri" w:hAnsi="Times New Roman" w:cs="Times New Roman"/>
          <w:color w:val="000000"/>
          <w:sz w:val="24"/>
          <w:szCs w:val="24"/>
        </w:rPr>
        <w:t>most commonly utilized</w:t>
      </w:r>
      <w:proofErr w:type="gramEnd"/>
      <w:r w:rsidR="00522122" w:rsidRPr="0032506F">
        <w:rPr>
          <w:rFonts w:ascii="Times New Roman" w:eastAsia="Calibri" w:hAnsi="Times New Roman" w:cs="Times New Roman"/>
          <w:color w:val="000000"/>
          <w:sz w:val="24"/>
          <w:szCs w:val="24"/>
        </w:rPr>
        <w:t xml:space="preserve"> methods to reveal how</w:t>
      </w:r>
      <w:r w:rsidRPr="0032506F">
        <w:rPr>
          <w:rFonts w:ascii="Times New Roman" w:eastAsia="Calibri" w:hAnsi="Times New Roman" w:cs="Times New Roman"/>
          <w:color w:val="000000"/>
          <w:sz w:val="24"/>
          <w:szCs w:val="24"/>
        </w:rPr>
        <w:t xml:space="preserve"> actual</w:t>
      </w:r>
      <w:r w:rsidR="00522122" w:rsidRPr="0032506F">
        <w:rPr>
          <w:rFonts w:ascii="Times New Roman" w:eastAsia="Calibri" w:hAnsi="Times New Roman" w:cs="Times New Roman"/>
          <w:color w:val="000000"/>
          <w:sz w:val="24"/>
          <w:szCs w:val="24"/>
        </w:rPr>
        <w:t xml:space="preserve"> respondents </w:t>
      </w:r>
      <w:r w:rsidRPr="0032506F">
        <w:rPr>
          <w:rFonts w:ascii="Times New Roman" w:eastAsia="Calibri" w:hAnsi="Times New Roman" w:cs="Times New Roman"/>
          <w:color w:val="000000"/>
          <w:sz w:val="24"/>
          <w:szCs w:val="24"/>
        </w:rPr>
        <w:t xml:space="preserve">would </w:t>
      </w:r>
      <w:r w:rsidR="00522122" w:rsidRPr="0032506F">
        <w:rPr>
          <w:rFonts w:ascii="Times New Roman" w:eastAsia="Calibri" w:hAnsi="Times New Roman" w:cs="Times New Roman"/>
          <w:color w:val="000000"/>
          <w:sz w:val="24"/>
          <w:szCs w:val="24"/>
        </w:rPr>
        <w:t xml:space="preserve">understand and interpret the survey items and how they </w:t>
      </w:r>
      <w:r w:rsidRPr="0032506F">
        <w:rPr>
          <w:rFonts w:ascii="Times New Roman" w:eastAsia="Calibri" w:hAnsi="Times New Roman" w:cs="Times New Roman"/>
          <w:color w:val="000000"/>
          <w:sz w:val="24"/>
          <w:szCs w:val="24"/>
        </w:rPr>
        <w:t xml:space="preserve">would </w:t>
      </w:r>
      <w:r w:rsidR="00522122" w:rsidRPr="0032506F">
        <w:rPr>
          <w:rFonts w:ascii="Times New Roman" w:eastAsia="Calibri" w:hAnsi="Times New Roman" w:cs="Times New Roman"/>
          <w:color w:val="000000"/>
          <w:sz w:val="24"/>
          <w:szCs w:val="24"/>
        </w:rPr>
        <w:t xml:space="preserve">decide to choose a particular response (Fowler, 2014; Ryan et al., 2012). </w:t>
      </w:r>
      <w:r w:rsidR="001743A8" w:rsidRPr="0032506F">
        <w:rPr>
          <w:rFonts w:ascii="Times New Roman" w:eastAsia="Calibri" w:hAnsi="Times New Roman" w:cs="Times New Roman"/>
          <w:color w:val="000000"/>
          <w:sz w:val="24"/>
          <w:szCs w:val="24"/>
        </w:rPr>
        <w:t xml:space="preserve">Cognitive interviews are usually done with a very small number of participants, and there is no agreed sample size (Fowler, 2014). After getting the IRB approval of </w:t>
      </w:r>
      <w:r w:rsidR="005F1198" w:rsidRPr="0032506F">
        <w:rPr>
          <w:rFonts w:ascii="Times New Roman" w:eastAsia="Calibri" w:hAnsi="Times New Roman" w:cs="Times New Roman"/>
          <w:color w:val="000000"/>
          <w:sz w:val="24"/>
          <w:szCs w:val="24"/>
        </w:rPr>
        <w:t>the</w:t>
      </w:r>
      <w:r w:rsidR="001743A8" w:rsidRPr="0032506F">
        <w:rPr>
          <w:rFonts w:ascii="Times New Roman" w:eastAsia="Calibri" w:hAnsi="Times New Roman" w:cs="Times New Roman"/>
          <w:color w:val="000000"/>
          <w:sz w:val="24"/>
          <w:szCs w:val="24"/>
        </w:rPr>
        <w:t xml:space="preserve"> study (see </w:t>
      </w:r>
      <w:hyperlink w:anchor="_Appendix_B_Initial" w:history="1">
        <w:r w:rsidR="001743A8" w:rsidRPr="0032506F">
          <w:rPr>
            <w:rStyle w:val="Hyperlink"/>
            <w:rFonts w:ascii="Times New Roman" w:eastAsia="Calibri" w:hAnsi="Times New Roman" w:cs="Times New Roman"/>
            <w:sz w:val="24"/>
            <w:szCs w:val="24"/>
          </w:rPr>
          <w:t xml:space="preserve">Appendix </w:t>
        </w:r>
        <w:r w:rsidR="000D07F7">
          <w:rPr>
            <w:rStyle w:val="Hyperlink"/>
            <w:rFonts w:ascii="Times New Roman" w:eastAsia="Calibri" w:hAnsi="Times New Roman" w:cs="Times New Roman"/>
            <w:sz w:val="24"/>
            <w:szCs w:val="24"/>
          </w:rPr>
          <w:t>B</w:t>
        </w:r>
      </w:hyperlink>
      <w:r w:rsidR="001743A8" w:rsidRPr="0032506F">
        <w:rPr>
          <w:rFonts w:ascii="Times New Roman" w:eastAsia="Calibri" w:hAnsi="Times New Roman" w:cs="Times New Roman"/>
          <w:color w:val="000000"/>
          <w:sz w:val="24"/>
          <w:szCs w:val="24"/>
        </w:rPr>
        <w:t xml:space="preserve">), four cognitive interviews </w:t>
      </w:r>
      <w:r w:rsidR="005F1198" w:rsidRPr="0032506F">
        <w:rPr>
          <w:rFonts w:ascii="Times New Roman" w:eastAsia="Calibri" w:hAnsi="Times New Roman" w:cs="Times New Roman"/>
          <w:color w:val="000000"/>
          <w:sz w:val="24"/>
          <w:szCs w:val="24"/>
        </w:rPr>
        <w:t xml:space="preserve">were conducted </w:t>
      </w:r>
      <w:r w:rsidR="001743A8" w:rsidRPr="0032506F">
        <w:rPr>
          <w:rFonts w:ascii="Times New Roman" w:eastAsia="Calibri" w:hAnsi="Times New Roman" w:cs="Times New Roman"/>
          <w:color w:val="000000"/>
          <w:sz w:val="24"/>
          <w:szCs w:val="24"/>
        </w:rPr>
        <w:t>with four potential respondents</w:t>
      </w:r>
      <w:r w:rsidR="00522122" w:rsidRPr="0032506F">
        <w:rPr>
          <w:rFonts w:ascii="Times New Roman" w:eastAsia="Calibri" w:hAnsi="Times New Roman" w:cs="Times New Roman"/>
          <w:color w:val="000000"/>
          <w:sz w:val="24"/>
          <w:szCs w:val="24"/>
        </w:rPr>
        <w:t>: two undergraduate-level students and two graduate-level students who had taken and/or were taking at least one online course as part of their higher education degree or program at the time of the interview</w:t>
      </w:r>
      <w:r w:rsidRPr="0032506F">
        <w:rPr>
          <w:rFonts w:ascii="Times New Roman" w:eastAsia="Calibri" w:hAnsi="Times New Roman" w:cs="Times New Roman"/>
          <w:color w:val="000000"/>
          <w:sz w:val="24"/>
          <w:szCs w:val="24"/>
        </w:rPr>
        <w:t>.</w:t>
      </w:r>
      <w:r w:rsidR="005A75F8"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color w:val="000000"/>
          <w:sz w:val="24"/>
          <w:szCs w:val="24"/>
        </w:rPr>
        <w:t xml:space="preserve">During the cognitive interviews video-recorded after getting the signed consents </w:t>
      </w:r>
      <w:r w:rsidR="00522122" w:rsidRPr="0032506F">
        <w:rPr>
          <w:rFonts w:ascii="Times New Roman" w:eastAsia="Calibri" w:hAnsi="Times New Roman" w:cs="Times New Roman"/>
          <w:color w:val="000000"/>
          <w:sz w:val="24"/>
          <w:szCs w:val="24"/>
        </w:rPr>
        <w:lastRenderedPageBreak/>
        <w:t>approved by the IRB, the Qualtrics online survey form</w:t>
      </w:r>
      <w:r w:rsidR="005A75F8" w:rsidRPr="0032506F">
        <w:rPr>
          <w:rFonts w:ascii="Times New Roman" w:eastAsia="Calibri" w:hAnsi="Times New Roman" w:cs="Times New Roman"/>
          <w:color w:val="000000"/>
          <w:sz w:val="24"/>
          <w:szCs w:val="24"/>
        </w:rPr>
        <w:t xml:space="preserve"> was shared with </w:t>
      </w:r>
      <w:r w:rsidR="00522122" w:rsidRPr="0032506F">
        <w:rPr>
          <w:rFonts w:ascii="Times New Roman" w:eastAsia="Calibri" w:hAnsi="Times New Roman" w:cs="Times New Roman"/>
          <w:color w:val="000000"/>
          <w:sz w:val="24"/>
          <w:szCs w:val="24"/>
        </w:rPr>
        <w:t xml:space="preserve">the interviewees (see </w:t>
      </w:r>
      <w:hyperlink w:anchor="_Appendix_C_Qualtrics" w:history="1">
        <w:r w:rsidR="00522122" w:rsidRPr="0032506F">
          <w:rPr>
            <w:rStyle w:val="Hyperlink"/>
            <w:rFonts w:ascii="Times New Roman" w:eastAsia="Calibri" w:hAnsi="Times New Roman" w:cs="Times New Roman"/>
            <w:sz w:val="24"/>
            <w:szCs w:val="24"/>
          </w:rPr>
          <w:t xml:space="preserve">Appendix </w:t>
        </w:r>
        <w:r w:rsidR="000D07F7">
          <w:rPr>
            <w:rStyle w:val="Hyperlink"/>
            <w:rFonts w:ascii="Times New Roman" w:eastAsia="Calibri" w:hAnsi="Times New Roman" w:cs="Times New Roman"/>
            <w:sz w:val="24"/>
            <w:szCs w:val="24"/>
          </w:rPr>
          <w:t>C</w:t>
        </w:r>
      </w:hyperlink>
      <w:r w:rsidR="00522122" w:rsidRPr="0032506F">
        <w:rPr>
          <w:rFonts w:ascii="Times New Roman" w:eastAsia="Calibri" w:hAnsi="Times New Roman" w:cs="Times New Roman"/>
          <w:color w:val="000000"/>
          <w:sz w:val="24"/>
          <w:szCs w:val="24"/>
        </w:rPr>
        <w:t xml:space="preserve">) and they synchronously went through the online survey instructions and items while </w:t>
      </w:r>
      <w:r w:rsidR="005A75F8" w:rsidRPr="0032506F">
        <w:rPr>
          <w:rFonts w:ascii="Times New Roman" w:eastAsia="Calibri" w:hAnsi="Times New Roman" w:cs="Times New Roman"/>
          <w:color w:val="000000"/>
          <w:sz w:val="24"/>
          <w:szCs w:val="24"/>
        </w:rPr>
        <w:t xml:space="preserve">they were asked to respond to </w:t>
      </w:r>
      <w:r w:rsidR="00522122" w:rsidRPr="0032506F">
        <w:rPr>
          <w:rFonts w:ascii="Times New Roman" w:eastAsia="Calibri" w:hAnsi="Times New Roman" w:cs="Times New Roman"/>
          <w:color w:val="000000"/>
          <w:sz w:val="24"/>
          <w:szCs w:val="24"/>
        </w:rPr>
        <w:t>five standardized questions</w:t>
      </w:r>
      <w:r w:rsidR="005A75F8" w:rsidRPr="0032506F">
        <w:rPr>
          <w:rFonts w:ascii="Times New Roman" w:eastAsia="Calibri" w:hAnsi="Times New Roman" w:cs="Times New Roman"/>
          <w:color w:val="000000"/>
          <w:sz w:val="24"/>
          <w:szCs w:val="24"/>
        </w:rPr>
        <w:t xml:space="preserve"> </w:t>
      </w:r>
      <w:r w:rsidR="00522122" w:rsidRPr="0032506F">
        <w:rPr>
          <w:rFonts w:ascii="Times New Roman" w:eastAsia="Calibri" w:hAnsi="Times New Roman" w:cs="Times New Roman"/>
          <w:color w:val="000000"/>
          <w:sz w:val="24"/>
          <w:szCs w:val="24"/>
        </w:rPr>
        <w:t>adapted from Holmes (2018) about</w:t>
      </w:r>
      <w:r w:rsidR="005A75F8" w:rsidRPr="0032506F">
        <w:rPr>
          <w:rFonts w:ascii="Times New Roman" w:eastAsia="Calibri" w:hAnsi="Times New Roman" w:cs="Times New Roman"/>
          <w:color w:val="000000"/>
          <w:sz w:val="24"/>
          <w:szCs w:val="24"/>
        </w:rPr>
        <w:t xml:space="preserve"> the OEHE </w:t>
      </w:r>
      <w:r w:rsidR="00522122" w:rsidRPr="0032506F">
        <w:rPr>
          <w:rFonts w:ascii="Times New Roman" w:eastAsia="Calibri" w:hAnsi="Times New Roman" w:cs="Times New Roman"/>
          <w:color w:val="000000"/>
          <w:sz w:val="24"/>
          <w:szCs w:val="24"/>
        </w:rPr>
        <w:t xml:space="preserve">survey instructions, candidate items, and their response choices (see </w:t>
      </w:r>
      <w:hyperlink w:anchor="Table35" w:history="1">
        <w:r w:rsidR="00522122" w:rsidRPr="0032506F">
          <w:rPr>
            <w:rFonts w:ascii="Times New Roman" w:eastAsia="Calibri" w:hAnsi="Times New Roman" w:cs="Times New Roman"/>
            <w:color w:val="0563C1" w:themeColor="hyperlink"/>
            <w:sz w:val="24"/>
            <w:szCs w:val="24"/>
            <w:u w:val="single"/>
          </w:rPr>
          <w:t>Table 3.5</w:t>
        </w:r>
      </w:hyperlink>
      <w:r w:rsidR="00522122" w:rsidRPr="0032506F">
        <w:rPr>
          <w:rFonts w:ascii="Times New Roman" w:eastAsia="Calibri" w:hAnsi="Times New Roman" w:cs="Times New Roman"/>
          <w:color w:val="000000"/>
          <w:sz w:val="24"/>
          <w:szCs w:val="24"/>
        </w:rPr>
        <w:t xml:space="preserve"> for cognitive interview questions). </w:t>
      </w:r>
      <w:r w:rsidR="00835653" w:rsidRPr="0032506F">
        <w:rPr>
          <w:rFonts w:ascii="Times New Roman" w:eastAsia="Calibri" w:hAnsi="Times New Roman" w:cs="Times New Roman"/>
          <w:color w:val="000000"/>
          <w:sz w:val="24"/>
          <w:szCs w:val="24"/>
        </w:rPr>
        <w:t xml:space="preserve">The </w:t>
      </w:r>
      <w:r w:rsidR="00522122" w:rsidRPr="0032506F">
        <w:rPr>
          <w:rFonts w:ascii="Times New Roman" w:eastAsia="Calibri" w:hAnsi="Times New Roman" w:cs="Times New Roman"/>
          <w:color w:val="000000"/>
          <w:sz w:val="24"/>
          <w:szCs w:val="24"/>
        </w:rPr>
        <w:t>cognitive interview data</w:t>
      </w:r>
      <w:r w:rsidR="00835653" w:rsidRPr="0032506F">
        <w:rPr>
          <w:rFonts w:ascii="Times New Roman" w:eastAsia="Calibri" w:hAnsi="Times New Roman" w:cs="Times New Roman"/>
          <w:color w:val="000000"/>
          <w:sz w:val="24"/>
          <w:szCs w:val="24"/>
        </w:rPr>
        <w:t xml:space="preserve"> were open-coded</w:t>
      </w:r>
      <w:r w:rsidR="00522122" w:rsidRPr="0032506F">
        <w:rPr>
          <w:rFonts w:ascii="Times New Roman" w:eastAsia="Calibri" w:hAnsi="Times New Roman" w:cs="Times New Roman"/>
          <w:color w:val="000000"/>
          <w:sz w:val="24"/>
          <w:szCs w:val="24"/>
        </w:rPr>
        <w:t xml:space="preserve">, based on a </w:t>
      </w:r>
      <w:r w:rsidR="00522122" w:rsidRPr="0032506F">
        <w:rPr>
          <w:rFonts w:ascii="Times New Roman" w:eastAsia="Calibri" w:hAnsi="Times New Roman" w:cs="Times New Roman"/>
          <w:i/>
          <w:iCs/>
          <w:color w:val="000000"/>
          <w:sz w:val="24"/>
          <w:szCs w:val="24"/>
        </w:rPr>
        <w:t>Success</w:t>
      </w:r>
      <w:r w:rsidR="00522122" w:rsidRPr="0032506F">
        <w:rPr>
          <w:rFonts w:ascii="Times New Roman" w:eastAsia="Calibri" w:hAnsi="Times New Roman" w:cs="Times New Roman"/>
          <w:color w:val="000000"/>
          <w:sz w:val="24"/>
          <w:szCs w:val="24"/>
        </w:rPr>
        <w:t xml:space="preserve"> and </w:t>
      </w:r>
      <w:r w:rsidR="00522122" w:rsidRPr="0032506F">
        <w:rPr>
          <w:rFonts w:ascii="Times New Roman" w:eastAsia="Calibri" w:hAnsi="Times New Roman" w:cs="Times New Roman"/>
          <w:i/>
          <w:iCs/>
          <w:color w:val="000000"/>
          <w:sz w:val="24"/>
          <w:szCs w:val="24"/>
        </w:rPr>
        <w:t>Revision Needed</w:t>
      </w:r>
      <w:r w:rsidR="00522122" w:rsidRPr="0032506F">
        <w:rPr>
          <w:rFonts w:ascii="Times New Roman" w:eastAsia="Calibri" w:hAnsi="Times New Roman" w:cs="Times New Roman"/>
          <w:color w:val="000000"/>
          <w:sz w:val="24"/>
          <w:szCs w:val="24"/>
        </w:rPr>
        <w:t xml:space="preserve"> coding scheme. </w:t>
      </w:r>
      <w:hyperlink w:anchor="Table35" w:history="1">
        <w:r w:rsidR="00522122" w:rsidRPr="0032506F">
          <w:rPr>
            <w:rFonts w:ascii="Times New Roman" w:eastAsia="Calibri" w:hAnsi="Times New Roman" w:cs="Times New Roman"/>
            <w:color w:val="0563C1" w:themeColor="hyperlink"/>
            <w:sz w:val="24"/>
            <w:szCs w:val="24"/>
            <w:u w:val="single"/>
          </w:rPr>
          <w:t>Table 3.5</w:t>
        </w:r>
      </w:hyperlink>
      <w:r w:rsidR="00522122" w:rsidRPr="0032506F">
        <w:rPr>
          <w:rFonts w:ascii="Times New Roman" w:eastAsia="Calibri" w:hAnsi="Times New Roman" w:cs="Times New Roman"/>
          <w:color w:val="000000"/>
          <w:sz w:val="24"/>
          <w:szCs w:val="24"/>
        </w:rPr>
        <w:t xml:space="preserve"> presents the coding scheme adapted from Holmes (2018)</w:t>
      </w:r>
      <w:r w:rsidR="00835653" w:rsidRPr="0032506F">
        <w:rPr>
          <w:rFonts w:ascii="Times New Roman" w:eastAsia="Calibri" w:hAnsi="Times New Roman" w:cs="Times New Roman"/>
          <w:color w:val="000000"/>
          <w:sz w:val="24"/>
          <w:szCs w:val="24"/>
        </w:rPr>
        <w:t>.</w:t>
      </w:r>
      <w:r w:rsidR="00835653" w:rsidRPr="0032506F">
        <w:rPr>
          <w:rFonts w:ascii="Times New Roman" w:eastAsia="Calibri" w:hAnsi="Times New Roman" w:cs="Times New Roman"/>
          <w:bCs/>
          <w:color w:val="000000"/>
          <w:sz w:val="24"/>
          <w:szCs w:val="24"/>
        </w:rPr>
        <w:t xml:space="preserve"> </w:t>
      </w:r>
      <w:proofErr w:type="gramStart"/>
      <w:r w:rsidR="00522122" w:rsidRPr="0032506F">
        <w:rPr>
          <w:rFonts w:ascii="Times New Roman" w:eastAsia="Calibri" w:hAnsi="Times New Roman" w:cs="Times New Roman"/>
          <w:bCs/>
          <w:color w:val="000000"/>
          <w:sz w:val="24"/>
          <w:szCs w:val="24"/>
        </w:rPr>
        <w:t>In light of</w:t>
      </w:r>
      <w:proofErr w:type="gramEnd"/>
      <w:r w:rsidR="00522122" w:rsidRPr="0032506F">
        <w:rPr>
          <w:rFonts w:ascii="Times New Roman" w:eastAsia="Calibri" w:hAnsi="Times New Roman" w:cs="Times New Roman"/>
          <w:bCs/>
          <w:color w:val="000000"/>
          <w:sz w:val="24"/>
          <w:szCs w:val="24"/>
        </w:rPr>
        <w:t xml:space="preserve"> the cognitive interview data, </w:t>
      </w:r>
      <w:r w:rsidR="0081291E" w:rsidRPr="0032506F">
        <w:rPr>
          <w:rFonts w:ascii="Times New Roman" w:eastAsia="Calibri" w:hAnsi="Times New Roman" w:cs="Times New Roman"/>
          <w:bCs/>
          <w:color w:val="000000"/>
          <w:sz w:val="24"/>
          <w:szCs w:val="24"/>
        </w:rPr>
        <w:t xml:space="preserve">some </w:t>
      </w:r>
      <w:r w:rsidR="00522122" w:rsidRPr="0032506F">
        <w:rPr>
          <w:rFonts w:ascii="Times New Roman" w:eastAsia="Calibri" w:hAnsi="Times New Roman" w:cs="Times New Roman"/>
          <w:bCs/>
          <w:color w:val="000000"/>
          <w:sz w:val="24"/>
          <w:szCs w:val="24"/>
        </w:rPr>
        <w:t>issues</w:t>
      </w:r>
      <w:r w:rsidR="0081291E" w:rsidRPr="0032506F">
        <w:rPr>
          <w:rFonts w:ascii="Times New Roman" w:eastAsia="Calibri" w:hAnsi="Times New Roman" w:cs="Times New Roman"/>
          <w:bCs/>
          <w:color w:val="000000"/>
          <w:sz w:val="24"/>
          <w:szCs w:val="24"/>
        </w:rPr>
        <w:t xml:space="preserve"> were </w:t>
      </w:r>
      <w:r w:rsidR="001334C8" w:rsidRPr="0032506F">
        <w:rPr>
          <w:rFonts w:ascii="Times New Roman" w:eastAsia="Calibri" w:hAnsi="Times New Roman" w:cs="Times New Roman"/>
          <w:bCs/>
          <w:color w:val="000000"/>
          <w:sz w:val="24"/>
          <w:szCs w:val="24"/>
        </w:rPr>
        <w:t>identified,</w:t>
      </w:r>
      <w:r w:rsidR="00522122" w:rsidRPr="0032506F">
        <w:rPr>
          <w:rFonts w:ascii="Times New Roman" w:eastAsia="Calibri" w:hAnsi="Times New Roman" w:cs="Times New Roman"/>
          <w:bCs/>
          <w:color w:val="000000"/>
          <w:sz w:val="24"/>
          <w:szCs w:val="24"/>
        </w:rPr>
        <w:t xml:space="preserve"> </w:t>
      </w:r>
      <w:r w:rsidR="0081291E" w:rsidRPr="0032506F">
        <w:rPr>
          <w:rFonts w:ascii="Times New Roman" w:eastAsia="Calibri" w:hAnsi="Times New Roman" w:cs="Times New Roman"/>
          <w:bCs/>
          <w:color w:val="000000"/>
          <w:sz w:val="24"/>
          <w:szCs w:val="24"/>
        </w:rPr>
        <w:t xml:space="preserve">and certain decisions were made about </w:t>
      </w:r>
      <w:r w:rsidR="00522122" w:rsidRPr="0032506F">
        <w:rPr>
          <w:rFonts w:ascii="Times New Roman" w:eastAsia="Calibri" w:hAnsi="Times New Roman" w:cs="Times New Roman"/>
          <w:bCs/>
          <w:color w:val="000000"/>
          <w:sz w:val="24"/>
          <w:szCs w:val="24"/>
        </w:rPr>
        <w:t>the issues. Accordingly, multiple iterative minor and major revisions</w:t>
      </w:r>
      <w:r w:rsidR="0081291E" w:rsidRPr="0032506F">
        <w:rPr>
          <w:rFonts w:ascii="Times New Roman" w:eastAsia="Calibri" w:hAnsi="Times New Roman" w:cs="Times New Roman"/>
          <w:bCs/>
          <w:color w:val="000000"/>
          <w:sz w:val="24"/>
          <w:szCs w:val="24"/>
        </w:rPr>
        <w:t xml:space="preserve"> were applied</w:t>
      </w:r>
      <w:r w:rsidR="00522122" w:rsidRPr="0032506F">
        <w:rPr>
          <w:rFonts w:ascii="Times New Roman" w:eastAsia="Calibri" w:hAnsi="Times New Roman" w:cs="Times New Roman"/>
          <w:bCs/>
          <w:color w:val="000000"/>
          <w:sz w:val="24"/>
          <w:szCs w:val="24"/>
        </w:rPr>
        <w:t xml:space="preserve"> to some of</w:t>
      </w:r>
      <w:r w:rsidR="0081291E" w:rsidRPr="0032506F">
        <w:rPr>
          <w:rFonts w:ascii="Times New Roman" w:eastAsia="Calibri" w:hAnsi="Times New Roman" w:cs="Times New Roman"/>
          <w:bCs/>
          <w:color w:val="000000"/>
          <w:sz w:val="24"/>
          <w:szCs w:val="24"/>
        </w:rPr>
        <w:t xml:space="preserve"> the OEHE </w:t>
      </w:r>
      <w:r w:rsidR="001334C8" w:rsidRPr="0032506F">
        <w:rPr>
          <w:rFonts w:ascii="Times New Roman" w:eastAsia="Calibri" w:hAnsi="Times New Roman" w:cs="Times New Roman"/>
          <w:bCs/>
          <w:color w:val="000000"/>
          <w:sz w:val="24"/>
          <w:szCs w:val="24"/>
        </w:rPr>
        <w:t>items,</w:t>
      </w:r>
      <w:r w:rsidR="00522122" w:rsidRPr="0032506F">
        <w:rPr>
          <w:rFonts w:ascii="Times New Roman" w:eastAsia="Calibri" w:hAnsi="Times New Roman" w:cs="Times New Roman"/>
          <w:bCs/>
          <w:color w:val="000000"/>
          <w:sz w:val="24"/>
          <w:szCs w:val="24"/>
        </w:rPr>
        <w:t xml:space="preserve"> and </w:t>
      </w:r>
      <w:r w:rsidR="0081291E" w:rsidRPr="0032506F">
        <w:rPr>
          <w:rFonts w:ascii="Times New Roman" w:eastAsia="Calibri" w:hAnsi="Times New Roman" w:cs="Times New Roman"/>
          <w:bCs/>
          <w:color w:val="000000"/>
          <w:sz w:val="24"/>
          <w:szCs w:val="24"/>
        </w:rPr>
        <w:t xml:space="preserve">some </w:t>
      </w:r>
      <w:r w:rsidR="00522122" w:rsidRPr="0032506F">
        <w:rPr>
          <w:rFonts w:ascii="Times New Roman" w:eastAsia="Calibri" w:hAnsi="Times New Roman" w:cs="Times New Roman"/>
          <w:bCs/>
          <w:color w:val="000000"/>
          <w:sz w:val="24"/>
          <w:szCs w:val="24"/>
        </w:rPr>
        <w:t>new items</w:t>
      </w:r>
      <w:r w:rsidR="0081291E" w:rsidRPr="0032506F">
        <w:rPr>
          <w:rFonts w:ascii="Times New Roman" w:eastAsia="Calibri" w:hAnsi="Times New Roman" w:cs="Times New Roman"/>
          <w:bCs/>
          <w:color w:val="000000"/>
          <w:sz w:val="24"/>
          <w:szCs w:val="24"/>
        </w:rPr>
        <w:t xml:space="preserve"> were also added</w:t>
      </w:r>
      <w:r w:rsidR="00522122" w:rsidRPr="0032506F">
        <w:rPr>
          <w:rFonts w:ascii="Times New Roman" w:eastAsia="Calibri" w:hAnsi="Times New Roman" w:cs="Times New Roman"/>
          <w:bCs/>
          <w:color w:val="000000"/>
          <w:sz w:val="24"/>
          <w:szCs w:val="24"/>
        </w:rPr>
        <w:t xml:space="preserve"> when deemed necessary to thoroughly respond to the issues</w:t>
      </w:r>
      <w:r w:rsidR="0081291E"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 xml:space="preserve">(see </w:t>
      </w:r>
      <w:hyperlink w:anchor="_Appendix_D_A" w:history="1">
        <w:r w:rsidR="00522122" w:rsidRPr="0032506F">
          <w:rPr>
            <w:rStyle w:val="Hyperlink"/>
            <w:rFonts w:ascii="Times New Roman" w:eastAsia="Calibri" w:hAnsi="Times New Roman" w:cs="Times New Roman"/>
            <w:bCs/>
            <w:sz w:val="24"/>
            <w:szCs w:val="24"/>
          </w:rPr>
          <w:t xml:space="preserve">Appendix </w:t>
        </w:r>
        <w:r w:rsidR="000D07F7">
          <w:rPr>
            <w:rStyle w:val="Hyperlink"/>
            <w:rFonts w:ascii="Times New Roman" w:eastAsia="Calibri" w:hAnsi="Times New Roman" w:cs="Times New Roman"/>
            <w:bCs/>
            <w:sz w:val="24"/>
            <w:szCs w:val="24"/>
          </w:rPr>
          <w:t>D</w:t>
        </w:r>
      </w:hyperlink>
      <w:r w:rsidR="00522122" w:rsidRPr="0032506F">
        <w:rPr>
          <w:rFonts w:ascii="Times New Roman" w:eastAsia="Calibri" w:hAnsi="Times New Roman" w:cs="Times New Roman"/>
          <w:bCs/>
          <w:color w:val="000000"/>
          <w:sz w:val="24"/>
          <w:szCs w:val="24"/>
        </w:rPr>
        <w:t xml:space="preserve"> for a summary of item issues and</w:t>
      </w:r>
      <w:r w:rsidR="0081291E" w:rsidRPr="0032506F">
        <w:rPr>
          <w:rFonts w:ascii="Times New Roman" w:eastAsia="Calibri" w:hAnsi="Times New Roman" w:cs="Times New Roman"/>
          <w:bCs/>
          <w:color w:val="000000"/>
          <w:sz w:val="24"/>
          <w:szCs w:val="24"/>
        </w:rPr>
        <w:t xml:space="preserve"> </w:t>
      </w:r>
      <w:r w:rsidR="00522122" w:rsidRPr="0032506F">
        <w:rPr>
          <w:rFonts w:ascii="Times New Roman" w:eastAsia="Calibri" w:hAnsi="Times New Roman" w:cs="Times New Roman"/>
          <w:bCs/>
          <w:color w:val="000000"/>
          <w:sz w:val="24"/>
          <w:szCs w:val="24"/>
        </w:rPr>
        <w:t>responses).</w:t>
      </w:r>
      <w:r w:rsidR="00415C65" w:rsidRPr="0032506F">
        <w:rPr>
          <w:rFonts w:ascii="Times New Roman" w:eastAsia="Calibri" w:hAnsi="Times New Roman" w:cs="Times New Roman"/>
          <w:bCs/>
          <w:color w:val="000000"/>
          <w:sz w:val="24"/>
          <w:szCs w:val="24"/>
        </w:rPr>
        <w:t xml:space="preserve"> </w:t>
      </w:r>
      <w:hyperlink w:anchor="_Appendix_E_Final" w:history="1">
        <w:r w:rsidR="008533E0" w:rsidRPr="0032506F">
          <w:rPr>
            <w:rStyle w:val="Hyperlink"/>
            <w:rFonts w:ascii="Times New Roman" w:eastAsia="Calibri" w:hAnsi="Times New Roman" w:cs="Times New Roman"/>
            <w:bCs/>
            <w:sz w:val="24"/>
            <w:szCs w:val="24"/>
          </w:rPr>
          <w:t xml:space="preserve">Appendix </w:t>
        </w:r>
        <w:r w:rsidR="000D07F7">
          <w:rPr>
            <w:rStyle w:val="Hyperlink"/>
            <w:rFonts w:ascii="Times New Roman" w:eastAsia="Calibri" w:hAnsi="Times New Roman" w:cs="Times New Roman"/>
            <w:bCs/>
            <w:sz w:val="24"/>
            <w:szCs w:val="24"/>
          </w:rPr>
          <w:t>E</w:t>
        </w:r>
      </w:hyperlink>
      <w:r w:rsidR="00415C65" w:rsidRPr="0032506F">
        <w:rPr>
          <w:rFonts w:ascii="Times New Roman" w:eastAsia="Calibri" w:hAnsi="Times New Roman" w:cs="Times New Roman"/>
          <w:bCs/>
          <w:color w:val="000000"/>
          <w:sz w:val="24"/>
          <w:szCs w:val="24"/>
        </w:rPr>
        <w:t xml:space="preserve"> presents the final list of items used for the large-group data collection. </w:t>
      </w:r>
    </w:p>
    <w:p w14:paraId="1D8EB02A" w14:textId="77777777" w:rsidR="00522122" w:rsidRPr="0032506F" w:rsidRDefault="00522122" w:rsidP="00522122">
      <w:pPr>
        <w:tabs>
          <w:tab w:val="left" w:pos="720"/>
          <w:tab w:val="left" w:pos="1152"/>
          <w:tab w:val="left" w:pos="1440"/>
          <w:tab w:val="left" w:pos="2826"/>
        </w:tabs>
        <w:spacing w:after="200" w:line="480" w:lineRule="auto"/>
        <w:contextualSpacing/>
        <w:rPr>
          <w:rFonts w:ascii="Times New Roman" w:eastAsia="Calibri" w:hAnsi="Times New Roman" w:cs="Times New Roman"/>
          <w:color w:val="000000"/>
          <w:sz w:val="24"/>
          <w:szCs w:val="24"/>
        </w:rPr>
      </w:pPr>
      <w:bookmarkStart w:id="62" w:name="Table35"/>
      <w:r w:rsidRPr="0032506F">
        <w:rPr>
          <w:rFonts w:ascii="Times New Roman" w:eastAsia="Calibri" w:hAnsi="Times New Roman" w:cs="Times New Roman"/>
          <w:b/>
          <w:color w:val="000000"/>
          <w:sz w:val="24"/>
          <w:szCs w:val="24"/>
        </w:rPr>
        <w:t>Table 3.5</w:t>
      </w:r>
    </w:p>
    <w:bookmarkEnd w:id="62"/>
    <w:p w14:paraId="0608F375" w14:textId="77777777" w:rsidR="00522122" w:rsidRPr="0032506F" w:rsidRDefault="00522122" w:rsidP="00522122">
      <w:pPr>
        <w:spacing w:after="0" w:line="480" w:lineRule="auto"/>
        <w:rPr>
          <w:rFonts w:ascii="Times New Roman" w:eastAsia="Calibri" w:hAnsi="Times New Roman" w:cs="Times New Roman"/>
          <w:bCs/>
          <w:i/>
          <w:iCs/>
          <w:color w:val="000000"/>
          <w:sz w:val="24"/>
          <w:szCs w:val="24"/>
        </w:rPr>
      </w:pPr>
      <w:r w:rsidRPr="0032506F">
        <w:rPr>
          <w:rFonts w:ascii="Times New Roman" w:eastAsia="Calibri" w:hAnsi="Times New Roman" w:cs="Times New Roman"/>
          <w:bCs/>
          <w:i/>
          <w:iCs/>
          <w:color w:val="000000"/>
          <w:sz w:val="24"/>
          <w:szCs w:val="24"/>
        </w:rPr>
        <w:t>Coding Scheme for Open-Coding Cognitive Interview Data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0"/>
        <w:gridCol w:w="2700"/>
        <w:gridCol w:w="2510"/>
      </w:tblGrid>
      <w:tr w:rsidR="00522122" w:rsidRPr="0032506F" w14:paraId="1CC1DA6E" w14:textId="77777777" w:rsidTr="00791EF5">
        <w:tc>
          <w:tcPr>
            <w:tcW w:w="4140" w:type="dxa"/>
            <w:tcBorders>
              <w:top w:val="single" w:sz="8" w:space="0" w:color="auto"/>
              <w:bottom w:val="single" w:sz="8" w:space="0" w:color="auto"/>
            </w:tcBorders>
          </w:tcPr>
          <w:p w14:paraId="20708BD3" w14:textId="77777777" w:rsidR="00522122" w:rsidRPr="0032506F" w:rsidRDefault="00522122" w:rsidP="00522122">
            <w:pPr>
              <w:jc w:val="cente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Cognitive Interview Question (CIQ)</w:t>
            </w:r>
          </w:p>
        </w:tc>
        <w:tc>
          <w:tcPr>
            <w:tcW w:w="2700" w:type="dxa"/>
            <w:tcBorders>
              <w:top w:val="single" w:sz="8" w:space="0" w:color="auto"/>
              <w:bottom w:val="single" w:sz="8" w:space="0" w:color="auto"/>
            </w:tcBorders>
          </w:tcPr>
          <w:p w14:paraId="18B0D999" w14:textId="77777777" w:rsidR="00522122" w:rsidRPr="0032506F" w:rsidRDefault="00522122" w:rsidP="00522122">
            <w:pPr>
              <w:jc w:val="cente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Success</w:t>
            </w:r>
          </w:p>
        </w:tc>
        <w:tc>
          <w:tcPr>
            <w:tcW w:w="2510" w:type="dxa"/>
            <w:tcBorders>
              <w:top w:val="single" w:sz="8" w:space="0" w:color="auto"/>
              <w:bottom w:val="single" w:sz="8" w:space="0" w:color="auto"/>
            </w:tcBorders>
          </w:tcPr>
          <w:p w14:paraId="5398820C" w14:textId="77777777" w:rsidR="00522122" w:rsidRPr="0032506F" w:rsidRDefault="00522122" w:rsidP="00522122">
            <w:pPr>
              <w:jc w:val="cente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Revision Needed</w:t>
            </w:r>
          </w:p>
        </w:tc>
      </w:tr>
      <w:tr w:rsidR="00522122" w:rsidRPr="0032506F" w14:paraId="055015ED" w14:textId="77777777" w:rsidTr="00791EF5">
        <w:trPr>
          <w:trHeight w:val="610"/>
        </w:trPr>
        <w:tc>
          <w:tcPr>
            <w:tcW w:w="4140" w:type="dxa"/>
            <w:tcBorders>
              <w:top w:val="single" w:sz="8" w:space="0" w:color="auto"/>
            </w:tcBorders>
          </w:tcPr>
          <w:p w14:paraId="53E58028"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#1. Do you think the survey instructions are clear and easy to understand?</w:t>
            </w:r>
          </w:p>
        </w:tc>
        <w:tc>
          <w:tcPr>
            <w:tcW w:w="2700" w:type="dxa"/>
            <w:tcBorders>
              <w:top w:val="single" w:sz="8" w:space="0" w:color="auto"/>
            </w:tcBorders>
          </w:tcPr>
          <w:p w14:paraId="26726256"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Instructions clearly and easily understood</w:t>
            </w:r>
            <w:r w:rsidRPr="0032506F">
              <w:rPr>
                <w:rFonts w:ascii="Times New Roman" w:eastAsia="Calibri" w:hAnsi="Times New Roman" w:cs="Times New Roman"/>
                <w:bCs/>
                <w:color w:val="000000"/>
                <w:sz w:val="24"/>
                <w:szCs w:val="24"/>
              </w:rPr>
              <w:tab/>
            </w:r>
          </w:p>
        </w:tc>
        <w:tc>
          <w:tcPr>
            <w:tcW w:w="2510" w:type="dxa"/>
            <w:tcBorders>
              <w:top w:val="single" w:sz="8" w:space="0" w:color="auto"/>
            </w:tcBorders>
          </w:tcPr>
          <w:p w14:paraId="0D3354FD"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Instructions not clearly and easily understood</w:t>
            </w:r>
          </w:p>
        </w:tc>
      </w:tr>
      <w:tr w:rsidR="00522122" w:rsidRPr="0032506F" w14:paraId="63EDAE10" w14:textId="77777777" w:rsidTr="00791EF5">
        <w:tc>
          <w:tcPr>
            <w:tcW w:w="4140" w:type="dxa"/>
          </w:tcPr>
          <w:p w14:paraId="6C65D86C"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 xml:space="preserve">#2. What do you think this item is asking you about? Please explain.       </w:t>
            </w:r>
          </w:p>
        </w:tc>
        <w:tc>
          <w:tcPr>
            <w:tcW w:w="2700" w:type="dxa"/>
          </w:tcPr>
          <w:p w14:paraId="1A2C9156"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Item was understood in the intended way</w:t>
            </w:r>
          </w:p>
        </w:tc>
        <w:tc>
          <w:tcPr>
            <w:tcW w:w="2510" w:type="dxa"/>
          </w:tcPr>
          <w:p w14:paraId="3AD04B83"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Item was not understood in the intended way</w:t>
            </w:r>
          </w:p>
        </w:tc>
      </w:tr>
      <w:tr w:rsidR="00522122" w:rsidRPr="0032506F" w14:paraId="6A80F4B1" w14:textId="77777777" w:rsidTr="00791EF5">
        <w:tc>
          <w:tcPr>
            <w:tcW w:w="4140" w:type="dxa"/>
          </w:tcPr>
          <w:p w14:paraId="303B94F9"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#3. Why did you choose the response you chose over the other response options? Please explain.</w:t>
            </w:r>
          </w:p>
        </w:tc>
        <w:tc>
          <w:tcPr>
            <w:tcW w:w="2700" w:type="dxa"/>
          </w:tcPr>
          <w:p w14:paraId="78CEE347"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Response options were understood and used in the intended way</w:t>
            </w:r>
          </w:p>
        </w:tc>
        <w:tc>
          <w:tcPr>
            <w:tcW w:w="2510" w:type="dxa"/>
          </w:tcPr>
          <w:p w14:paraId="33F21E4B"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Response options were not understood and used in the intended way</w:t>
            </w:r>
          </w:p>
        </w:tc>
      </w:tr>
      <w:tr w:rsidR="00522122" w:rsidRPr="0032506F" w14:paraId="50DB6E34" w14:textId="77777777" w:rsidTr="00791EF5">
        <w:trPr>
          <w:trHeight w:val="864"/>
        </w:trPr>
        <w:tc>
          <w:tcPr>
            <w:tcW w:w="4140" w:type="dxa"/>
          </w:tcPr>
          <w:p w14:paraId="70381525" w14:textId="77777777" w:rsidR="00522122" w:rsidRPr="0032506F" w:rsidRDefault="00522122" w:rsidP="00522122">
            <w:pPr>
              <w:contextualSpacing/>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#4. Do you think the item needs to be re-worded for clarity? If yes, how would you re-word it?</w:t>
            </w:r>
          </w:p>
        </w:tc>
        <w:tc>
          <w:tcPr>
            <w:tcW w:w="2700" w:type="dxa"/>
          </w:tcPr>
          <w:p w14:paraId="32902D65"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Item does not need to be re-worded</w:t>
            </w:r>
          </w:p>
        </w:tc>
        <w:tc>
          <w:tcPr>
            <w:tcW w:w="2510" w:type="dxa"/>
          </w:tcPr>
          <w:p w14:paraId="602A4665"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 xml:space="preserve">Item needs re-wording  </w:t>
            </w:r>
          </w:p>
        </w:tc>
      </w:tr>
      <w:tr w:rsidR="00522122" w:rsidRPr="0032506F" w14:paraId="051C38D0" w14:textId="77777777" w:rsidTr="00791EF5">
        <w:tc>
          <w:tcPr>
            <w:tcW w:w="4140" w:type="dxa"/>
            <w:tcBorders>
              <w:bottom w:val="single" w:sz="8" w:space="0" w:color="auto"/>
            </w:tcBorders>
          </w:tcPr>
          <w:p w14:paraId="0D1F8EBF"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 xml:space="preserve">#5 How relevant do you think this item is to you as an online student? Please explain. </w:t>
            </w:r>
          </w:p>
        </w:tc>
        <w:tc>
          <w:tcPr>
            <w:tcW w:w="2700" w:type="dxa"/>
            <w:tcBorders>
              <w:bottom w:val="single" w:sz="8" w:space="0" w:color="auto"/>
            </w:tcBorders>
          </w:tcPr>
          <w:p w14:paraId="0EB3DE4D"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Relevant</w:t>
            </w:r>
          </w:p>
        </w:tc>
        <w:tc>
          <w:tcPr>
            <w:tcW w:w="2510" w:type="dxa"/>
            <w:tcBorders>
              <w:bottom w:val="single" w:sz="8" w:space="0" w:color="auto"/>
            </w:tcBorders>
          </w:tcPr>
          <w:p w14:paraId="2563EA32" w14:textId="77777777" w:rsidR="00522122" w:rsidRPr="0032506F" w:rsidRDefault="00522122" w:rsidP="00522122">
            <w:pPr>
              <w:rPr>
                <w:rFonts w:ascii="Times New Roman" w:eastAsia="Calibri" w:hAnsi="Times New Roman" w:cs="Times New Roman"/>
                <w:bCs/>
                <w:i/>
                <w:iCs/>
                <w:color w:val="000000"/>
                <w:sz w:val="24"/>
                <w:szCs w:val="24"/>
              </w:rPr>
            </w:pPr>
            <w:r w:rsidRPr="0032506F">
              <w:rPr>
                <w:rFonts w:ascii="Times New Roman" w:eastAsia="Calibri" w:hAnsi="Times New Roman" w:cs="Times New Roman"/>
                <w:bCs/>
                <w:color w:val="000000"/>
                <w:sz w:val="24"/>
                <w:szCs w:val="24"/>
              </w:rPr>
              <w:t>Not Relevant</w:t>
            </w:r>
          </w:p>
        </w:tc>
      </w:tr>
    </w:tbl>
    <w:p w14:paraId="28E652E4" w14:textId="77777777" w:rsidR="00522122" w:rsidRPr="0032506F" w:rsidRDefault="00522122" w:rsidP="00522122"/>
    <w:p w14:paraId="2ECB2EAB" w14:textId="77777777" w:rsidR="00522122" w:rsidRPr="0032506F" w:rsidRDefault="00522122" w:rsidP="00522122">
      <w:pPr>
        <w:keepNext/>
        <w:keepLines/>
        <w:spacing w:after="0" w:line="480" w:lineRule="auto"/>
        <w:outlineLvl w:val="1"/>
        <w:rPr>
          <w:rFonts w:ascii="Times New Roman" w:eastAsia="Calibri" w:hAnsi="Times New Roman" w:cs="Times New Roman"/>
          <w:b/>
          <w:bCs/>
          <w:sz w:val="24"/>
          <w:szCs w:val="24"/>
        </w:rPr>
      </w:pPr>
      <w:bookmarkStart w:id="63" w:name="_Toc102489449"/>
      <w:r w:rsidRPr="0032506F">
        <w:rPr>
          <w:rFonts w:ascii="Times New Roman" w:eastAsia="Calibri" w:hAnsi="Times New Roman" w:cs="Times New Roman"/>
          <w:b/>
          <w:bCs/>
          <w:sz w:val="24"/>
          <w:szCs w:val="24"/>
        </w:rPr>
        <w:lastRenderedPageBreak/>
        <w:t>Participants and Sampling Design</w:t>
      </w:r>
      <w:bookmarkEnd w:id="63"/>
    </w:p>
    <w:p w14:paraId="351E347A" w14:textId="1B317BB9" w:rsidR="00522122" w:rsidRPr="0032506F" w:rsidRDefault="00522122" w:rsidP="0026103C">
      <w:pPr>
        <w:spacing w:after="0" w:line="480" w:lineRule="auto"/>
        <w:ind w:firstLine="720"/>
        <w:rPr>
          <w:rFonts w:ascii="Times New Roman" w:hAnsi="Times New Roman" w:cs="Times New Roman"/>
          <w:bCs/>
          <w:sz w:val="24"/>
          <w:szCs w:val="24"/>
        </w:rPr>
      </w:pPr>
      <w:r w:rsidRPr="0032506F">
        <w:rPr>
          <w:rFonts w:ascii="Times New Roman" w:hAnsi="Times New Roman" w:cs="Times New Roman"/>
          <w:sz w:val="24"/>
          <w:szCs w:val="24"/>
        </w:rPr>
        <w:t xml:space="preserve">Potential participants were recruited from a population of undergraduate and graduate students currently enrolled at a higher education institution in the United States and currently taking at least one online course during an academic semester at the time of data collection. </w:t>
      </w:r>
      <w:r w:rsidRPr="0032506F">
        <w:rPr>
          <w:rFonts w:ascii="Times New Roman" w:hAnsi="Times New Roman" w:cs="Times New Roman"/>
          <w:sz w:val="24"/>
          <w:szCs w:val="24"/>
          <w:lang w:val="en"/>
        </w:rPr>
        <w:t xml:space="preserve">Snowball convenience sampling was used as the main sampling strategy to recruit potential participants through key individuals and organizations as gatekeepers (Creswell, 2014; Gall et al., 2007) (e.g., online program coordinators, online course instructors) who have access to potential participants (i.e., </w:t>
      </w:r>
      <w:proofErr w:type="gramStart"/>
      <w:r w:rsidRPr="0032506F">
        <w:rPr>
          <w:rFonts w:ascii="Times New Roman" w:hAnsi="Times New Roman" w:cs="Times New Roman"/>
          <w:sz w:val="24"/>
          <w:szCs w:val="24"/>
          <w:lang w:val="en"/>
        </w:rPr>
        <w:t>undergraduate</w:t>
      </w:r>
      <w:proofErr w:type="gramEnd"/>
      <w:r w:rsidRPr="0032506F">
        <w:rPr>
          <w:rFonts w:ascii="Times New Roman" w:hAnsi="Times New Roman" w:cs="Times New Roman"/>
          <w:sz w:val="24"/>
          <w:szCs w:val="24"/>
          <w:lang w:val="en"/>
        </w:rPr>
        <w:t xml:space="preserve"> and graduate students taking online courses). Within </w:t>
      </w:r>
      <w:r w:rsidR="00143892" w:rsidRPr="0032506F">
        <w:rPr>
          <w:rFonts w:ascii="Times New Roman" w:hAnsi="Times New Roman" w:cs="Times New Roman"/>
          <w:sz w:val="24"/>
          <w:szCs w:val="24"/>
          <w:lang w:val="en"/>
        </w:rPr>
        <w:t>this</w:t>
      </w:r>
      <w:r w:rsidRPr="0032506F">
        <w:rPr>
          <w:rFonts w:ascii="Times New Roman" w:hAnsi="Times New Roman" w:cs="Times New Roman"/>
          <w:sz w:val="24"/>
          <w:szCs w:val="24"/>
          <w:lang w:val="en"/>
        </w:rPr>
        <w:t xml:space="preserve"> survey design, purposeful criterion-based sampling (Creswell, 2014)</w:t>
      </w:r>
      <w:r w:rsidR="00143892" w:rsidRPr="0032506F">
        <w:rPr>
          <w:rFonts w:ascii="Times New Roman" w:hAnsi="Times New Roman" w:cs="Times New Roman"/>
          <w:sz w:val="24"/>
          <w:szCs w:val="24"/>
          <w:lang w:val="en"/>
        </w:rPr>
        <w:t xml:space="preserve"> was also used</w:t>
      </w:r>
      <w:r w:rsidRPr="0032506F">
        <w:rPr>
          <w:rFonts w:ascii="Times New Roman" w:hAnsi="Times New Roman" w:cs="Times New Roman"/>
          <w:sz w:val="24"/>
          <w:szCs w:val="24"/>
          <w:lang w:val="en"/>
        </w:rPr>
        <w:t xml:space="preserve"> by only recruiting those individuals: </w:t>
      </w:r>
      <w:r w:rsidR="00AB131E" w:rsidRPr="0032506F">
        <w:rPr>
          <w:rFonts w:ascii="Times New Roman" w:hAnsi="Times New Roman" w:cs="Times New Roman"/>
          <w:sz w:val="24"/>
          <w:szCs w:val="24"/>
          <w:lang w:val="en"/>
        </w:rPr>
        <w:t>(</w:t>
      </w:r>
      <w:r w:rsidRPr="0032506F">
        <w:rPr>
          <w:rFonts w:ascii="Times New Roman" w:hAnsi="Times New Roman" w:cs="Times New Roman"/>
          <w:sz w:val="24"/>
          <w:szCs w:val="24"/>
          <w:lang w:val="en"/>
        </w:rPr>
        <w:t xml:space="preserve">a) who were currently enrolled as undergraduate or graduate students at a higher education institution in the United States and </w:t>
      </w:r>
      <w:r w:rsidR="00445056" w:rsidRPr="0032506F">
        <w:rPr>
          <w:rFonts w:ascii="Times New Roman" w:hAnsi="Times New Roman" w:cs="Times New Roman"/>
          <w:sz w:val="24"/>
          <w:szCs w:val="24"/>
          <w:lang w:val="en"/>
        </w:rPr>
        <w:t>(</w:t>
      </w:r>
      <w:r w:rsidRPr="0032506F">
        <w:rPr>
          <w:rFonts w:ascii="Times New Roman" w:hAnsi="Times New Roman" w:cs="Times New Roman"/>
          <w:sz w:val="24"/>
          <w:szCs w:val="24"/>
          <w:lang w:val="en"/>
        </w:rPr>
        <w:t>b) who were currently taking at least one online course during Fall 2021 academic semester.</w:t>
      </w:r>
      <w:r w:rsidR="0026103C" w:rsidRPr="0032506F">
        <w:rPr>
          <w:rFonts w:ascii="Times New Roman" w:hAnsi="Times New Roman" w:cs="Times New Roman"/>
          <w:sz w:val="24"/>
          <w:szCs w:val="24"/>
          <w:lang w:val="en"/>
        </w:rPr>
        <w:t xml:space="preserve"> </w:t>
      </w:r>
      <w:r w:rsidRPr="0032506F">
        <w:rPr>
          <w:rFonts w:ascii="Times New Roman" w:hAnsi="Times New Roman"/>
          <w:color w:val="000000" w:themeColor="text1"/>
          <w:sz w:val="24"/>
          <w:szCs w:val="24"/>
        </w:rPr>
        <w:t xml:space="preserve">Due to the nature of snowball convenience sampling, </w:t>
      </w:r>
      <w:r w:rsidR="0026103C" w:rsidRPr="0032506F">
        <w:rPr>
          <w:rFonts w:ascii="Times New Roman" w:hAnsi="Times New Roman"/>
          <w:color w:val="000000" w:themeColor="text1"/>
          <w:sz w:val="24"/>
          <w:szCs w:val="24"/>
        </w:rPr>
        <w:t>the research</w:t>
      </w:r>
      <w:r w:rsidRPr="0032506F">
        <w:rPr>
          <w:rFonts w:ascii="Times New Roman" w:hAnsi="Times New Roman"/>
          <w:color w:val="000000" w:themeColor="text1"/>
          <w:sz w:val="24"/>
          <w:szCs w:val="24"/>
        </w:rPr>
        <w:t xml:space="preserve"> invitation </w:t>
      </w:r>
      <w:r w:rsidR="001334C8" w:rsidRPr="0032506F">
        <w:rPr>
          <w:rFonts w:ascii="Times New Roman" w:hAnsi="Times New Roman"/>
          <w:color w:val="000000" w:themeColor="text1"/>
          <w:sz w:val="24"/>
          <w:szCs w:val="24"/>
        </w:rPr>
        <w:t>emails,</w:t>
      </w:r>
      <w:r w:rsidRPr="0032506F">
        <w:rPr>
          <w:rFonts w:ascii="Times New Roman" w:hAnsi="Times New Roman"/>
          <w:color w:val="000000" w:themeColor="text1"/>
          <w:sz w:val="24"/>
          <w:szCs w:val="24"/>
        </w:rPr>
        <w:t xml:space="preserve"> and </w:t>
      </w:r>
      <w:r w:rsidR="0026103C" w:rsidRPr="0032506F">
        <w:rPr>
          <w:rFonts w:ascii="Times New Roman" w:hAnsi="Times New Roman"/>
          <w:color w:val="000000" w:themeColor="text1"/>
          <w:sz w:val="24"/>
          <w:szCs w:val="24"/>
        </w:rPr>
        <w:t>the s</w:t>
      </w:r>
      <w:r w:rsidRPr="0032506F">
        <w:rPr>
          <w:rFonts w:ascii="Times New Roman" w:hAnsi="Times New Roman"/>
          <w:color w:val="000000" w:themeColor="text1"/>
          <w:sz w:val="24"/>
          <w:szCs w:val="24"/>
        </w:rPr>
        <w:t>urvey link could have been shared with an unknown number of students, rendering the computation of a response rate impossible. After cleaning the raw data of 813 recorded responses on Qualtrics</w:t>
      </w:r>
      <w:r w:rsidR="00902473"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screening the data for </w:t>
      </w:r>
      <w:r w:rsidR="00BE5059" w:rsidRPr="0032506F">
        <w:rPr>
          <w:rFonts w:ascii="Times New Roman" w:hAnsi="Times New Roman"/>
          <w:color w:val="000000" w:themeColor="text1"/>
          <w:sz w:val="24"/>
          <w:szCs w:val="24"/>
        </w:rPr>
        <w:t xml:space="preserve">minimum </w:t>
      </w:r>
      <w:r w:rsidRPr="0032506F">
        <w:rPr>
          <w:rFonts w:ascii="Times New Roman" w:hAnsi="Times New Roman"/>
          <w:color w:val="000000" w:themeColor="text1"/>
          <w:sz w:val="24"/>
          <w:szCs w:val="24"/>
        </w:rPr>
        <w:t>sampling criteria</w:t>
      </w:r>
      <w:r w:rsidR="006814FE" w:rsidRPr="0032506F">
        <w:rPr>
          <w:rFonts w:ascii="Times New Roman" w:hAnsi="Times New Roman"/>
          <w:color w:val="000000" w:themeColor="text1"/>
          <w:sz w:val="24"/>
          <w:szCs w:val="24"/>
        </w:rPr>
        <w:t xml:space="preserve"> and </w:t>
      </w:r>
      <w:r w:rsidRPr="0032506F">
        <w:rPr>
          <w:rFonts w:ascii="Times New Roman" w:hAnsi="Times New Roman"/>
          <w:color w:val="000000" w:themeColor="text1"/>
          <w:sz w:val="24"/>
          <w:szCs w:val="24"/>
        </w:rPr>
        <w:t>missing data</w:t>
      </w:r>
      <w:r w:rsidR="0069292E" w:rsidRPr="0032506F">
        <w:rPr>
          <w:rFonts w:ascii="Times New Roman" w:hAnsi="Times New Roman"/>
          <w:color w:val="000000" w:themeColor="text1"/>
          <w:sz w:val="24"/>
          <w:szCs w:val="24"/>
        </w:rPr>
        <w:t xml:space="preserve"> (see </w:t>
      </w:r>
      <w:hyperlink w:anchor="_Appendix_F_Data" w:history="1">
        <w:r w:rsidR="0069292E" w:rsidRPr="0032506F">
          <w:rPr>
            <w:rStyle w:val="Hyperlink"/>
            <w:rFonts w:ascii="Times New Roman" w:hAnsi="Times New Roman"/>
            <w:sz w:val="24"/>
            <w:szCs w:val="24"/>
          </w:rPr>
          <w:t>Appendix</w:t>
        </w:r>
        <w:r w:rsidR="006814FE" w:rsidRPr="0032506F">
          <w:rPr>
            <w:rStyle w:val="Hyperlink"/>
            <w:rFonts w:ascii="Times New Roman" w:hAnsi="Times New Roman"/>
            <w:sz w:val="24"/>
            <w:szCs w:val="24"/>
          </w:rPr>
          <w:t xml:space="preserve"> </w:t>
        </w:r>
        <w:r w:rsidR="00EB0DCF">
          <w:rPr>
            <w:rStyle w:val="Hyperlink"/>
            <w:rFonts w:ascii="Times New Roman" w:hAnsi="Times New Roman"/>
            <w:sz w:val="24"/>
            <w:szCs w:val="24"/>
          </w:rPr>
          <w:t>F</w:t>
        </w:r>
      </w:hyperlink>
      <w:r w:rsidR="0069292E" w:rsidRPr="0032506F">
        <w:rPr>
          <w:rFonts w:ascii="Times New Roman" w:hAnsi="Times New Roman"/>
          <w:color w:val="000000" w:themeColor="text1"/>
          <w:sz w:val="24"/>
          <w:szCs w:val="24"/>
        </w:rPr>
        <w:t>)</w:t>
      </w:r>
      <w:r w:rsidRPr="0032506F">
        <w:rPr>
          <w:rFonts w:ascii="Times New Roman" w:hAnsi="Times New Roman"/>
          <w:color w:val="000000" w:themeColor="text1"/>
          <w:sz w:val="24"/>
          <w:szCs w:val="24"/>
        </w:rPr>
        <w:t xml:space="preserve">, and </w:t>
      </w:r>
      <w:r w:rsidR="000C7DF7" w:rsidRPr="0032506F">
        <w:rPr>
          <w:rFonts w:ascii="Times New Roman" w:hAnsi="Times New Roman"/>
          <w:color w:val="000000" w:themeColor="text1"/>
          <w:sz w:val="24"/>
          <w:szCs w:val="24"/>
        </w:rPr>
        <w:t xml:space="preserve">removing </w:t>
      </w:r>
      <w:r w:rsidRPr="0032506F">
        <w:rPr>
          <w:rFonts w:ascii="Times New Roman" w:hAnsi="Times New Roman"/>
          <w:color w:val="000000" w:themeColor="text1"/>
          <w:sz w:val="24"/>
          <w:szCs w:val="24"/>
        </w:rPr>
        <w:t>outliers, a</w:t>
      </w:r>
      <w:r w:rsidR="0026103C" w:rsidRPr="0032506F">
        <w:rPr>
          <w:rFonts w:ascii="Times New Roman" w:hAnsi="Times New Roman"/>
          <w:color w:val="000000" w:themeColor="text1"/>
          <w:sz w:val="24"/>
          <w:szCs w:val="24"/>
        </w:rPr>
        <w:t xml:space="preserve"> final sample of </w:t>
      </w:r>
      <w:r w:rsidRPr="0032506F">
        <w:rPr>
          <w:rFonts w:ascii="Times New Roman" w:hAnsi="Times New Roman"/>
          <w:bCs/>
          <w:color w:val="000000" w:themeColor="text1"/>
          <w:sz w:val="24"/>
          <w:szCs w:val="24"/>
        </w:rPr>
        <w:t xml:space="preserve">235 participants provided complete and minimum-criteria-fulfilling </w:t>
      </w:r>
      <w:r w:rsidR="00052D17" w:rsidRPr="0032506F">
        <w:rPr>
          <w:rFonts w:ascii="Times New Roman" w:hAnsi="Times New Roman"/>
          <w:bCs/>
          <w:color w:val="000000" w:themeColor="text1"/>
          <w:sz w:val="24"/>
          <w:szCs w:val="24"/>
        </w:rPr>
        <w:t xml:space="preserve">OEHE </w:t>
      </w:r>
      <w:r w:rsidRPr="0032506F">
        <w:rPr>
          <w:rFonts w:ascii="Times New Roman" w:hAnsi="Times New Roman"/>
          <w:bCs/>
          <w:color w:val="000000" w:themeColor="text1"/>
          <w:sz w:val="24"/>
          <w:szCs w:val="24"/>
        </w:rPr>
        <w:t>data used for the confirmatory factor</w:t>
      </w:r>
      <w:r w:rsidR="00840F94" w:rsidRPr="0032506F">
        <w:rPr>
          <w:rFonts w:ascii="Times New Roman" w:hAnsi="Times New Roman"/>
          <w:bCs/>
          <w:color w:val="000000" w:themeColor="text1"/>
          <w:sz w:val="24"/>
          <w:szCs w:val="24"/>
        </w:rPr>
        <w:t xml:space="preserve"> </w:t>
      </w:r>
      <w:r w:rsidRPr="0032506F">
        <w:rPr>
          <w:rFonts w:ascii="Times New Roman" w:hAnsi="Times New Roman"/>
          <w:bCs/>
          <w:color w:val="000000" w:themeColor="text1"/>
          <w:sz w:val="24"/>
          <w:szCs w:val="24"/>
        </w:rPr>
        <w:t>analyses</w:t>
      </w:r>
      <w:r w:rsidR="00052D17" w:rsidRPr="0032506F">
        <w:rPr>
          <w:rFonts w:ascii="Times New Roman" w:hAnsi="Times New Roman"/>
          <w:bCs/>
          <w:color w:val="000000" w:themeColor="text1"/>
          <w:sz w:val="24"/>
          <w:szCs w:val="24"/>
        </w:rPr>
        <w:t xml:space="preserve"> and</w:t>
      </w:r>
      <w:r w:rsidR="00840F94" w:rsidRPr="0032506F">
        <w:rPr>
          <w:rFonts w:ascii="Times New Roman" w:hAnsi="Times New Roman"/>
          <w:bCs/>
          <w:color w:val="000000" w:themeColor="text1"/>
          <w:sz w:val="24"/>
          <w:szCs w:val="24"/>
        </w:rPr>
        <w:t xml:space="preserve"> reliability analyses</w:t>
      </w:r>
      <w:r w:rsidR="00834715" w:rsidRPr="0032506F">
        <w:rPr>
          <w:rFonts w:ascii="Times New Roman" w:hAnsi="Times New Roman"/>
          <w:bCs/>
          <w:color w:val="000000" w:themeColor="text1"/>
          <w:sz w:val="24"/>
          <w:szCs w:val="24"/>
        </w:rPr>
        <w:t xml:space="preserve"> of the </w:t>
      </w:r>
      <w:r w:rsidR="00884486" w:rsidRPr="0032506F">
        <w:rPr>
          <w:rFonts w:ascii="Times New Roman" w:hAnsi="Times New Roman"/>
          <w:bCs/>
          <w:color w:val="000000" w:themeColor="text1"/>
          <w:sz w:val="24"/>
          <w:szCs w:val="24"/>
        </w:rPr>
        <w:t>OEHE items</w:t>
      </w:r>
      <w:r w:rsidR="00774DAE" w:rsidRPr="0032506F">
        <w:rPr>
          <w:rFonts w:ascii="Times New Roman" w:hAnsi="Times New Roman"/>
          <w:bCs/>
          <w:color w:val="000000" w:themeColor="text1"/>
          <w:sz w:val="24"/>
          <w:szCs w:val="24"/>
        </w:rPr>
        <w:t>,</w:t>
      </w:r>
      <w:r w:rsidRPr="0032506F">
        <w:rPr>
          <w:rFonts w:ascii="Times New Roman" w:hAnsi="Times New Roman"/>
          <w:bCs/>
          <w:color w:val="000000" w:themeColor="text1"/>
          <w:sz w:val="24"/>
          <w:szCs w:val="24"/>
        </w:rPr>
        <w:t xml:space="preserve"> and</w:t>
      </w:r>
      <w:r w:rsidR="00BC01E1" w:rsidRPr="0032506F">
        <w:rPr>
          <w:rFonts w:ascii="Times New Roman" w:hAnsi="Times New Roman"/>
          <w:bCs/>
          <w:color w:val="000000" w:themeColor="text1"/>
          <w:sz w:val="24"/>
          <w:szCs w:val="24"/>
        </w:rPr>
        <w:t xml:space="preserve"> </w:t>
      </w:r>
      <w:r w:rsidR="00270BF3" w:rsidRPr="0032506F">
        <w:rPr>
          <w:rFonts w:ascii="Times New Roman" w:hAnsi="Times New Roman"/>
          <w:bCs/>
          <w:color w:val="000000" w:themeColor="text1"/>
          <w:sz w:val="24"/>
          <w:szCs w:val="24"/>
        </w:rPr>
        <w:t>234 participants</w:t>
      </w:r>
      <w:r w:rsidR="002632B5" w:rsidRPr="0032506F">
        <w:rPr>
          <w:rFonts w:ascii="Times New Roman" w:hAnsi="Times New Roman"/>
          <w:bCs/>
          <w:color w:val="000000" w:themeColor="text1"/>
          <w:sz w:val="24"/>
          <w:szCs w:val="24"/>
        </w:rPr>
        <w:t xml:space="preserve"> </w:t>
      </w:r>
      <w:r w:rsidR="00270BF3" w:rsidRPr="0032506F">
        <w:rPr>
          <w:rFonts w:ascii="Times New Roman" w:hAnsi="Times New Roman"/>
          <w:bCs/>
          <w:color w:val="000000" w:themeColor="text1"/>
          <w:sz w:val="24"/>
          <w:szCs w:val="24"/>
        </w:rPr>
        <w:t xml:space="preserve">provided data for </w:t>
      </w:r>
      <w:r w:rsidRPr="0032506F">
        <w:rPr>
          <w:rFonts w:ascii="Times New Roman" w:hAnsi="Times New Roman"/>
          <w:bCs/>
          <w:color w:val="000000" w:themeColor="text1"/>
          <w:sz w:val="24"/>
          <w:szCs w:val="24"/>
        </w:rPr>
        <w:t xml:space="preserve">other validity analyses in this study. This sample size was deemed adequate for the CFA analyses because a sample size of 200 </w:t>
      </w:r>
      <w:r w:rsidRPr="0032506F">
        <w:rPr>
          <w:rFonts w:ascii="Times New Roman" w:hAnsi="Times New Roman" w:hint="eastAsia"/>
          <w:bCs/>
          <w:color w:val="000000" w:themeColor="text1"/>
          <w:sz w:val="24"/>
          <w:szCs w:val="24"/>
        </w:rPr>
        <w:t>≤</w:t>
      </w:r>
      <w:r w:rsidRPr="0032506F">
        <w:rPr>
          <w:rFonts w:ascii="Times New Roman" w:hAnsi="Times New Roman"/>
          <w:bCs/>
          <w:color w:val="000000" w:themeColor="text1"/>
          <w:sz w:val="24"/>
          <w:szCs w:val="24"/>
        </w:rPr>
        <w:t xml:space="preserve"> </w:t>
      </w:r>
      <w:r w:rsidRPr="0032506F">
        <w:rPr>
          <w:rFonts w:ascii="Times New Roman" w:hAnsi="Times New Roman"/>
          <w:bCs/>
          <w:i/>
          <w:iCs/>
          <w:color w:val="000000" w:themeColor="text1"/>
          <w:sz w:val="24"/>
          <w:szCs w:val="24"/>
        </w:rPr>
        <w:t xml:space="preserve">235 </w:t>
      </w:r>
      <w:r w:rsidRPr="0032506F">
        <w:rPr>
          <w:rFonts w:ascii="Times New Roman" w:hAnsi="Times New Roman" w:hint="eastAsia"/>
          <w:bCs/>
          <w:color w:val="000000" w:themeColor="text1"/>
          <w:sz w:val="24"/>
          <w:szCs w:val="24"/>
        </w:rPr>
        <w:t>≤</w:t>
      </w:r>
      <w:r w:rsidRPr="0032506F">
        <w:rPr>
          <w:rFonts w:ascii="Times New Roman" w:hAnsi="Times New Roman"/>
          <w:bCs/>
          <w:color w:val="000000" w:themeColor="text1"/>
          <w:sz w:val="24"/>
          <w:szCs w:val="24"/>
        </w:rPr>
        <w:t xml:space="preserve"> 400 would help us ensure that the sample mean can differentiate among the online undergraduate and graduate students at a 95% confidence interval (Asempapa, 2016; Creswell, 2005). The specific context for this study </w:t>
      </w:r>
      <w:r w:rsidRPr="0032506F">
        <w:rPr>
          <w:rFonts w:ascii="Times New Roman" w:hAnsi="Times New Roman"/>
          <w:bCs/>
          <w:color w:val="000000" w:themeColor="text1"/>
          <w:sz w:val="24"/>
          <w:szCs w:val="24"/>
        </w:rPr>
        <w:lastRenderedPageBreak/>
        <w:t xml:space="preserve">was online courses which contained undergraduate and graduate students as the participants drawn from the target population through snowball convenience sampling. </w:t>
      </w:r>
    </w:p>
    <w:p w14:paraId="5D44D5B5" w14:textId="2F2CDA58" w:rsidR="00522122" w:rsidRPr="0032506F" w:rsidRDefault="00522122" w:rsidP="00522122">
      <w:pPr>
        <w:tabs>
          <w:tab w:val="left" w:pos="720"/>
          <w:tab w:val="left" w:pos="2826"/>
        </w:tabs>
        <w:spacing w:line="480" w:lineRule="auto"/>
        <w:contextualSpacing/>
        <w:rPr>
          <w:rFonts w:ascii="Times New Roman" w:hAnsi="Times New Roman" w:cs="Times New Roman"/>
          <w:sz w:val="24"/>
          <w:szCs w:val="24"/>
        </w:rPr>
      </w:pPr>
      <w:r w:rsidRPr="0032506F">
        <w:rPr>
          <w:rFonts w:ascii="Times New Roman" w:hAnsi="Times New Roman"/>
          <w:bCs/>
          <w:color w:val="000000" w:themeColor="text1"/>
          <w:sz w:val="24"/>
          <w:szCs w:val="24"/>
        </w:rPr>
        <w:tab/>
      </w:r>
      <w:r w:rsidRPr="0032506F">
        <w:rPr>
          <w:rFonts w:ascii="Times New Roman" w:eastAsiaTheme="majorEastAsia" w:hAnsi="Times New Roman" w:cs="Times New Roman"/>
          <w:b/>
          <w:bCs/>
          <w:sz w:val="24"/>
          <w:szCs w:val="24"/>
        </w:rPr>
        <w:t xml:space="preserve">Participants’ </w:t>
      </w:r>
      <w:r w:rsidR="00D17103" w:rsidRPr="0032506F">
        <w:rPr>
          <w:rFonts w:ascii="Times New Roman" w:eastAsiaTheme="majorEastAsia" w:hAnsi="Times New Roman" w:cs="Times New Roman"/>
          <w:b/>
          <w:bCs/>
          <w:sz w:val="24"/>
          <w:szCs w:val="24"/>
        </w:rPr>
        <w:t xml:space="preserve">Demographic </w:t>
      </w:r>
      <w:r w:rsidRPr="0032506F">
        <w:rPr>
          <w:rFonts w:ascii="Times New Roman" w:eastAsiaTheme="majorEastAsia" w:hAnsi="Times New Roman" w:cs="Times New Roman"/>
          <w:b/>
          <w:bCs/>
          <w:sz w:val="24"/>
          <w:szCs w:val="24"/>
        </w:rPr>
        <w:t>Characteristics.</w:t>
      </w:r>
      <w:r w:rsidRPr="0032506F">
        <w:rPr>
          <w:rFonts w:ascii="Times New Roman" w:hAnsi="Times New Roman" w:cs="Times New Roman"/>
          <w:b/>
          <w:bCs/>
          <w:i/>
          <w:iCs/>
          <w:sz w:val="24"/>
          <w:szCs w:val="24"/>
        </w:rPr>
        <w:t xml:space="preserve"> </w:t>
      </w:r>
      <w:r w:rsidRPr="0032506F">
        <w:rPr>
          <w:rFonts w:ascii="Times New Roman" w:hAnsi="Times New Roman" w:cs="Times New Roman"/>
          <w:sz w:val="24"/>
          <w:szCs w:val="24"/>
        </w:rPr>
        <w:t>The participants (</w:t>
      </w:r>
      <w:r w:rsidRPr="0032506F">
        <w:rPr>
          <w:rFonts w:ascii="Times New Roman" w:hAnsi="Times New Roman" w:cs="Times New Roman"/>
          <w:i/>
          <w:sz w:val="24"/>
          <w:szCs w:val="24"/>
        </w:rPr>
        <w:t>N</w:t>
      </w:r>
      <w:r w:rsidRPr="0032506F">
        <w:rPr>
          <w:rFonts w:ascii="Times New Roman" w:hAnsi="Times New Roman" w:cs="Times New Roman"/>
          <w:sz w:val="24"/>
          <w:szCs w:val="24"/>
        </w:rPr>
        <w:t>=235) were all university students currently enrolled at a higher education institution at the time of data collection in the United States</w:t>
      </w:r>
      <w:r w:rsidR="00DE43BF" w:rsidRPr="0032506F">
        <w:rPr>
          <w:rFonts w:ascii="Times New Roman" w:hAnsi="Times New Roman" w:cs="Times New Roman"/>
          <w:sz w:val="24"/>
          <w:szCs w:val="24"/>
        </w:rPr>
        <w:t xml:space="preserve"> (inclusion criterion 1)</w:t>
      </w:r>
      <w:r w:rsidRPr="0032506F">
        <w:rPr>
          <w:rFonts w:ascii="Times New Roman" w:hAnsi="Times New Roman" w:cs="Times New Roman"/>
          <w:sz w:val="24"/>
          <w:szCs w:val="24"/>
        </w:rPr>
        <w:t xml:space="preserve">. </w:t>
      </w:r>
      <w:r w:rsidR="00263583" w:rsidRPr="0032506F">
        <w:rPr>
          <w:rFonts w:ascii="Times New Roman" w:hAnsi="Times New Roman" w:cs="Times New Roman"/>
          <w:sz w:val="24"/>
          <w:szCs w:val="24"/>
        </w:rPr>
        <w:t>Most of them were female (80.8%) and White (73.1%).</w:t>
      </w:r>
      <w:r w:rsidR="00DE43BF" w:rsidRPr="0032506F">
        <w:rPr>
          <w:rFonts w:ascii="Times New Roman" w:hAnsi="Times New Roman" w:cs="Times New Roman"/>
          <w:sz w:val="24"/>
          <w:szCs w:val="24"/>
        </w:rPr>
        <w:t xml:space="preserve"> </w:t>
      </w:r>
      <w:r w:rsidRPr="0032506F">
        <w:rPr>
          <w:rFonts w:ascii="Times New Roman" w:hAnsi="Times New Roman" w:cs="Times New Roman"/>
          <w:sz w:val="24"/>
          <w:szCs w:val="24"/>
        </w:rPr>
        <w:t>Seventy-nine (33.6%) were undergraduate and 66.4% were graduate-level students (</w:t>
      </w:r>
      <w:r w:rsidRPr="0032506F">
        <w:rPr>
          <w:rFonts w:ascii="Times New Roman" w:hAnsi="Times New Roman" w:cs="Times New Roman"/>
          <w:i/>
          <w:sz w:val="24"/>
          <w:szCs w:val="24"/>
        </w:rPr>
        <w:t>n</w:t>
      </w:r>
      <w:r w:rsidRPr="0032506F">
        <w:rPr>
          <w:rFonts w:ascii="Times New Roman" w:hAnsi="Times New Roman" w:cs="Times New Roman"/>
          <w:sz w:val="24"/>
          <w:szCs w:val="24"/>
        </w:rPr>
        <w:t>=156) currently enrolled in various degree programs ranging from education to</w:t>
      </w:r>
      <w:r w:rsidR="00A50F13" w:rsidRPr="0032506F">
        <w:rPr>
          <w:rFonts w:ascii="Times New Roman" w:hAnsi="Times New Roman" w:cs="Times New Roman"/>
          <w:sz w:val="24"/>
          <w:szCs w:val="24"/>
        </w:rPr>
        <w:t xml:space="preserve"> </w:t>
      </w:r>
      <w:r w:rsidRPr="0032506F">
        <w:rPr>
          <w:rFonts w:ascii="Times New Roman" w:hAnsi="Times New Roman" w:cs="Times New Roman"/>
          <w:sz w:val="24"/>
          <w:szCs w:val="24"/>
        </w:rPr>
        <w:t>biology at 51 different higher education institutions in the United States, 86% (</w:t>
      </w:r>
      <w:r w:rsidRPr="0032506F">
        <w:rPr>
          <w:rFonts w:ascii="Times New Roman" w:hAnsi="Times New Roman" w:cs="Times New Roman"/>
          <w:i/>
          <w:sz w:val="24"/>
          <w:szCs w:val="24"/>
        </w:rPr>
        <w:t>n</w:t>
      </w:r>
      <w:r w:rsidRPr="0032506F">
        <w:rPr>
          <w:rFonts w:ascii="Times New Roman" w:hAnsi="Times New Roman" w:cs="Times New Roman"/>
          <w:sz w:val="24"/>
          <w:szCs w:val="24"/>
        </w:rPr>
        <w:t>=44) of which were public and 14% (</w:t>
      </w:r>
      <w:r w:rsidRPr="0032506F">
        <w:rPr>
          <w:rFonts w:ascii="Times New Roman" w:hAnsi="Times New Roman" w:cs="Times New Roman"/>
          <w:i/>
          <w:sz w:val="24"/>
          <w:szCs w:val="24"/>
        </w:rPr>
        <w:t>n</w:t>
      </w:r>
      <w:r w:rsidRPr="0032506F">
        <w:rPr>
          <w:rFonts w:ascii="Times New Roman" w:hAnsi="Times New Roman" w:cs="Times New Roman"/>
          <w:sz w:val="24"/>
          <w:szCs w:val="24"/>
        </w:rPr>
        <w:t xml:space="preserve">=7) were private institutions. </w:t>
      </w:r>
      <w:r w:rsidR="00A50F13" w:rsidRPr="0032506F">
        <w:rPr>
          <w:rFonts w:ascii="Times New Roman" w:hAnsi="Times New Roman" w:cs="Times New Roman"/>
          <w:sz w:val="24"/>
          <w:szCs w:val="24"/>
        </w:rPr>
        <w:t>The s</w:t>
      </w:r>
      <w:r w:rsidRPr="0032506F">
        <w:rPr>
          <w:rFonts w:ascii="Times New Roman" w:hAnsi="Times New Roman" w:cs="Times New Roman"/>
          <w:sz w:val="24"/>
          <w:szCs w:val="24"/>
        </w:rPr>
        <w:t xml:space="preserve">nowball sampling strategy made it unfeasible to describe all those specific courses, academic majors, and universities indicated by the participants. </w:t>
      </w:r>
      <w:proofErr w:type="gramStart"/>
      <w:r w:rsidRPr="0032506F">
        <w:rPr>
          <w:rFonts w:ascii="Times New Roman" w:hAnsi="Times New Roman" w:cs="Times New Roman"/>
          <w:sz w:val="24"/>
          <w:szCs w:val="24"/>
        </w:rPr>
        <w:t>All of</w:t>
      </w:r>
      <w:proofErr w:type="gramEnd"/>
      <w:r w:rsidRPr="0032506F">
        <w:rPr>
          <w:rFonts w:ascii="Times New Roman" w:hAnsi="Times New Roman" w:cs="Times New Roman"/>
          <w:sz w:val="24"/>
          <w:szCs w:val="24"/>
        </w:rPr>
        <w:t xml:space="preserve"> the participants had taken at least one online course before, with 57% (</w:t>
      </w:r>
      <w:r w:rsidRPr="0032506F">
        <w:rPr>
          <w:rFonts w:ascii="Times New Roman" w:hAnsi="Times New Roman" w:cs="Times New Roman"/>
          <w:i/>
          <w:sz w:val="24"/>
          <w:szCs w:val="24"/>
        </w:rPr>
        <w:t>n</w:t>
      </w:r>
      <w:r w:rsidRPr="0032506F">
        <w:rPr>
          <w:rFonts w:ascii="Times New Roman" w:hAnsi="Times New Roman" w:cs="Times New Roman"/>
          <w:sz w:val="24"/>
          <w:szCs w:val="24"/>
        </w:rPr>
        <w:t>=134) having taken more than 5 online courses. All the participants were currently taking, at the time of data collection, at least one online course as part of their higher education degree or program</w:t>
      </w:r>
      <w:r w:rsidR="00DE43BF" w:rsidRPr="0032506F">
        <w:rPr>
          <w:rFonts w:ascii="Times New Roman" w:hAnsi="Times New Roman" w:cs="Times New Roman"/>
          <w:sz w:val="24"/>
          <w:szCs w:val="24"/>
        </w:rPr>
        <w:t xml:space="preserve"> (inclusion criterion 2)</w:t>
      </w:r>
      <w:r w:rsidR="00A50F13" w:rsidRPr="0032506F">
        <w:rPr>
          <w:rFonts w:ascii="Times New Roman" w:hAnsi="Times New Roman" w:cs="Times New Roman"/>
          <w:sz w:val="24"/>
          <w:szCs w:val="24"/>
        </w:rPr>
        <w:t>.</w:t>
      </w:r>
      <w:r w:rsidR="005D6239" w:rsidRPr="0032506F">
        <w:rPr>
          <w:rFonts w:ascii="Times New Roman" w:hAnsi="Times New Roman" w:cs="Times New Roman"/>
          <w:sz w:val="24"/>
          <w:szCs w:val="24"/>
        </w:rPr>
        <w:t xml:space="preserve"> </w:t>
      </w:r>
      <w:hyperlink w:anchor="_Appendix_G_Participants’" w:history="1">
        <w:r w:rsidR="005D6239" w:rsidRPr="0032506F">
          <w:rPr>
            <w:rStyle w:val="Hyperlink"/>
            <w:rFonts w:ascii="Times New Roman" w:hAnsi="Times New Roman" w:cs="Times New Roman"/>
            <w:sz w:val="24"/>
            <w:szCs w:val="24"/>
          </w:rPr>
          <w:t xml:space="preserve">Appendix </w:t>
        </w:r>
        <w:r w:rsidR="00EB0DCF">
          <w:rPr>
            <w:rStyle w:val="Hyperlink"/>
            <w:rFonts w:ascii="Times New Roman" w:hAnsi="Times New Roman" w:cs="Times New Roman"/>
            <w:sz w:val="24"/>
            <w:szCs w:val="24"/>
          </w:rPr>
          <w:t>G</w:t>
        </w:r>
      </w:hyperlink>
      <w:r w:rsidR="005D6239" w:rsidRPr="0032506F">
        <w:rPr>
          <w:rFonts w:ascii="Times New Roman" w:hAnsi="Times New Roman" w:cs="Times New Roman"/>
          <w:sz w:val="24"/>
          <w:szCs w:val="24"/>
        </w:rPr>
        <w:t xml:space="preserve"> presents detailed information about participants’ characteristics. </w:t>
      </w:r>
    </w:p>
    <w:p w14:paraId="51754889" w14:textId="6722C04E" w:rsidR="00A7541E" w:rsidRPr="0032506F" w:rsidRDefault="007B66C8" w:rsidP="00DE43BF">
      <w:pPr>
        <w:tabs>
          <w:tab w:val="left" w:pos="720"/>
          <w:tab w:val="left" w:pos="2826"/>
        </w:tabs>
        <w:spacing w:after="0" w:line="480" w:lineRule="auto"/>
        <w:contextualSpacing/>
        <w:rPr>
          <w:rFonts w:ascii="Times New Roman" w:hAnsi="Times New Roman" w:cs="Times New Roman"/>
          <w:sz w:val="24"/>
          <w:szCs w:val="24"/>
        </w:rPr>
      </w:pPr>
      <w:r w:rsidRPr="0032506F">
        <w:rPr>
          <w:rFonts w:ascii="Times New Roman" w:hAnsi="Times New Roman" w:cs="Times New Roman"/>
          <w:sz w:val="24"/>
          <w:szCs w:val="24"/>
        </w:rPr>
        <w:tab/>
      </w:r>
      <w:bookmarkStart w:id="64" w:name="_Toc102489450"/>
      <w:r w:rsidR="00296A78" w:rsidRPr="0032506F">
        <w:rPr>
          <w:rStyle w:val="Heading2Char"/>
        </w:rPr>
        <w:t xml:space="preserve">Participants’ </w:t>
      </w:r>
      <w:r w:rsidR="00522122" w:rsidRPr="0032506F">
        <w:rPr>
          <w:rStyle w:val="Heading2Char"/>
        </w:rPr>
        <w:t xml:space="preserve">Online </w:t>
      </w:r>
      <w:r w:rsidRPr="0032506F">
        <w:rPr>
          <w:rStyle w:val="Heading2Char"/>
        </w:rPr>
        <w:t>Learning</w:t>
      </w:r>
      <w:r w:rsidR="00522122" w:rsidRPr="0032506F">
        <w:rPr>
          <w:rStyle w:val="Heading2Char"/>
        </w:rPr>
        <w:t xml:space="preserve"> Characteristics</w:t>
      </w:r>
      <w:bookmarkEnd w:id="64"/>
      <w:r w:rsidR="00522122" w:rsidRPr="0032506F">
        <w:rPr>
          <w:rFonts w:ascii="Times New Roman" w:eastAsiaTheme="majorEastAsia" w:hAnsi="Times New Roman" w:cs="Times New Roman"/>
          <w:b/>
          <w:bCs/>
          <w:sz w:val="24"/>
          <w:szCs w:val="24"/>
        </w:rPr>
        <w:t>.</w:t>
      </w:r>
      <w:r w:rsidRPr="0032506F">
        <w:rPr>
          <w:rFonts w:ascii="Times New Roman" w:eastAsiaTheme="majorEastAsia" w:hAnsi="Times New Roman" w:cs="Times New Roman"/>
          <w:b/>
          <w:bCs/>
          <w:sz w:val="24"/>
          <w:szCs w:val="24"/>
        </w:rPr>
        <w:t xml:space="preserve"> </w:t>
      </w:r>
      <w:r w:rsidR="00522122" w:rsidRPr="0032506F">
        <w:rPr>
          <w:rFonts w:ascii="Times New Roman" w:hAnsi="Times New Roman" w:cs="Times New Roman"/>
          <w:sz w:val="24"/>
          <w:szCs w:val="24"/>
        </w:rPr>
        <w:t xml:space="preserve">The participants indicated one specific online course as the online course to think of while responding to </w:t>
      </w:r>
      <w:r w:rsidR="00DB0807" w:rsidRPr="0032506F">
        <w:rPr>
          <w:rFonts w:ascii="Times New Roman" w:hAnsi="Times New Roman" w:cs="Times New Roman"/>
          <w:sz w:val="24"/>
          <w:szCs w:val="24"/>
        </w:rPr>
        <w:t>the survey</w:t>
      </w:r>
      <w:r w:rsidR="00522122" w:rsidRPr="0032506F">
        <w:rPr>
          <w:rFonts w:ascii="Times New Roman" w:hAnsi="Times New Roman" w:cs="Times New Roman"/>
          <w:sz w:val="24"/>
          <w:szCs w:val="24"/>
        </w:rPr>
        <w:t xml:space="preserve"> items and there were a wide range of online courses reported by the participants, ranging from adult education</w:t>
      </w:r>
      <w:r w:rsidR="00DB0807" w:rsidRPr="0032506F">
        <w:rPr>
          <w:rFonts w:ascii="Times New Roman" w:hAnsi="Times New Roman" w:cs="Times New Roman"/>
          <w:sz w:val="24"/>
          <w:szCs w:val="24"/>
        </w:rPr>
        <w:t xml:space="preserve"> </w:t>
      </w:r>
      <w:r w:rsidR="00522122" w:rsidRPr="0032506F">
        <w:rPr>
          <w:rFonts w:ascii="Times New Roman" w:hAnsi="Times New Roman" w:cs="Times New Roman"/>
          <w:sz w:val="24"/>
          <w:szCs w:val="24"/>
        </w:rPr>
        <w:t>to human sexuality. The convenience sample recruited through snowball sampling made it impossible to describe any course specifics including the instructor and program characteristics.</w:t>
      </w:r>
      <w:r w:rsidR="009114BF" w:rsidRPr="0032506F">
        <w:rPr>
          <w:rFonts w:ascii="Times New Roman" w:hAnsi="Times New Roman" w:cs="Times New Roman"/>
          <w:sz w:val="24"/>
          <w:szCs w:val="24"/>
        </w:rPr>
        <w:t xml:space="preserve"> </w:t>
      </w:r>
      <w:proofErr w:type="gramStart"/>
      <w:r w:rsidR="009114BF" w:rsidRPr="0032506F">
        <w:rPr>
          <w:rFonts w:ascii="Times New Roman" w:hAnsi="Times New Roman" w:cs="Times New Roman"/>
          <w:sz w:val="24"/>
          <w:szCs w:val="24"/>
        </w:rPr>
        <w:t>The majority of</w:t>
      </w:r>
      <w:proofErr w:type="gramEnd"/>
      <w:r w:rsidR="009114BF" w:rsidRPr="0032506F">
        <w:rPr>
          <w:rFonts w:ascii="Times New Roman" w:hAnsi="Times New Roman" w:cs="Times New Roman"/>
          <w:sz w:val="24"/>
          <w:szCs w:val="24"/>
        </w:rPr>
        <w:t xml:space="preserve"> the participants (70.2 %) reported learning fully asynchronous and mostly asynchronous online (70.2%)</w:t>
      </w:r>
      <w:r w:rsidR="00421083" w:rsidRPr="0032506F">
        <w:rPr>
          <w:rFonts w:ascii="Times New Roman" w:hAnsi="Times New Roman" w:cs="Times New Roman"/>
          <w:sz w:val="24"/>
          <w:szCs w:val="24"/>
        </w:rPr>
        <w:t>. A</w:t>
      </w:r>
      <w:r w:rsidR="00522122" w:rsidRPr="0032506F">
        <w:rPr>
          <w:rFonts w:ascii="Times New Roman" w:hAnsi="Times New Roman" w:cs="Times New Roman"/>
          <w:sz w:val="24"/>
          <w:szCs w:val="24"/>
        </w:rPr>
        <w:t xml:space="preserve">ll </w:t>
      </w:r>
      <w:r w:rsidR="00421083" w:rsidRPr="0032506F">
        <w:rPr>
          <w:rFonts w:ascii="Times New Roman" w:hAnsi="Times New Roman" w:cs="Times New Roman"/>
          <w:sz w:val="24"/>
          <w:szCs w:val="24"/>
        </w:rPr>
        <w:t xml:space="preserve">participants </w:t>
      </w:r>
      <w:r w:rsidR="00522122" w:rsidRPr="0032506F">
        <w:rPr>
          <w:rFonts w:ascii="Times New Roman" w:hAnsi="Times New Roman" w:cs="Times New Roman"/>
          <w:sz w:val="24"/>
          <w:szCs w:val="24"/>
        </w:rPr>
        <w:t>(</w:t>
      </w:r>
      <w:r w:rsidR="00522122" w:rsidRPr="0032506F">
        <w:rPr>
          <w:rFonts w:ascii="Times New Roman" w:hAnsi="Times New Roman" w:cs="Times New Roman"/>
          <w:i/>
          <w:sz w:val="24"/>
          <w:szCs w:val="24"/>
        </w:rPr>
        <w:t>N</w:t>
      </w:r>
      <w:r w:rsidR="00522122" w:rsidRPr="0032506F">
        <w:rPr>
          <w:rFonts w:ascii="Times New Roman" w:hAnsi="Times New Roman" w:cs="Times New Roman"/>
          <w:sz w:val="24"/>
          <w:szCs w:val="24"/>
        </w:rPr>
        <w:t xml:space="preserve">=235) reported that in their online course there </w:t>
      </w:r>
      <w:r w:rsidR="00522122" w:rsidRPr="0032506F">
        <w:rPr>
          <w:rFonts w:ascii="Times New Roman" w:hAnsi="Times New Roman" w:cs="Times New Roman"/>
          <w:sz w:val="24"/>
          <w:szCs w:val="24"/>
        </w:rPr>
        <w:lastRenderedPageBreak/>
        <w:t>were regular (e.g., weekly, biweekly) online discussions happening on the discussion board/in the discussion forum</w:t>
      </w:r>
      <w:r w:rsidR="00DE43BF" w:rsidRPr="0032506F">
        <w:rPr>
          <w:rFonts w:ascii="Times New Roman" w:hAnsi="Times New Roman" w:cs="Times New Roman"/>
          <w:sz w:val="24"/>
          <w:szCs w:val="24"/>
        </w:rPr>
        <w:t xml:space="preserve"> (inclusion criterion 3)</w:t>
      </w:r>
      <w:r w:rsidR="00522122" w:rsidRPr="0032506F">
        <w:rPr>
          <w:rFonts w:ascii="Times New Roman" w:hAnsi="Times New Roman" w:cs="Times New Roman"/>
          <w:sz w:val="24"/>
          <w:szCs w:val="24"/>
        </w:rPr>
        <w:t>.</w:t>
      </w:r>
    </w:p>
    <w:p w14:paraId="76FA3BDE" w14:textId="2B9AC1D0" w:rsidR="00EF07BE" w:rsidRPr="0032506F" w:rsidRDefault="00D22918" w:rsidP="00570627">
      <w:pPr>
        <w:spacing w:after="0" w:line="480" w:lineRule="auto"/>
        <w:rPr>
          <w:rFonts w:ascii="Times New Roman" w:hAnsi="Times New Roman" w:cs="Times New Roman"/>
          <w:b/>
          <w:bCs/>
          <w:sz w:val="24"/>
          <w:szCs w:val="24"/>
        </w:rPr>
      </w:pPr>
      <w:r w:rsidRPr="0032506F">
        <w:tab/>
      </w:r>
      <w:r w:rsidR="00906066" w:rsidRPr="0032506F">
        <w:rPr>
          <w:rStyle w:val="Heading4Char"/>
          <w:rFonts w:ascii="Times New Roman" w:hAnsi="Times New Roman" w:cs="Times New Roman"/>
          <w:b/>
          <w:bCs/>
          <w:i w:val="0"/>
          <w:iCs w:val="0"/>
          <w:color w:val="auto"/>
          <w:sz w:val="24"/>
          <w:szCs w:val="24"/>
        </w:rPr>
        <w:t xml:space="preserve">Participants’ </w:t>
      </w:r>
      <w:r w:rsidR="00612D48" w:rsidRPr="0032506F">
        <w:rPr>
          <w:rStyle w:val="Heading4Char"/>
          <w:rFonts w:ascii="Times New Roman" w:hAnsi="Times New Roman" w:cs="Times New Roman"/>
          <w:b/>
          <w:bCs/>
          <w:i w:val="0"/>
          <w:iCs w:val="0"/>
          <w:color w:val="auto"/>
          <w:sz w:val="24"/>
          <w:szCs w:val="24"/>
        </w:rPr>
        <w:t>Inclusi</w:t>
      </w:r>
      <w:r w:rsidR="00485246" w:rsidRPr="0032506F">
        <w:rPr>
          <w:rStyle w:val="Heading4Char"/>
          <w:rFonts w:ascii="Times New Roman" w:hAnsi="Times New Roman" w:cs="Times New Roman"/>
          <w:b/>
          <w:bCs/>
          <w:i w:val="0"/>
          <w:iCs w:val="0"/>
          <w:color w:val="auto"/>
          <w:sz w:val="24"/>
          <w:szCs w:val="24"/>
        </w:rPr>
        <w:t>veness</w:t>
      </w:r>
      <w:r w:rsidR="00612D48" w:rsidRPr="0032506F">
        <w:rPr>
          <w:rStyle w:val="Heading4Char"/>
          <w:rFonts w:ascii="Times New Roman" w:hAnsi="Times New Roman" w:cs="Times New Roman"/>
          <w:b/>
          <w:bCs/>
          <w:i w:val="0"/>
          <w:iCs w:val="0"/>
          <w:color w:val="auto"/>
          <w:sz w:val="24"/>
          <w:szCs w:val="24"/>
        </w:rPr>
        <w:t>, Bias, and Accessibility Characteristics.</w:t>
      </w:r>
      <w:r w:rsidR="00612D48" w:rsidRPr="0032506F">
        <w:rPr>
          <w:rFonts w:ascii="Times New Roman" w:hAnsi="Times New Roman" w:cs="Times New Roman"/>
          <w:b/>
          <w:bCs/>
          <w:i/>
          <w:iCs/>
          <w:sz w:val="24"/>
          <w:szCs w:val="24"/>
        </w:rPr>
        <w:t xml:space="preserve"> </w:t>
      </w:r>
      <w:r w:rsidR="009D627C" w:rsidRPr="0032506F">
        <w:rPr>
          <w:rFonts w:ascii="Times New Roman" w:hAnsi="Times New Roman" w:cs="Times New Roman"/>
          <w:sz w:val="24"/>
          <w:szCs w:val="24"/>
        </w:rPr>
        <w:t>A total of 234 participants responded to the inclusiveness, bias, and accessibility questions. Of the 234 participants, 36.8%</w:t>
      </w:r>
      <w:r w:rsidR="001252F6" w:rsidRPr="0032506F">
        <w:rPr>
          <w:rFonts w:ascii="Times New Roman" w:hAnsi="Times New Roman" w:cs="Times New Roman"/>
          <w:sz w:val="24"/>
          <w:szCs w:val="24"/>
        </w:rPr>
        <w:t xml:space="preserve"> (</w:t>
      </w:r>
      <w:r w:rsidR="001252F6" w:rsidRPr="0032506F">
        <w:rPr>
          <w:rFonts w:ascii="Times New Roman" w:hAnsi="Times New Roman" w:cs="Times New Roman"/>
          <w:i/>
          <w:iCs/>
          <w:sz w:val="24"/>
          <w:szCs w:val="24"/>
        </w:rPr>
        <w:t>n</w:t>
      </w:r>
      <w:r w:rsidR="001252F6" w:rsidRPr="0032506F">
        <w:rPr>
          <w:rFonts w:ascii="Times New Roman" w:hAnsi="Times New Roman" w:cs="Times New Roman"/>
          <w:sz w:val="24"/>
          <w:szCs w:val="24"/>
        </w:rPr>
        <w:t>=86) reported that they were a first-generation college student in their family</w:t>
      </w:r>
      <w:r w:rsidR="00D14358" w:rsidRPr="0032506F">
        <w:rPr>
          <w:rFonts w:ascii="Times New Roman" w:hAnsi="Times New Roman" w:cs="Times New Roman"/>
          <w:sz w:val="24"/>
          <w:szCs w:val="24"/>
        </w:rPr>
        <w:t>.</w:t>
      </w:r>
      <w:r w:rsidR="0015346D" w:rsidRPr="0032506F">
        <w:rPr>
          <w:rFonts w:ascii="Times New Roman" w:hAnsi="Times New Roman" w:cs="Times New Roman"/>
          <w:sz w:val="24"/>
          <w:szCs w:val="24"/>
        </w:rPr>
        <w:t xml:space="preserve"> </w:t>
      </w:r>
      <w:hyperlink w:anchor="_Appendix_H_" w:history="1">
        <w:r w:rsidR="00284B98" w:rsidRPr="0032506F">
          <w:rPr>
            <w:rStyle w:val="Hyperlink"/>
            <w:rFonts w:ascii="Times New Roman" w:hAnsi="Times New Roman" w:cs="Times New Roman"/>
            <w:sz w:val="24"/>
            <w:szCs w:val="24"/>
          </w:rPr>
          <w:t xml:space="preserve">Appendix </w:t>
        </w:r>
        <w:r w:rsidR="00EB0DCF">
          <w:rPr>
            <w:rStyle w:val="Hyperlink"/>
            <w:rFonts w:ascii="Times New Roman" w:hAnsi="Times New Roman" w:cs="Times New Roman"/>
            <w:sz w:val="24"/>
            <w:szCs w:val="24"/>
          </w:rPr>
          <w:t>H</w:t>
        </w:r>
      </w:hyperlink>
      <w:r w:rsidR="00284B98" w:rsidRPr="0032506F">
        <w:rPr>
          <w:rFonts w:ascii="Times New Roman" w:hAnsi="Times New Roman" w:cs="Times New Roman"/>
          <w:sz w:val="24"/>
          <w:szCs w:val="24"/>
        </w:rPr>
        <w:t xml:space="preserve"> </w:t>
      </w:r>
      <w:r w:rsidR="00397772" w:rsidRPr="0032506F">
        <w:rPr>
          <w:rFonts w:ascii="Times New Roman" w:hAnsi="Times New Roman" w:cs="Times New Roman"/>
          <w:sz w:val="24"/>
          <w:szCs w:val="24"/>
        </w:rPr>
        <w:t>presents</w:t>
      </w:r>
      <w:r w:rsidR="00AF5E1E" w:rsidRPr="0032506F">
        <w:rPr>
          <w:rFonts w:ascii="Times New Roman" w:hAnsi="Times New Roman" w:cs="Times New Roman"/>
          <w:sz w:val="24"/>
          <w:szCs w:val="24"/>
        </w:rPr>
        <w:t xml:space="preserve"> a summary of </w:t>
      </w:r>
      <w:r w:rsidR="00E17083" w:rsidRPr="0032506F">
        <w:rPr>
          <w:rFonts w:ascii="Times New Roman" w:hAnsi="Times New Roman" w:cs="Times New Roman"/>
          <w:sz w:val="24"/>
          <w:szCs w:val="24"/>
        </w:rPr>
        <w:t xml:space="preserve">the </w:t>
      </w:r>
      <w:r w:rsidR="00AF5E1E" w:rsidRPr="0032506F">
        <w:rPr>
          <w:rFonts w:ascii="Times New Roman" w:hAnsi="Times New Roman" w:cs="Times New Roman"/>
          <w:sz w:val="24"/>
          <w:szCs w:val="24"/>
        </w:rPr>
        <w:t>participants’ perceptions regarding</w:t>
      </w:r>
      <w:r w:rsidR="0082491E" w:rsidRPr="0032506F">
        <w:rPr>
          <w:rFonts w:ascii="Times New Roman" w:hAnsi="Times New Roman" w:cs="Times New Roman"/>
          <w:sz w:val="24"/>
          <w:szCs w:val="24"/>
        </w:rPr>
        <w:t xml:space="preserve"> inclusiveness</w:t>
      </w:r>
      <w:r w:rsidR="00794D50" w:rsidRPr="0032506F">
        <w:rPr>
          <w:rFonts w:ascii="Times New Roman" w:hAnsi="Times New Roman" w:cs="Times New Roman"/>
          <w:sz w:val="24"/>
          <w:szCs w:val="24"/>
        </w:rPr>
        <w:t xml:space="preserve"> and </w:t>
      </w:r>
      <w:r w:rsidR="0082491E" w:rsidRPr="0032506F">
        <w:rPr>
          <w:rFonts w:ascii="Times New Roman" w:hAnsi="Times New Roman" w:cs="Times New Roman"/>
          <w:sz w:val="24"/>
          <w:szCs w:val="24"/>
        </w:rPr>
        <w:t>bias</w:t>
      </w:r>
      <w:r w:rsidR="00E17083" w:rsidRPr="0032506F">
        <w:rPr>
          <w:rFonts w:ascii="Times New Roman" w:hAnsi="Times New Roman" w:cs="Times New Roman"/>
          <w:sz w:val="24"/>
          <w:szCs w:val="24"/>
        </w:rPr>
        <w:t xml:space="preserve"> in their online courses. </w:t>
      </w:r>
      <w:r w:rsidR="00D5497E" w:rsidRPr="0032506F">
        <w:rPr>
          <w:rFonts w:ascii="Times New Roman" w:hAnsi="Times New Roman" w:cs="Times New Roman"/>
          <w:sz w:val="24"/>
          <w:szCs w:val="24"/>
        </w:rPr>
        <w:t xml:space="preserve">A large majority of the participants </w:t>
      </w:r>
      <w:r w:rsidR="00D53B94" w:rsidRPr="0032506F">
        <w:rPr>
          <w:rFonts w:ascii="Times New Roman" w:hAnsi="Times New Roman" w:cs="Times New Roman"/>
          <w:sz w:val="24"/>
          <w:szCs w:val="24"/>
        </w:rPr>
        <w:t xml:space="preserve">(88.5 %, </w:t>
      </w:r>
      <w:r w:rsidR="00D53B94" w:rsidRPr="0032506F">
        <w:rPr>
          <w:rFonts w:ascii="Times New Roman" w:hAnsi="Times New Roman" w:cs="Times New Roman"/>
          <w:i/>
          <w:iCs/>
          <w:sz w:val="24"/>
          <w:szCs w:val="24"/>
        </w:rPr>
        <w:t>n</w:t>
      </w:r>
      <w:r w:rsidR="00D53B94" w:rsidRPr="0032506F">
        <w:rPr>
          <w:rFonts w:ascii="Times New Roman" w:hAnsi="Times New Roman" w:cs="Times New Roman"/>
          <w:sz w:val="24"/>
          <w:szCs w:val="24"/>
        </w:rPr>
        <w:t>=207) reported that they had not experienced any accessibility issues while taking online courses, while 27 participants (11.5%) reported that they had experienced some accessibility issues</w:t>
      </w:r>
      <w:r w:rsidR="00284B98" w:rsidRPr="0032506F">
        <w:rPr>
          <w:rFonts w:ascii="Times New Roman" w:hAnsi="Times New Roman" w:cs="Times New Roman"/>
          <w:sz w:val="24"/>
          <w:szCs w:val="24"/>
        </w:rPr>
        <w:t xml:space="preserve"> (see </w:t>
      </w:r>
      <w:hyperlink w:anchor="_Appendix_H_" w:history="1">
        <w:r w:rsidR="00284B98" w:rsidRPr="0032506F">
          <w:rPr>
            <w:rStyle w:val="Hyperlink"/>
            <w:rFonts w:ascii="Times New Roman" w:hAnsi="Times New Roman" w:cs="Times New Roman"/>
            <w:sz w:val="24"/>
            <w:szCs w:val="24"/>
          </w:rPr>
          <w:t xml:space="preserve">Appendix </w:t>
        </w:r>
        <w:r w:rsidR="00EB0DCF">
          <w:rPr>
            <w:rStyle w:val="Hyperlink"/>
            <w:rFonts w:ascii="Times New Roman" w:hAnsi="Times New Roman" w:cs="Times New Roman"/>
            <w:sz w:val="24"/>
            <w:szCs w:val="24"/>
          </w:rPr>
          <w:t>H</w:t>
        </w:r>
      </w:hyperlink>
      <w:r w:rsidR="00284B98" w:rsidRPr="0032506F">
        <w:rPr>
          <w:rFonts w:ascii="Times New Roman" w:hAnsi="Times New Roman" w:cs="Times New Roman"/>
          <w:sz w:val="24"/>
          <w:szCs w:val="24"/>
        </w:rPr>
        <w:t xml:space="preserve">). </w:t>
      </w:r>
    </w:p>
    <w:p w14:paraId="23D2F369" w14:textId="308D875E" w:rsidR="00522122" w:rsidRPr="0032506F" w:rsidRDefault="00522122" w:rsidP="009B4D2F">
      <w:pPr>
        <w:spacing w:after="0" w:line="480" w:lineRule="auto"/>
        <w:rPr>
          <w:rFonts w:ascii="Times New Roman" w:eastAsia="Calibri" w:hAnsi="Times New Roman" w:cs="Times New Roman"/>
          <w:b/>
          <w:bCs/>
          <w:sz w:val="24"/>
          <w:szCs w:val="24"/>
        </w:rPr>
      </w:pPr>
      <w:r w:rsidRPr="0032506F">
        <w:rPr>
          <w:rFonts w:ascii="Times New Roman" w:eastAsia="Calibri" w:hAnsi="Times New Roman" w:cs="Times New Roman"/>
          <w:b/>
          <w:bCs/>
          <w:sz w:val="24"/>
          <w:szCs w:val="24"/>
        </w:rPr>
        <w:t>Procedure</w:t>
      </w:r>
    </w:p>
    <w:p w14:paraId="507F6787" w14:textId="1AB07431" w:rsidR="00812706" w:rsidRPr="0032506F" w:rsidRDefault="00522122" w:rsidP="00C64BF3">
      <w:pPr>
        <w:tabs>
          <w:tab w:val="left" w:pos="720"/>
          <w:tab w:val="left" w:pos="2826"/>
        </w:tabs>
        <w:spacing w:line="480" w:lineRule="auto"/>
        <w:contextualSpacing/>
        <w:rPr>
          <w:rFonts w:ascii="Times New Roman" w:hAnsi="Times New Roman"/>
          <w:bCs/>
          <w:color w:val="000000" w:themeColor="text1"/>
          <w:sz w:val="24"/>
          <w:szCs w:val="24"/>
        </w:rPr>
      </w:pPr>
      <w:r w:rsidRPr="0032506F">
        <w:rPr>
          <w:rFonts w:ascii="Times New Roman" w:hAnsi="Times New Roman"/>
          <w:bCs/>
          <w:color w:val="000000" w:themeColor="text1"/>
          <w:sz w:val="24"/>
          <w:szCs w:val="24"/>
        </w:rPr>
        <w:tab/>
        <w:t xml:space="preserve">After the IRB approval of </w:t>
      </w:r>
      <w:r w:rsidR="005F1198" w:rsidRPr="0032506F">
        <w:rPr>
          <w:rFonts w:ascii="Times New Roman" w:hAnsi="Times New Roman"/>
          <w:bCs/>
          <w:color w:val="000000" w:themeColor="text1"/>
          <w:sz w:val="24"/>
          <w:szCs w:val="24"/>
        </w:rPr>
        <w:t xml:space="preserve">the </w:t>
      </w:r>
      <w:r w:rsidRPr="0032506F">
        <w:rPr>
          <w:rFonts w:ascii="Times New Roman" w:hAnsi="Times New Roman"/>
          <w:bCs/>
          <w:color w:val="000000" w:themeColor="text1"/>
          <w:sz w:val="24"/>
          <w:szCs w:val="24"/>
        </w:rPr>
        <w:t>study</w:t>
      </w:r>
      <w:r w:rsidR="002B55FF" w:rsidRPr="0032506F">
        <w:rPr>
          <w:rFonts w:ascii="Times New Roman" w:hAnsi="Times New Roman"/>
          <w:bCs/>
          <w:color w:val="000000" w:themeColor="text1"/>
          <w:sz w:val="24"/>
          <w:szCs w:val="24"/>
        </w:rPr>
        <w:t>,</w:t>
      </w:r>
      <w:r w:rsidRPr="0032506F">
        <w:rPr>
          <w:rFonts w:ascii="Times New Roman" w:hAnsi="Times New Roman"/>
          <w:color w:val="000000" w:themeColor="text1"/>
          <w:sz w:val="24"/>
          <w:szCs w:val="24"/>
        </w:rPr>
        <w:t xml:space="preserve"> </w:t>
      </w:r>
      <w:r w:rsidR="00395AAE" w:rsidRPr="0032506F">
        <w:rPr>
          <w:rFonts w:ascii="Times New Roman" w:hAnsi="Times New Roman"/>
          <w:color w:val="000000" w:themeColor="text1"/>
          <w:sz w:val="24"/>
          <w:szCs w:val="24"/>
        </w:rPr>
        <w:t xml:space="preserve">through </w:t>
      </w:r>
      <w:r w:rsidRPr="0032506F">
        <w:rPr>
          <w:rFonts w:ascii="Times New Roman" w:hAnsi="Times New Roman"/>
          <w:color w:val="000000" w:themeColor="text1"/>
          <w:sz w:val="24"/>
          <w:szCs w:val="24"/>
        </w:rPr>
        <w:t>online program coordinators</w:t>
      </w:r>
      <w:r w:rsidR="00812706" w:rsidRPr="0032506F">
        <w:rPr>
          <w:rFonts w:ascii="Times New Roman" w:hAnsi="Times New Roman"/>
          <w:color w:val="000000" w:themeColor="text1"/>
          <w:sz w:val="24"/>
          <w:szCs w:val="24"/>
        </w:rPr>
        <w:t xml:space="preserve"> and department heads</w:t>
      </w:r>
      <w:r w:rsidR="00E20461" w:rsidRPr="0032506F">
        <w:rPr>
          <w:rFonts w:ascii="Times New Roman" w:hAnsi="Times New Roman"/>
          <w:color w:val="000000" w:themeColor="text1"/>
          <w:sz w:val="24"/>
          <w:szCs w:val="24"/>
        </w:rPr>
        <w:t xml:space="preserve">, </w:t>
      </w:r>
      <w:r w:rsidR="00395AAE" w:rsidRPr="0032506F">
        <w:rPr>
          <w:rFonts w:ascii="Times New Roman" w:hAnsi="Times New Roman"/>
          <w:color w:val="000000" w:themeColor="text1"/>
          <w:sz w:val="24"/>
          <w:szCs w:val="24"/>
        </w:rPr>
        <w:t xml:space="preserve">online course instructors </w:t>
      </w:r>
      <w:r w:rsidR="00E20461" w:rsidRPr="0032506F">
        <w:rPr>
          <w:rFonts w:ascii="Times New Roman" w:hAnsi="Times New Roman"/>
          <w:color w:val="000000" w:themeColor="text1"/>
          <w:sz w:val="24"/>
          <w:szCs w:val="24"/>
        </w:rPr>
        <w:t xml:space="preserve">teaching online within their programs/departments during Fall 2021 semester </w:t>
      </w:r>
      <w:r w:rsidRPr="0032506F">
        <w:rPr>
          <w:rFonts w:ascii="Times New Roman" w:hAnsi="Times New Roman"/>
          <w:color w:val="000000" w:themeColor="text1"/>
          <w:sz w:val="24"/>
          <w:szCs w:val="24"/>
        </w:rPr>
        <w:t>at my institution</w:t>
      </w:r>
      <w:r w:rsidR="0035735F" w:rsidRPr="0032506F">
        <w:rPr>
          <w:rFonts w:ascii="Times New Roman" w:hAnsi="Times New Roman"/>
          <w:color w:val="000000" w:themeColor="text1"/>
          <w:sz w:val="24"/>
          <w:szCs w:val="24"/>
        </w:rPr>
        <w:t xml:space="preserve"> were accessed</w:t>
      </w:r>
      <w:r w:rsidRPr="0032506F">
        <w:rPr>
          <w:rFonts w:ascii="Times New Roman" w:hAnsi="Times New Roman"/>
          <w:color w:val="000000" w:themeColor="text1"/>
          <w:sz w:val="24"/>
          <w:szCs w:val="24"/>
        </w:rPr>
        <w:t xml:space="preserve"> via an IRB-approved invitation email</w:t>
      </w:r>
      <w:r w:rsidR="00E20461" w:rsidRPr="0032506F">
        <w:rPr>
          <w:rFonts w:ascii="Times New Roman" w:hAnsi="Times New Roman"/>
          <w:color w:val="000000" w:themeColor="text1"/>
          <w:sz w:val="24"/>
          <w:szCs w:val="24"/>
        </w:rPr>
        <w:t xml:space="preserve">. </w:t>
      </w:r>
      <w:r w:rsidR="00087CD6" w:rsidRPr="0032506F">
        <w:rPr>
          <w:rFonts w:ascii="Times New Roman" w:hAnsi="Times New Roman"/>
          <w:color w:val="000000" w:themeColor="text1"/>
          <w:sz w:val="24"/>
          <w:szCs w:val="24"/>
        </w:rPr>
        <w:t>Further communication</w:t>
      </w:r>
      <w:r w:rsidRPr="0032506F">
        <w:rPr>
          <w:rFonts w:ascii="Times New Roman" w:hAnsi="Times New Roman"/>
          <w:color w:val="000000" w:themeColor="text1"/>
          <w:sz w:val="24"/>
          <w:szCs w:val="24"/>
        </w:rPr>
        <w:t xml:space="preserve"> with </w:t>
      </w:r>
      <w:r w:rsidR="00E20461"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instructors</w:t>
      </w:r>
      <w:r w:rsidR="00812706" w:rsidRPr="0032506F">
        <w:rPr>
          <w:rFonts w:ascii="Times New Roman" w:hAnsi="Times New Roman"/>
          <w:color w:val="000000" w:themeColor="text1"/>
          <w:sz w:val="24"/>
          <w:szCs w:val="24"/>
        </w:rPr>
        <w:t xml:space="preserve"> wishing to encourage their students to participate in this study</w:t>
      </w:r>
      <w:r w:rsidR="00087CD6" w:rsidRPr="0032506F">
        <w:rPr>
          <w:rFonts w:ascii="Times New Roman" w:hAnsi="Times New Roman"/>
          <w:color w:val="000000" w:themeColor="text1"/>
          <w:sz w:val="24"/>
          <w:szCs w:val="24"/>
        </w:rPr>
        <w:t xml:space="preserve"> was conducted</w:t>
      </w:r>
      <w:r w:rsidRPr="0032506F">
        <w:rPr>
          <w:rFonts w:ascii="Times New Roman" w:hAnsi="Times New Roman"/>
          <w:color w:val="000000" w:themeColor="text1"/>
          <w:sz w:val="24"/>
          <w:szCs w:val="24"/>
        </w:rPr>
        <w:t xml:space="preserve"> about the details and then they started sharing </w:t>
      </w:r>
      <w:r w:rsidR="00CD6802"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survey with their students. </w:t>
      </w:r>
      <w:r w:rsidR="00B6373C" w:rsidRPr="0032506F">
        <w:rPr>
          <w:rFonts w:ascii="Times New Roman" w:hAnsi="Times New Roman"/>
          <w:color w:val="000000" w:themeColor="text1"/>
          <w:sz w:val="24"/>
          <w:szCs w:val="24"/>
        </w:rPr>
        <w:t>T</w:t>
      </w:r>
      <w:r w:rsidR="00CD6802" w:rsidRPr="0032506F">
        <w:rPr>
          <w:rFonts w:ascii="Times New Roman" w:hAnsi="Times New Roman"/>
          <w:color w:val="000000" w:themeColor="text1"/>
          <w:sz w:val="24"/>
          <w:szCs w:val="24"/>
        </w:rPr>
        <w:t xml:space="preserve">he </w:t>
      </w:r>
      <w:r w:rsidRPr="0032506F">
        <w:rPr>
          <w:rFonts w:ascii="Times New Roman" w:hAnsi="Times New Roman"/>
          <w:color w:val="000000" w:themeColor="text1"/>
          <w:sz w:val="24"/>
          <w:szCs w:val="24"/>
        </w:rPr>
        <w:t>university’s mass email system</w:t>
      </w:r>
      <w:r w:rsidR="00B6373C" w:rsidRPr="0032506F">
        <w:rPr>
          <w:rFonts w:ascii="Times New Roman" w:hAnsi="Times New Roman"/>
          <w:color w:val="000000" w:themeColor="text1"/>
          <w:sz w:val="24"/>
          <w:szCs w:val="24"/>
        </w:rPr>
        <w:t xml:space="preserve"> was also used</w:t>
      </w:r>
      <w:r w:rsidRPr="0032506F">
        <w:rPr>
          <w:rFonts w:ascii="Times New Roman" w:hAnsi="Times New Roman"/>
          <w:color w:val="000000" w:themeColor="text1"/>
          <w:sz w:val="24"/>
          <w:szCs w:val="24"/>
        </w:rPr>
        <w:t xml:space="preserve"> to share</w:t>
      </w:r>
      <w:r w:rsidR="00CD6802" w:rsidRPr="0032506F">
        <w:rPr>
          <w:rFonts w:ascii="Times New Roman" w:hAnsi="Times New Roman"/>
          <w:color w:val="000000" w:themeColor="text1"/>
          <w:sz w:val="24"/>
          <w:szCs w:val="24"/>
        </w:rPr>
        <w:t xml:space="preserve"> the</w:t>
      </w:r>
      <w:r w:rsidRPr="0032506F">
        <w:rPr>
          <w:rFonts w:ascii="Times New Roman" w:hAnsi="Times New Roman"/>
          <w:color w:val="000000" w:themeColor="text1"/>
          <w:sz w:val="24"/>
          <w:szCs w:val="24"/>
        </w:rPr>
        <w:t xml:space="preserve"> online survey with all</w:t>
      </w:r>
      <w:r w:rsidR="002B55FF"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undergraduate and graduate students</w:t>
      </w:r>
      <w:r w:rsidR="002B55FF"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at </w:t>
      </w:r>
      <w:r w:rsidR="00CD6802"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institution. </w:t>
      </w:r>
      <w:r w:rsidR="00B6373C" w:rsidRPr="0032506F">
        <w:rPr>
          <w:rFonts w:ascii="Times New Roman" w:hAnsi="Times New Roman"/>
          <w:color w:val="000000" w:themeColor="text1"/>
          <w:sz w:val="24"/>
          <w:szCs w:val="24"/>
        </w:rPr>
        <w:t>O</w:t>
      </w:r>
      <w:r w:rsidRPr="0032506F">
        <w:rPr>
          <w:rFonts w:ascii="Times New Roman" w:hAnsi="Times New Roman"/>
          <w:color w:val="000000" w:themeColor="text1"/>
          <w:sz w:val="24"/>
          <w:szCs w:val="24"/>
        </w:rPr>
        <w:t>nline program coordinators and course instructors at other U.S. institutions both in Oklahoma and other U.S. state</w:t>
      </w:r>
      <w:r w:rsidR="002B55FF" w:rsidRPr="0032506F">
        <w:rPr>
          <w:rFonts w:ascii="Times New Roman" w:hAnsi="Times New Roman"/>
          <w:color w:val="000000" w:themeColor="text1"/>
          <w:sz w:val="24"/>
          <w:szCs w:val="24"/>
        </w:rPr>
        <w:t>s</w:t>
      </w:r>
      <w:r w:rsidR="00B6373C" w:rsidRPr="0032506F">
        <w:rPr>
          <w:rFonts w:ascii="Times New Roman" w:hAnsi="Times New Roman"/>
          <w:color w:val="000000" w:themeColor="text1"/>
          <w:sz w:val="24"/>
          <w:szCs w:val="24"/>
        </w:rPr>
        <w:t xml:space="preserve"> were also invited</w:t>
      </w:r>
      <w:r w:rsidR="002B55FF"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and s</w:t>
      </w:r>
      <w:r w:rsidR="00CC291A" w:rsidRPr="0032506F">
        <w:rPr>
          <w:rFonts w:ascii="Times New Roman" w:hAnsi="Times New Roman"/>
          <w:color w:val="000000" w:themeColor="text1"/>
          <w:sz w:val="24"/>
          <w:szCs w:val="24"/>
        </w:rPr>
        <w:t xml:space="preserve">ent </w:t>
      </w:r>
      <w:r w:rsidRPr="0032506F">
        <w:rPr>
          <w:rFonts w:ascii="Times New Roman" w:hAnsi="Times New Roman"/>
          <w:color w:val="000000" w:themeColor="text1"/>
          <w:sz w:val="24"/>
          <w:szCs w:val="24"/>
        </w:rPr>
        <w:t>the recruitment materials as well.</w:t>
      </w:r>
      <w:r w:rsidRPr="0032506F">
        <w:rPr>
          <w:rFonts w:ascii="Times New Roman" w:hAnsi="Times New Roman"/>
          <w:b/>
          <w:bCs/>
          <w:color w:val="000000" w:themeColor="text1"/>
          <w:sz w:val="24"/>
          <w:szCs w:val="24"/>
        </w:rPr>
        <w:t xml:space="preserve"> </w:t>
      </w:r>
      <w:r w:rsidRPr="0032506F">
        <w:rPr>
          <w:rFonts w:ascii="Times New Roman" w:hAnsi="Times New Roman"/>
          <w:color w:val="000000" w:themeColor="text1"/>
          <w:sz w:val="24"/>
          <w:szCs w:val="24"/>
        </w:rPr>
        <w:t xml:space="preserve">In doing so, </w:t>
      </w:r>
      <w:r w:rsidR="00CC291A" w:rsidRPr="0032506F">
        <w:rPr>
          <w:rFonts w:ascii="Times New Roman" w:hAnsi="Times New Roman"/>
          <w:color w:val="000000" w:themeColor="text1"/>
          <w:sz w:val="24"/>
          <w:szCs w:val="24"/>
        </w:rPr>
        <w:t xml:space="preserve">the </w:t>
      </w:r>
      <w:r w:rsidR="00F25F1A" w:rsidRPr="0032506F">
        <w:rPr>
          <w:rFonts w:ascii="Times New Roman" w:hAnsi="Times New Roman"/>
          <w:color w:val="000000" w:themeColor="text1"/>
          <w:sz w:val="24"/>
          <w:szCs w:val="24"/>
        </w:rPr>
        <w:t>aim was</w:t>
      </w:r>
      <w:r w:rsidRPr="0032506F">
        <w:rPr>
          <w:rFonts w:ascii="Times New Roman" w:hAnsi="Times New Roman"/>
          <w:color w:val="000000" w:themeColor="text1"/>
          <w:sz w:val="24"/>
          <w:szCs w:val="24"/>
        </w:rPr>
        <w:t xml:space="preserve"> to obtain </w:t>
      </w:r>
      <w:r w:rsidRPr="0032506F">
        <w:rPr>
          <w:rFonts w:ascii="Times New Roman" w:hAnsi="Times New Roman"/>
          <w:bCs/>
          <w:color w:val="000000" w:themeColor="text1"/>
          <w:sz w:val="24"/>
          <w:szCs w:val="24"/>
        </w:rPr>
        <w:t>a multi-course, multi-disciplinary, and multi-institutional sample of online undergraduate and graduate students</w:t>
      </w:r>
      <w:r w:rsidR="002B55FF" w:rsidRPr="0032506F">
        <w:rPr>
          <w:rFonts w:ascii="Times New Roman" w:hAnsi="Times New Roman"/>
          <w:bCs/>
          <w:color w:val="000000" w:themeColor="text1"/>
          <w:sz w:val="24"/>
          <w:szCs w:val="24"/>
        </w:rPr>
        <w:t xml:space="preserve">. </w:t>
      </w:r>
      <w:r w:rsidRPr="0032506F">
        <w:rPr>
          <w:rFonts w:ascii="Times New Roman" w:hAnsi="Times New Roman"/>
          <w:bCs/>
          <w:color w:val="000000" w:themeColor="text1"/>
          <w:sz w:val="24"/>
          <w:szCs w:val="24"/>
        </w:rPr>
        <w:t xml:space="preserve">The online survey was administered around the middle of Fall 2021 academic semester so that the </w:t>
      </w:r>
      <w:r w:rsidRPr="0032506F">
        <w:rPr>
          <w:rFonts w:ascii="Times New Roman" w:hAnsi="Times New Roman"/>
          <w:bCs/>
          <w:color w:val="000000" w:themeColor="text1"/>
          <w:sz w:val="24"/>
          <w:szCs w:val="24"/>
        </w:rPr>
        <w:lastRenderedPageBreak/>
        <w:t xml:space="preserve">participants had spent a considerable amount of time in their online courses and developed their online course practices and experiences. </w:t>
      </w:r>
    </w:p>
    <w:p w14:paraId="6F8262FE" w14:textId="299F31EB" w:rsidR="00522122" w:rsidRPr="0032506F" w:rsidRDefault="00812706" w:rsidP="00C64BF3">
      <w:pPr>
        <w:tabs>
          <w:tab w:val="left" w:pos="720"/>
          <w:tab w:val="left" w:pos="2826"/>
        </w:tabs>
        <w:spacing w:line="480" w:lineRule="auto"/>
        <w:contextualSpacing/>
        <w:rPr>
          <w:rFonts w:ascii="Times New Roman" w:hAnsi="Times New Roman"/>
          <w:b/>
          <w:bCs/>
          <w:color w:val="000000" w:themeColor="text1"/>
          <w:sz w:val="24"/>
          <w:szCs w:val="24"/>
        </w:rPr>
      </w:pPr>
      <w:r w:rsidRPr="0032506F">
        <w:rPr>
          <w:rFonts w:ascii="Times New Roman" w:hAnsi="Times New Roman"/>
          <w:bCs/>
          <w:color w:val="000000" w:themeColor="text1"/>
          <w:sz w:val="24"/>
          <w:szCs w:val="24"/>
        </w:rPr>
        <w:tab/>
      </w:r>
      <w:r w:rsidR="00C64BF3" w:rsidRPr="0032506F">
        <w:rPr>
          <w:rFonts w:ascii="Times New Roman" w:hAnsi="Times New Roman"/>
          <w:bCs/>
          <w:color w:val="000000" w:themeColor="text1"/>
          <w:sz w:val="24"/>
          <w:szCs w:val="24"/>
        </w:rPr>
        <w:t>The participants</w:t>
      </w:r>
      <w:r w:rsidR="00522122" w:rsidRPr="0032506F">
        <w:rPr>
          <w:rFonts w:ascii="Times New Roman" w:hAnsi="Times New Roman"/>
          <w:bCs/>
          <w:color w:val="000000" w:themeColor="text1"/>
          <w:sz w:val="24"/>
          <w:szCs w:val="24"/>
        </w:rPr>
        <w:t xml:space="preserve"> first responded to a set of online course context (OCC) questions</w:t>
      </w:r>
      <w:r w:rsidR="00C64BF3" w:rsidRPr="0032506F">
        <w:rPr>
          <w:rFonts w:ascii="Times New Roman" w:hAnsi="Times New Roman"/>
          <w:bCs/>
          <w:color w:val="000000" w:themeColor="text1"/>
          <w:sz w:val="24"/>
          <w:szCs w:val="24"/>
        </w:rPr>
        <w:t xml:space="preserve">, </w:t>
      </w:r>
      <w:r w:rsidR="00522122" w:rsidRPr="0032506F">
        <w:rPr>
          <w:rFonts w:ascii="Times New Roman" w:hAnsi="Times New Roman"/>
          <w:bCs/>
          <w:color w:val="000000" w:themeColor="text1"/>
          <w:sz w:val="24"/>
          <w:szCs w:val="24"/>
        </w:rPr>
        <w:t xml:space="preserve">next </w:t>
      </w:r>
      <w:r w:rsidR="00C64BF3" w:rsidRPr="0032506F">
        <w:rPr>
          <w:rFonts w:ascii="Times New Roman" w:hAnsi="Times New Roman"/>
          <w:bCs/>
          <w:color w:val="000000" w:themeColor="text1"/>
          <w:sz w:val="24"/>
          <w:szCs w:val="24"/>
        </w:rPr>
        <w:t>the OEHE</w:t>
      </w:r>
      <w:r w:rsidR="00522122" w:rsidRPr="0032506F">
        <w:rPr>
          <w:rFonts w:ascii="Times New Roman" w:hAnsi="Times New Roman"/>
          <w:bCs/>
          <w:color w:val="000000" w:themeColor="text1"/>
          <w:sz w:val="24"/>
          <w:szCs w:val="24"/>
        </w:rPr>
        <w:t xml:space="preserve"> items developed in this study. Then, they took another measure of student engagement, a measure of epistemic beliefs, and a measure of task value perceptions. The participants were kindly asked to think of a specific online course they were currently taking at the time of data collection while responding to all these measures </w:t>
      </w:r>
      <w:proofErr w:type="gramStart"/>
      <w:r w:rsidR="00522122" w:rsidRPr="0032506F">
        <w:rPr>
          <w:rFonts w:ascii="Times New Roman" w:hAnsi="Times New Roman"/>
          <w:bCs/>
          <w:color w:val="000000" w:themeColor="text1"/>
          <w:sz w:val="24"/>
          <w:szCs w:val="24"/>
        </w:rPr>
        <w:t>in order to</w:t>
      </w:r>
      <w:proofErr w:type="gramEnd"/>
      <w:r w:rsidR="00522122" w:rsidRPr="0032506F">
        <w:rPr>
          <w:rFonts w:ascii="Times New Roman" w:hAnsi="Times New Roman"/>
          <w:bCs/>
          <w:color w:val="000000" w:themeColor="text1"/>
          <w:sz w:val="24"/>
          <w:szCs w:val="24"/>
        </w:rPr>
        <w:t xml:space="preserve"> help them contextualize their ratings and responses. The participants finally responded to a set of demographic questions as well as a couple of inclusiveness and accessibility questions. </w:t>
      </w:r>
    </w:p>
    <w:p w14:paraId="781CAB99" w14:textId="77777777" w:rsidR="00522122" w:rsidRPr="0032506F" w:rsidRDefault="00522122" w:rsidP="00522122">
      <w:pPr>
        <w:keepNext/>
        <w:keepLines/>
        <w:spacing w:after="0" w:line="480" w:lineRule="auto"/>
        <w:outlineLvl w:val="1"/>
        <w:rPr>
          <w:rFonts w:ascii="Times New Roman" w:eastAsia="Calibri" w:hAnsi="Times New Roman" w:cs="Times New Roman"/>
          <w:b/>
          <w:bCs/>
          <w:sz w:val="24"/>
          <w:szCs w:val="24"/>
        </w:rPr>
      </w:pPr>
      <w:bookmarkStart w:id="65" w:name="_Toc102489451"/>
      <w:r w:rsidRPr="0032506F">
        <w:rPr>
          <w:rFonts w:ascii="Times New Roman" w:eastAsia="Calibri" w:hAnsi="Times New Roman" w:cs="Times New Roman"/>
          <w:b/>
          <w:bCs/>
          <w:sz w:val="24"/>
          <w:szCs w:val="24"/>
        </w:rPr>
        <w:t>Measures</w:t>
      </w:r>
      <w:bookmarkEnd w:id="65"/>
    </w:p>
    <w:p w14:paraId="7EEFFA33" w14:textId="77777777"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66" w:name="_Toc102489452"/>
      <w:r w:rsidRPr="0032506F">
        <w:rPr>
          <w:rFonts w:ascii="Times New Roman" w:eastAsia="Calibri" w:hAnsi="Times New Roman" w:cs="Times New Roman"/>
          <w:b/>
          <w:bCs/>
          <w:i/>
          <w:iCs/>
          <w:sz w:val="24"/>
          <w:szCs w:val="24"/>
        </w:rPr>
        <w:t>The Online Engagement in Higher Education (OEHE) Scale</w:t>
      </w:r>
      <w:bookmarkEnd w:id="66"/>
    </w:p>
    <w:p w14:paraId="575E6CD7" w14:textId="45B4D293" w:rsidR="00522122" w:rsidRPr="0032506F" w:rsidRDefault="00522122" w:rsidP="00522122">
      <w:pPr>
        <w:spacing w:after="0" w:line="480" w:lineRule="auto"/>
        <w:contextualSpacing/>
        <w:rPr>
          <w:rFonts w:ascii="Times New Roman" w:hAnsi="Times New Roman"/>
          <w:color w:val="000000" w:themeColor="text1"/>
          <w:sz w:val="24"/>
          <w:szCs w:val="24"/>
        </w:rPr>
      </w:pPr>
      <w:r w:rsidRPr="0032506F">
        <w:rPr>
          <w:rFonts w:ascii="Times New Roman" w:hAnsi="Times New Roman"/>
          <w:b/>
          <w:color w:val="000000" w:themeColor="text1"/>
          <w:sz w:val="24"/>
          <w:szCs w:val="24"/>
        </w:rPr>
        <w:tab/>
      </w:r>
      <w:r w:rsidRPr="0032506F">
        <w:rPr>
          <w:rFonts w:ascii="Times New Roman" w:hAnsi="Times New Roman"/>
          <w:color w:val="000000" w:themeColor="text1"/>
          <w:sz w:val="24"/>
          <w:szCs w:val="24"/>
        </w:rPr>
        <w:t xml:space="preserve">The </w:t>
      </w:r>
      <w:r w:rsidR="00FE3133" w:rsidRPr="0032506F">
        <w:rPr>
          <w:rFonts w:ascii="Times New Roman" w:hAnsi="Times New Roman"/>
          <w:color w:val="000000" w:themeColor="text1"/>
          <w:sz w:val="24"/>
          <w:szCs w:val="24"/>
        </w:rPr>
        <w:t xml:space="preserve">sixty-six </w:t>
      </w:r>
      <w:r w:rsidRPr="0032506F">
        <w:rPr>
          <w:rFonts w:ascii="Times New Roman" w:hAnsi="Times New Roman"/>
          <w:color w:val="000000" w:themeColor="text1"/>
          <w:sz w:val="24"/>
          <w:szCs w:val="24"/>
        </w:rPr>
        <w:t xml:space="preserve">OEHE items </w:t>
      </w:r>
      <w:r w:rsidR="00FE3133" w:rsidRPr="0032506F">
        <w:rPr>
          <w:rFonts w:ascii="Times New Roman" w:hAnsi="Times New Roman"/>
          <w:color w:val="000000" w:themeColor="text1"/>
          <w:sz w:val="24"/>
          <w:szCs w:val="24"/>
        </w:rPr>
        <w:t>(see</w:t>
      </w:r>
      <w:r w:rsidR="00B95DDC" w:rsidRPr="0032506F">
        <w:rPr>
          <w:rFonts w:ascii="Times New Roman" w:hAnsi="Times New Roman"/>
          <w:color w:val="000000" w:themeColor="text1"/>
          <w:sz w:val="24"/>
          <w:szCs w:val="24"/>
        </w:rPr>
        <w:t xml:space="preserve"> </w:t>
      </w:r>
      <w:hyperlink w:anchor="_Appendix_M_Revised" w:history="1">
        <w:r w:rsidR="00B95DDC" w:rsidRPr="0032506F">
          <w:rPr>
            <w:rStyle w:val="Hyperlink"/>
            <w:rFonts w:ascii="Times New Roman" w:hAnsi="Times New Roman"/>
            <w:sz w:val="24"/>
            <w:szCs w:val="24"/>
          </w:rPr>
          <w:t xml:space="preserve">Appendix </w:t>
        </w:r>
        <w:r w:rsidR="00D907F5">
          <w:rPr>
            <w:rStyle w:val="Hyperlink"/>
            <w:rFonts w:ascii="Times New Roman" w:hAnsi="Times New Roman"/>
            <w:sz w:val="24"/>
            <w:szCs w:val="24"/>
          </w:rPr>
          <w:t>E</w:t>
        </w:r>
      </w:hyperlink>
      <w:r w:rsidR="00B95DDC" w:rsidRPr="0032506F">
        <w:rPr>
          <w:rFonts w:ascii="Times New Roman" w:hAnsi="Times New Roman"/>
          <w:color w:val="000000" w:themeColor="text1"/>
          <w:sz w:val="24"/>
          <w:szCs w:val="24"/>
        </w:rPr>
        <w:t>)</w:t>
      </w:r>
      <w:r w:rsidR="00FE3133"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were rated by the respondents on a</w:t>
      </w:r>
      <w:r w:rsidR="00FE3133"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5-point Likert-type frequency scale of 1=Never, 2=Seldom, 3=Sometimes, 4=Often, and 5=Always. </w:t>
      </w:r>
      <w:r w:rsidRPr="0032506F">
        <w:rPr>
          <w:rFonts w:ascii="Times New Roman" w:hAnsi="Times New Roman"/>
          <w:color w:val="000000" w:themeColor="text1"/>
          <w:sz w:val="24"/>
        </w:rPr>
        <w:t>T</w:t>
      </w:r>
      <w:r w:rsidRPr="0032506F">
        <w:rPr>
          <w:rFonts w:ascii="Times New Roman" w:hAnsi="Times New Roman"/>
          <w:color w:val="000000" w:themeColor="text1"/>
          <w:sz w:val="24"/>
          <w:szCs w:val="24"/>
        </w:rPr>
        <w:t xml:space="preserve">he survey was delivered via Qualtrics, </w:t>
      </w:r>
      <w:r w:rsidR="00B95DDC" w:rsidRPr="0032506F">
        <w:rPr>
          <w:rFonts w:ascii="Times New Roman" w:hAnsi="Times New Roman"/>
          <w:color w:val="000000" w:themeColor="text1"/>
          <w:sz w:val="24"/>
          <w:szCs w:val="24"/>
        </w:rPr>
        <w:t xml:space="preserve">the institution-hosted </w:t>
      </w:r>
      <w:r w:rsidRPr="0032506F">
        <w:rPr>
          <w:rFonts w:ascii="Times New Roman" w:hAnsi="Times New Roman"/>
          <w:color w:val="000000" w:themeColor="text1"/>
          <w:sz w:val="24"/>
          <w:szCs w:val="24"/>
        </w:rPr>
        <w:t xml:space="preserve">online questionnaire system. </w:t>
      </w:r>
      <w:r w:rsidR="00B95DDC" w:rsidRPr="0032506F">
        <w:rPr>
          <w:rFonts w:ascii="Times New Roman" w:hAnsi="Times New Roman"/>
          <w:color w:val="000000" w:themeColor="text1"/>
          <w:sz w:val="24"/>
          <w:szCs w:val="24"/>
        </w:rPr>
        <w:t>There were 20 items for online behavioral engagement</w:t>
      </w:r>
      <w:r w:rsidR="006D4D5B" w:rsidRPr="0032506F">
        <w:rPr>
          <w:rFonts w:ascii="Times New Roman" w:hAnsi="Times New Roman"/>
          <w:color w:val="000000" w:themeColor="text1"/>
          <w:sz w:val="24"/>
          <w:szCs w:val="24"/>
        </w:rPr>
        <w:t xml:space="preserve"> (OBE)</w:t>
      </w:r>
      <w:r w:rsidR="00B95DDC" w:rsidRPr="0032506F">
        <w:rPr>
          <w:rFonts w:ascii="Times New Roman" w:hAnsi="Times New Roman"/>
          <w:color w:val="000000" w:themeColor="text1"/>
          <w:sz w:val="24"/>
          <w:szCs w:val="24"/>
        </w:rPr>
        <w:t xml:space="preserve">, 27 items </w:t>
      </w:r>
      <w:r w:rsidR="006D4D5B" w:rsidRPr="0032506F">
        <w:rPr>
          <w:rFonts w:ascii="Times New Roman" w:hAnsi="Times New Roman"/>
          <w:color w:val="000000" w:themeColor="text1"/>
          <w:sz w:val="24"/>
          <w:szCs w:val="24"/>
        </w:rPr>
        <w:t xml:space="preserve">for </w:t>
      </w:r>
      <w:r w:rsidR="00B95DDC" w:rsidRPr="0032506F">
        <w:rPr>
          <w:rFonts w:ascii="Times New Roman" w:hAnsi="Times New Roman"/>
          <w:color w:val="000000" w:themeColor="text1"/>
          <w:sz w:val="24"/>
          <w:szCs w:val="24"/>
        </w:rPr>
        <w:t>online emotional engagement</w:t>
      </w:r>
      <w:r w:rsidR="006D4D5B" w:rsidRPr="0032506F">
        <w:rPr>
          <w:rFonts w:ascii="Times New Roman" w:hAnsi="Times New Roman"/>
          <w:color w:val="000000" w:themeColor="text1"/>
          <w:sz w:val="24"/>
          <w:szCs w:val="24"/>
        </w:rPr>
        <w:t xml:space="preserve"> (OEE)</w:t>
      </w:r>
      <w:r w:rsidR="00B95DDC" w:rsidRPr="0032506F">
        <w:rPr>
          <w:rFonts w:ascii="Times New Roman" w:hAnsi="Times New Roman"/>
          <w:color w:val="000000" w:themeColor="text1"/>
          <w:sz w:val="24"/>
          <w:szCs w:val="24"/>
        </w:rPr>
        <w:t xml:space="preserve">, and 19 items </w:t>
      </w:r>
      <w:r w:rsidR="006D4D5B" w:rsidRPr="0032506F">
        <w:rPr>
          <w:rFonts w:ascii="Times New Roman" w:hAnsi="Times New Roman"/>
          <w:color w:val="000000" w:themeColor="text1"/>
          <w:sz w:val="24"/>
          <w:szCs w:val="24"/>
        </w:rPr>
        <w:t>for</w:t>
      </w:r>
      <w:r w:rsidR="00B95DDC" w:rsidRPr="0032506F">
        <w:rPr>
          <w:rFonts w:ascii="Times New Roman" w:hAnsi="Times New Roman"/>
          <w:color w:val="000000" w:themeColor="text1"/>
          <w:sz w:val="24"/>
          <w:szCs w:val="24"/>
        </w:rPr>
        <w:t xml:space="preserve"> online cognitive engagement</w:t>
      </w:r>
      <w:r w:rsidR="006D4D5B" w:rsidRPr="0032506F">
        <w:rPr>
          <w:rFonts w:ascii="Times New Roman" w:hAnsi="Times New Roman"/>
          <w:color w:val="000000" w:themeColor="text1"/>
          <w:sz w:val="24"/>
          <w:szCs w:val="24"/>
        </w:rPr>
        <w:t xml:space="preserve"> (OCE). </w:t>
      </w:r>
      <w:r w:rsidRPr="0032506F">
        <w:rPr>
          <w:rFonts w:ascii="Times New Roman" w:hAnsi="Times New Roman"/>
          <w:color w:val="000000" w:themeColor="text1"/>
          <w:sz w:val="24"/>
          <w:szCs w:val="24"/>
        </w:rPr>
        <w:t xml:space="preserve">Items within each subscale asked the participants about the extent to which they experienced and exhibited certain indicators of behavioral, emotional, and cognitive engagement in their online courses. Higher scores on each subscale of the OEHE scale represent a higher level of engagement on that </w:t>
      </w:r>
      <w:proofErr w:type="gramStart"/>
      <w:r w:rsidRPr="0032506F">
        <w:rPr>
          <w:rFonts w:ascii="Times New Roman" w:hAnsi="Times New Roman"/>
          <w:color w:val="000000" w:themeColor="text1"/>
          <w:sz w:val="24"/>
          <w:szCs w:val="24"/>
        </w:rPr>
        <w:t>particular dimension</w:t>
      </w:r>
      <w:proofErr w:type="gramEnd"/>
      <w:r w:rsidRPr="0032506F">
        <w:rPr>
          <w:rFonts w:ascii="Times New Roman" w:hAnsi="Times New Roman"/>
          <w:color w:val="000000" w:themeColor="text1"/>
          <w:sz w:val="24"/>
          <w:szCs w:val="24"/>
        </w:rPr>
        <w:t>.</w:t>
      </w:r>
    </w:p>
    <w:p w14:paraId="5C8246C0" w14:textId="38A9D2F1"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67" w:name="_Toc102489453"/>
      <w:r w:rsidRPr="0032506F">
        <w:rPr>
          <w:rFonts w:ascii="Times New Roman" w:eastAsia="Calibri" w:hAnsi="Times New Roman" w:cs="Times New Roman"/>
          <w:b/>
          <w:bCs/>
          <w:i/>
          <w:iCs/>
          <w:sz w:val="24"/>
          <w:szCs w:val="24"/>
        </w:rPr>
        <w:t>Classroom Engagement</w:t>
      </w:r>
      <w:r w:rsidR="00604EA3" w:rsidRPr="0032506F">
        <w:rPr>
          <w:rFonts w:ascii="Times New Roman" w:eastAsia="Calibri" w:hAnsi="Times New Roman" w:cs="Times New Roman"/>
          <w:b/>
          <w:bCs/>
          <w:i/>
          <w:iCs/>
          <w:sz w:val="24"/>
          <w:szCs w:val="24"/>
        </w:rPr>
        <w:t xml:space="preserve"> Scale</w:t>
      </w:r>
      <w:bookmarkEnd w:id="67"/>
    </w:p>
    <w:p w14:paraId="15ECFFD5" w14:textId="61A06F12" w:rsidR="00150506" w:rsidRPr="0032506F" w:rsidRDefault="00522122" w:rsidP="00522122">
      <w:pPr>
        <w:spacing w:line="480" w:lineRule="auto"/>
        <w:contextualSpacing/>
        <w:rPr>
          <w:rFonts w:ascii="Times New Roman" w:hAnsi="Times New Roman"/>
          <w:color w:val="000000" w:themeColor="text1"/>
          <w:sz w:val="24"/>
          <w:szCs w:val="24"/>
        </w:rPr>
      </w:pPr>
      <w:r w:rsidRPr="0032506F">
        <w:rPr>
          <w:rFonts w:ascii="Times New Roman" w:hAnsi="Times New Roman"/>
          <w:b/>
          <w:color w:val="000000" w:themeColor="text1"/>
          <w:sz w:val="24"/>
          <w:szCs w:val="24"/>
        </w:rPr>
        <w:tab/>
      </w:r>
      <w:bookmarkStart w:id="68" w:name="_Hlk58252133"/>
      <w:r w:rsidRPr="0032506F">
        <w:rPr>
          <w:rFonts w:ascii="Times New Roman" w:hAnsi="Times New Roman"/>
          <w:bCs/>
          <w:color w:val="000000" w:themeColor="text1"/>
          <w:sz w:val="24"/>
          <w:szCs w:val="24"/>
        </w:rPr>
        <w:t xml:space="preserve">For convergent validity evidence, </w:t>
      </w:r>
      <w:r w:rsidRPr="0032506F">
        <w:rPr>
          <w:rFonts w:ascii="Times New Roman" w:hAnsi="Times New Roman"/>
          <w:color w:val="000000" w:themeColor="text1"/>
          <w:sz w:val="24"/>
          <w:szCs w:val="24"/>
        </w:rPr>
        <w:t>a modified version of the classroom engagement scale developed by Reeve (2013) designed to assess college student</w:t>
      </w:r>
      <w:bookmarkEnd w:id="68"/>
      <w:r w:rsidRPr="0032506F">
        <w:rPr>
          <w:rFonts w:ascii="Times New Roman" w:hAnsi="Times New Roman"/>
          <w:color w:val="000000" w:themeColor="text1"/>
          <w:sz w:val="24"/>
          <w:szCs w:val="24"/>
        </w:rPr>
        <w:t xml:space="preserve">s’ experiences of engagement in </w:t>
      </w:r>
      <w:r w:rsidRPr="0032506F">
        <w:rPr>
          <w:rFonts w:ascii="Times New Roman" w:hAnsi="Times New Roman"/>
          <w:color w:val="000000" w:themeColor="text1"/>
          <w:sz w:val="24"/>
          <w:szCs w:val="24"/>
        </w:rPr>
        <w:lastRenderedPageBreak/>
        <w:t>traditional college courses</w:t>
      </w:r>
      <w:r w:rsidR="00454472" w:rsidRPr="0032506F">
        <w:rPr>
          <w:rFonts w:ascii="Times New Roman" w:hAnsi="Times New Roman"/>
          <w:color w:val="000000" w:themeColor="text1"/>
          <w:sz w:val="24"/>
          <w:szCs w:val="24"/>
        </w:rPr>
        <w:t xml:space="preserve"> was used</w:t>
      </w:r>
      <w:r w:rsidRPr="0032506F">
        <w:rPr>
          <w:rFonts w:ascii="Times New Roman" w:hAnsi="Times New Roman"/>
          <w:color w:val="000000" w:themeColor="text1"/>
          <w:sz w:val="24"/>
          <w:szCs w:val="24"/>
        </w:rPr>
        <w:t xml:space="preserve">. </w:t>
      </w:r>
      <w:bookmarkStart w:id="69" w:name="_Hlk58503540"/>
      <w:r w:rsidR="00150506" w:rsidRPr="0032506F">
        <w:rPr>
          <w:rFonts w:ascii="Times New Roman" w:hAnsi="Times New Roman"/>
          <w:color w:val="000000" w:themeColor="text1"/>
          <w:sz w:val="24"/>
          <w:szCs w:val="24"/>
        </w:rPr>
        <w:t>C</w:t>
      </w:r>
      <w:r w:rsidR="00150506" w:rsidRPr="0032506F">
        <w:rPr>
          <w:rFonts w:ascii="Times New Roman" w:hAnsi="Times New Roman"/>
          <w:bCs/>
          <w:color w:val="000000" w:themeColor="text1"/>
          <w:sz w:val="24"/>
          <w:szCs w:val="24"/>
        </w:rPr>
        <w:t xml:space="preserve">onvergent validity can be assessed by examining the relationship between the scores on a new measure of a particular construct or attribute and the scores on an existing and validated measure of the same construct or attribute, looking for reasonably high correlations between the two (Campbell &amp; Fiske, 1959; </w:t>
      </w:r>
      <w:r w:rsidR="00572179" w:rsidRPr="0032506F">
        <w:rPr>
          <w:rFonts w:ascii="Times New Roman" w:hAnsi="Times New Roman"/>
          <w:bCs/>
          <w:color w:val="000000" w:themeColor="text1"/>
          <w:sz w:val="24"/>
          <w:szCs w:val="24"/>
        </w:rPr>
        <w:t xml:space="preserve">Chin &amp; Yao, 2014; </w:t>
      </w:r>
      <w:r w:rsidR="00150506" w:rsidRPr="0032506F">
        <w:rPr>
          <w:rFonts w:ascii="Times New Roman" w:hAnsi="Times New Roman"/>
          <w:bCs/>
          <w:color w:val="000000" w:themeColor="text1"/>
          <w:sz w:val="24"/>
          <w:szCs w:val="24"/>
        </w:rPr>
        <w:t>Warner, 2008)</w:t>
      </w:r>
      <w:r w:rsidR="00777829" w:rsidRPr="0032506F">
        <w:rPr>
          <w:rFonts w:ascii="Times New Roman" w:hAnsi="Times New Roman"/>
          <w:bCs/>
          <w:color w:val="000000" w:themeColor="text1"/>
          <w:sz w:val="24"/>
          <w:szCs w:val="24"/>
        </w:rPr>
        <w:t>.</w:t>
      </w:r>
    </w:p>
    <w:p w14:paraId="7F018BD7" w14:textId="77950AA3" w:rsidR="00522122" w:rsidRPr="0032506F" w:rsidRDefault="001334C8" w:rsidP="000C47A5">
      <w:pPr>
        <w:spacing w:line="480" w:lineRule="auto"/>
        <w:contextualSpacing/>
        <w:rPr>
          <w:rFonts w:ascii="Times New Roman" w:hAnsi="Times New Roman"/>
          <w:color w:val="000000" w:themeColor="text1"/>
          <w:sz w:val="24"/>
          <w:szCs w:val="24"/>
        </w:rPr>
      </w:pPr>
      <w:r>
        <w:rPr>
          <w:rFonts w:ascii="Times New Roman" w:hAnsi="Times New Roman"/>
          <w:color w:val="000000" w:themeColor="text1"/>
          <w:sz w:val="24"/>
          <w:szCs w:val="24"/>
        </w:rPr>
        <w:tab/>
      </w:r>
      <w:proofErr w:type="gramStart"/>
      <w:r w:rsidR="00522122" w:rsidRPr="0032506F">
        <w:rPr>
          <w:rFonts w:ascii="Times New Roman" w:hAnsi="Times New Roman"/>
          <w:color w:val="000000" w:themeColor="text1"/>
          <w:sz w:val="24"/>
          <w:szCs w:val="24"/>
        </w:rPr>
        <w:t>For the purpose of</w:t>
      </w:r>
      <w:proofErr w:type="gramEnd"/>
      <w:r w:rsidR="00454472" w:rsidRPr="0032506F">
        <w:rPr>
          <w:rFonts w:ascii="Times New Roman" w:hAnsi="Times New Roman"/>
          <w:color w:val="000000" w:themeColor="text1"/>
          <w:sz w:val="24"/>
          <w:szCs w:val="24"/>
        </w:rPr>
        <w:t xml:space="preserve"> this</w:t>
      </w:r>
      <w:r w:rsidR="00522122" w:rsidRPr="0032506F">
        <w:rPr>
          <w:rFonts w:ascii="Times New Roman" w:hAnsi="Times New Roman"/>
          <w:color w:val="000000" w:themeColor="text1"/>
          <w:sz w:val="24"/>
          <w:szCs w:val="24"/>
        </w:rPr>
        <w:t xml:space="preserve"> study, only behavioral, emotional, and cognitive engagement subscales in Reeve’s (2013) Study 2</w:t>
      </w:r>
      <w:r w:rsidR="00454472" w:rsidRPr="0032506F">
        <w:rPr>
          <w:rFonts w:ascii="Times New Roman" w:hAnsi="Times New Roman"/>
          <w:color w:val="000000" w:themeColor="text1"/>
          <w:sz w:val="24"/>
          <w:szCs w:val="24"/>
        </w:rPr>
        <w:t xml:space="preserve"> were </w:t>
      </w:r>
      <w:r w:rsidR="001D29CC" w:rsidRPr="0032506F">
        <w:rPr>
          <w:rFonts w:ascii="Times New Roman" w:hAnsi="Times New Roman"/>
          <w:color w:val="000000" w:themeColor="text1"/>
          <w:sz w:val="24"/>
          <w:szCs w:val="24"/>
        </w:rPr>
        <w:t>included</w:t>
      </w:r>
      <w:r w:rsidR="00522122" w:rsidRPr="0032506F">
        <w:rPr>
          <w:rFonts w:ascii="Times New Roman" w:hAnsi="Times New Roman"/>
          <w:color w:val="000000" w:themeColor="text1"/>
          <w:sz w:val="24"/>
          <w:szCs w:val="24"/>
        </w:rPr>
        <w:t xml:space="preserve">. </w:t>
      </w:r>
      <w:r w:rsidR="001D29CC" w:rsidRPr="0032506F">
        <w:rPr>
          <w:rFonts w:ascii="Times New Roman" w:hAnsi="Times New Roman"/>
          <w:color w:val="000000" w:themeColor="text1"/>
          <w:sz w:val="24"/>
          <w:szCs w:val="24"/>
        </w:rPr>
        <w:t>There was a</w:t>
      </w:r>
      <w:r w:rsidR="00522122" w:rsidRPr="0032506F">
        <w:rPr>
          <w:rFonts w:ascii="Times New Roman" w:hAnsi="Times New Roman"/>
          <w:color w:val="000000" w:themeColor="text1"/>
          <w:sz w:val="24"/>
          <w:szCs w:val="24"/>
        </w:rPr>
        <w:t xml:space="preserve"> total of 12 items rated on a 5-point Likert-type scale (1=Strongly Disagree, 2 = Disagree, 3=Neither Agree nor Disagree, 4=Agree, and 5=Strongly Agree), with four items for behavioral engagement (α = .87), four items for emotional engagement (α = .91) and four items for cognitive engagement (α = .87), all indicating acceptable levels of internal consistency reliability. The construct validity and factorial validity evidence for the overall engagement scale was documented by Reeve (2013).</w:t>
      </w:r>
      <w:r w:rsidR="000C47A5"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Each of the items on each subscale of engagement was slightly adapted to fit each item to the online learning context of the current study</w:t>
      </w:r>
      <w:r w:rsidR="001E4F84"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(for the full scale see </w:t>
      </w:r>
      <w:hyperlink w:anchor="_Appendix_I_Engagement" w:history="1">
        <w:r w:rsidR="00522122" w:rsidRPr="0032506F">
          <w:rPr>
            <w:rStyle w:val="Hyperlink"/>
            <w:rFonts w:ascii="Times New Roman" w:hAnsi="Times New Roman"/>
            <w:sz w:val="24"/>
            <w:szCs w:val="24"/>
          </w:rPr>
          <w:t xml:space="preserve">Appendix </w:t>
        </w:r>
        <w:r w:rsidR="00D907F5">
          <w:rPr>
            <w:rStyle w:val="Hyperlink"/>
            <w:rFonts w:ascii="Times New Roman" w:hAnsi="Times New Roman"/>
            <w:sz w:val="24"/>
            <w:szCs w:val="24"/>
          </w:rPr>
          <w:t>I</w:t>
        </w:r>
      </w:hyperlink>
      <w:r w:rsidR="00522122" w:rsidRPr="0032506F">
        <w:rPr>
          <w:rFonts w:ascii="Times New Roman" w:hAnsi="Times New Roman"/>
          <w:color w:val="000000" w:themeColor="text1"/>
          <w:sz w:val="24"/>
          <w:szCs w:val="24"/>
        </w:rPr>
        <w:t>).</w:t>
      </w:r>
      <w:r w:rsidR="00431739" w:rsidRPr="0032506F">
        <w:rPr>
          <w:rFonts w:ascii="Times New Roman" w:hAnsi="Times New Roman"/>
          <w:color w:val="000000" w:themeColor="text1"/>
          <w:sz w:val="24"/>
          <w:szCs w:val="24"/>
        </w:rPr>
        <w:t xml:space="preserve"> </w:t>
      </w:r>
      <w:bookmarkEnd w:id="69"/>
    </w:p>
    <w:p w14:paraId="3B06D629" w14:textId="59BFE171" w:rsidR="000C47A5" w:rsidRPr="0032506F" w:rsidRDefault="000C47A5" w:rsidP="000C47A5">
      <w:pPr>
        <w:spacing w:line="480" w:lineRule="auto"/>
        <w:contextualSpacing/>
        <w:rPr>
          <w:rFonts w:ascii="Times New Roman" w:hAnsi="Times New Roman"/>
          <w:i/>
          <w:iCs/>
          <w:color w:val="000000" w:themeColor="text1"/>
          <w:sz w:val="24"/>
          <w:szCs w:val="24"/>
        </w:rPr>
      </w:pPr>
      <w:r w:rsidRPr="0032506F">
        <w:rPr>
          <w:rFonts w:ascii="Times New Roman" w:hAnsi="Times New Roman"/>
          <w:color w:val="000000" w:themeColor="text1"/>
          <w:sz w:val="24"/>
          <w:szCs w:val="24"/>
        </w:rPr>
        <w:tab/>
        <w:t>Reeve’s (2013) three dimensions of student engagement were used to correlate each of them with each corresponding dimension of the OEHE instrument for convergent validity purposes</w:t>
      </w:r>
      <w:r w:rsidR="00223D7A" w:rsidRPr="0032506F">
        <w:rPr>
          <w:rFonts w:ascii="Times New Roman" w:hAnsi="Times New Roman"/>
          <w:color w:val="000000" w:themeColor="text1"/>
          <w:sz w:val="24"/>
          <w:szCs w:val="24"/>
        </w:rPr>
        <w:t xml:space="preserve"> because s</w:t>
      </w:r>
      <w:r w:rsidRPr="0032506F">
        <w:rPr>
          <w:rFonts w:ascii="Times New Roman" w:hAnsi="Times New Roman"/>
          <w:color w:val="000000" w:themeColor="text1"/>
          <w:sz w:val="24"/>
          <w:szCs w:val="24"/>
        </w:rPr>
        <w:t xml:space="preserve">imilar to the conceptualization of engagement in the OEHE instrument, Reeve’s (2013) engagement scale was also based on Fredricks et al.’s. (2004) </w:t>
      </w:r>
      <w:r w:rsidR="005F5E61" w:rsidRPr="0032506F">
        <w:rPr>
          <w:rFonts w:ascii="Times New Roman" w:hAnsi="Times New Roman"/>
          <w:color w:val="000000" w:themeColor="text1"/>
          <w:sz w:val="24"/>
          <w:szCs w:val="24"/>
        </w:rPr>
        <w:t xml:space="preserve">three </w:t>
      </w:r>
      <w:r w:rsidRPr="0032506F">
        <w:rPr>
          <w:rFonts w:ascii="Times New Roman" w:hAnsi="Times New Roman"/>
          <w:color w:val="000000" w:themeColor="text1"/>
          <w:sz w:val="24"/>
          <w:szCs w:val="24"/>
        </w:rPr>
        <w:t>core dimensions of engagement</w:t>
      </w:r>
      <w:r w:rsidR="005F5E61" w:rsidRPr="0032506F">
        <w:rPr>
          <w:rFonts w:ascii="Times New Roman" w:hAnsi="Times New Roman"/>
          <w:color w:val="000000" w:themeColor="text1"/>
          <w:sz w:val="24"/>
          <w:szCs w:val="24"/>
        </w:rPr>
        <w:t xml:space="preserve"> (along with agentic engagement)</w:t>
      </w:r>
      <w:r w:rsidRPr="0032506F">
        <w:rPr>
          <w:rFonts w:ascii="Times New Roman" w:hAnsi="Times New Roman"/>
          <w:color w:val="000000" w:themeColor="text1"/>
          <w:sz w:val="24"/>
          <w:szCs w:val="24"/>
        </w:rPr>
        <w:t xml:space="preserve">, which made it a theoretically appropriate measure to use for convergent validity testing in the current study because measures of the same construct (i.e., engagement) are expected to converge (Campbell &amp; Fiske, 1959; Furr, 2011). </w:t>
      </w:r>
    </w:p>
    <w:p w14:paraId="795EBF06" w14:textId="56F04EA5"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70" w:name="_Toc102489454"/>
      <w:r w:rsidRPr="0032506F">
        <w:rPr>
          <w:rFonts w:ascii="Times New Roman" w:eastAsia="Calibri" w:hAnsi="Times New Roman" w:cs="Times New Roman"/>
          <w:b/>
          <w:bCs/>
          <w:i/>
          <w:iCs/>
          <w:sz w:val="24"/>
          <w:szCs w:val="24"/>
        </w:rPr>
        <w:lastRenderedPageBreak/>
        <w:t>Epistemic Beliefs</w:t>
      </w:r>
      <w:r w:rsidR="00803A45" w:rsidRPr="0032506F">
        <w:rPr>
          <w:rFonts w:ascii="Times New Roman" w:eastAsia="Calibri" w:hAnsi="Times New Roman" w:cs="Times New Roman"/>
          <w:b/>
          <w:bCs/>
          <w:i/>
          <w:iCs/>
          <w:sz w:val="24"/>
          <w:szCs w:val="24"/>
        </w:rPr>
        <w:t xml:space="preserve"> Inventory</w:t>
      </w:r>
      <w:bookmarkEnd w:id="70"/>
    </w:p>
    <w:p w14:paraId="42D33633" w14:textId="1E169CB8" w:rsidR="00522122" w:rsidRPr="0032506F" w:rsidRDefault="00522122" w:rsidP="00522122">
      <w:pPr>
        <w:autoSpaceDE w:val="0"/>
        <w:autoSpaceDN w:val="0"/>
        <w:adjustRightInd w:val="0"/>
        <w:spacing w:after="0" w:line="480" w:lineRule="auto"/>
        <w:rPr>
          <w:rFonts w:ascii="Times New Roman" w:hAnsi="Times New Roman"/>
          <w:color w:val="000000" w:themeColor="text1"/>
          <w:sz w:val="24"/>
          <w:szCs w:val="24"/>
        </w:rPr>
      </w:pPr>
      <w:r w:rsidRPr="0032506F">
        <w:rPr>
          <w:rFonts w:ascii="Times New Roman" w:hAnsi="Times New Roman"/>
          <w:b/>
          <w:color w:val="000000" w:themeColor="text1"/>
          <w:sz w:val="24"/>
          <w:szCs w:val="24"/>
        </w:rPr>
        <w:tab/>
      </w:r>
      <w:r w:rsidRPr="0032506F">
        <w:rPr>
          <w:rFonts w:ascii="Times New Roman" w:hAnsi="Times New Roman"/>
          <w:bCs/>
          <w:color w:val="000000" w:themeColor="text1"/>
          <w:sz w:val="24"/>
          <w:szCs w:val="24"/>
        </w:rPr>
        <w:t xml:space="preserve">For discriminant validity evidence, </w:t>
      </w:r>
      <w:r w:rsidRPr="0032506F">
        <w:rPr>
          <w:rFonts w:ascii="Times New Roman" w:hAnsi="Times New Roman"/>
          <w:color w:val="000000" w:themeColor="text1"/>
          <w:sz w:val="24"/>
          <w:szCs w:val="24"/>
        </w:rPr>
        <w:t>a seven-item subset of the 32-item version of the Epistemic Beliefs Inventory (EBI)</w:t>
      </w:r>
      <w:r w:rsidR="00951E46" w:rsidRPr="0032506F">
        <w:rPr>
          <w:rFonts w:ascii="Times New Roman" w:hAnsi="Times New Roman"/>
          <w:color w:val="000000" w:themeColor="text1"/>
          <w:sz w:val="24"/>
          <w:szCs w:val="24"/>
        </w:rPr>
        <w:t xml:space="preserve"> </w:t>
      </w:r>
      <w:r w:rsidR="004C401F" w:rsidRPr="0032506F">
        <w:rPr>
          <w:rFonts w:ascii="Times New Roman" w:hAnsi="Times New Roman"/>
          <w:color w:val="000000" w:themeColor="text1"/>
          <w:sz w:val="24"/>
          <w:szCs w:val="24"/>
        </w:rPr>
        <w:t xml:space="preserve">was used </w:t>
      </w:r>
      <w:r w:rsidRPr="0032506F">
        <w:rPr>
          <w:rFonts w:ascii="Times New Roman" w:hAnsi="Times New Roman"/>
          <w:color w:val="000000" w:themeColor="text1"/>
          <w:sz w:val="24"/>
          <w:szCs w:val="24"/>
        </w:rPr>
        <w:t xml:space="preserve">(DeBacker et al., 2008; Schraw et al., 2002). </w:t>
      </w:r>
      <w:r w:rsidR="00F27E50" w:rsidRPr="0032506F">
        <w:rPr>
          <w:rFonts w:ascii="Times New Roman" w:hAnsi="Times New Roman"/>
          <w:color w:val="000000" w:themeColor="text1"/>
          <w:sz w:val="24"/>
          <w:szCs w:val="24"/>
        </w:rPr>
        <w:t>D</w:t>
      </w:r>
      <w:r w:rsidR="00F27E50" w:rsidRPr="0032506F">
        <w:rPr>
          <w:rFonts w:ascii="Times New Roman" w:hAnsi="Times New Roman"/>
          <w:bCs/>
          <w:color w:val="000000" w:themeColor="text1"/>
          <w:sz w:val="24"/>
          <w:szCs w:val="24"/>
        </w:rPr>
        <w:t xml:space="preserve">iscriminant validity can be assessed by examining the relationship between the scores on the new measure and the scores on an existing measure of those constructs or attributes that the new instrument is not supposed to measure, looking for very weak or no correlations at all between them (Warner, 2008). </w:t>
      </w:r>
      <w:r w:rsidRPr="0032506F">
        <w:rPr>
          <w:rFonts w:ascii="Times New Roman" w:hAnsi="Times New Roman"/>
          <w:color w:val="000000" w:themeColor="text1"/>
          <w:sz w:val="24"/>
          <w:szCs w:val="24"/>
        </w:rPr>
        <w:t xml:space="preserve">Epistemic beliefs basically refer to individuals’ beliefs about what knowledge is, what it is made up of, and how certain knowledge is and beliefs about how we come to know something (DeBacker et al., 2008). </w:t>
      </w:r>
      <w:r w:rsidR="00E31BCF" w:rsidRPr="0032506F">
        <w:rPr>
          <w:rFonts w:ascii="Times New Roman" w:hAnsi="Times New Roman"/>
          <w:color w:val="000000" w:themeColor="text1"/>
          <w:sz w:val="24"/>
          <w:szCs w:val="24"/>
        </w:rPr>
        <w:t>The epistemic beliefs measure was used to correlate it with</w:t>
      </w:r>
      <w:r w:rsidR="004E46F1" w:rsidRPr="0032506F">
        <w:rPr>
          <w:rFonts w:ascii="Times New Roman" w:hAnsi="Times New Roman"/>
          <w:color w:val="000000" w:themeColor="text1"/>
          <w:sz w:val="24"/>
          <w:szCs w:val="24"/>
        </w:rPr>
        <w:t xml:space="preserve"> </w:t>
      </w:r>
      <w:r w:rsidR="00E31BCF" w:rsidRPr="0032506F">
        <w:rPr>
          <w:rFonts w:ascii="Times New Roman" w:hAnsi="Times New Roman"/>
          <w:color w:val="000000" w:themeColor="text1"/>
          <w:sz w:val="24"/>
          <w:szCs w:val="24"/>
        </w:rPr>
        <w:t>the OEHE instrument for discriminant valid</w:t>
      </w:r>
      <w:r w:rsidR="004E46F1" w:rsidRPr="0032506F">
        <w:rPr>
          <w:rFonts w:ascii="Times New Roman" w:hAnsi="Times New Roman"/>
          <w:color w:val="000000" w:themeColor="text1"/>
          <w:sz w:val="24"/>
          <w:szCs w:val="24"/>
        </w:rPr>
        <w:t xml:space="preserve">ity </w:t>
      </w:r>
      <w:r w:rsidR="00E31BCF" w:rsidRPr="0032506F">
        <w:rPr>
          <w:rFonts w:ascii="Times New Roman" w:hAnsi="Times New Roman"/>
          <w:color w:val="000000" w:themeColor="text1"/>
          <w:sz w:val="24"/>
          <w:szCs w:val="24"/>
        </w:rPr>
        <w:t>purposes because the underlying construct that the</w:t>
      </w:r>
      <w:r w:rsidR="004E46F1" w:rsidRPr="0032506F">
        <w:rPr>
          <w:rFonts w:ascii="Times New Roman" w:hAnsi="Times New Roman"/>
          <w:color w:val="000000" w:themeColor="text1"/>
          <w:sz w:val="24"/>
          <w:szCs w:val="24"/>
        </w:rPr>
        <w:t xml:space="preserve"> epistemic beliefs</w:t>
      </w:r>
      <w:r w:rsidR="00E31BCF" w:rsidRPr="0032506F">
        <w:rPr>
          <w:rFonts w:ascii="Times New Roman" w:hAnsi="Times New Roman"/>
          <w:color w:val="000000" w:themeColor="text1"/>
          <w:sz w:val="24"/>
          <w:szCs w:val="24"/>
        </w:rPr>
        <w:t xml:space="preserve"> items are intended to tap </w:t>
      </w:r>
      <w:r w:rsidR="0050663D" w:rsidRPr="0032506F">
        <w:rPr>
          <w:rFonts w:ascii="Times New Roman" w:hAnsi="Times New Roman"/>
          <w:color w:val="000000" w:themeColor="text1"/>
          <w:sz w:val="24"/>
          <w:szCs w:val="24"/>
        </w:rPr>
        <w:t xml:space="preserve">(e.g., fixed ability mindset) </w:t>
      </w:r>
      <w:r w:rsidR="00E31BCF" w:rsidRPr="0032506F">
        <w:rPr>
          <w:rFonts w:ascii="Times New Roman" w:hAnsi="Times New Roman"/>
          <w:color w:val="000000" w:themeColor="text1"/>
          <w:sz w:val="24"/>
          <w:szCs w:val="24"/>
        </w:rPr>
        <w:t xml:space="preserve">is a different enough construct that should theoretically not be related to the construct of student engagement. Due to the theoretical or conceptual dissimilarity, </w:t>
      </w:r>
      <w:r w:rsidR="007132B5" w:rsidRPr="0032506F">
        <w:rPr>
          <w:rFonts w:ascii="Times New Roman" w:hAnsi="Times New Roman"/>
          <w:color w:val="000000" w:themeColor="text1"/>
          <w:sz w:val="24"/>
          <w:szCs w:val="24"/>
        </w:rPr>
        <w:t xml:space="preserve">weak </w:t>
      </w:r>
      <w:r w:rsidR="00E31BCF" w:rsidRPr="0032506F">
        <w:rPr>
          <w:rFonts w:ascii="Times New Roman" w:hAnsi="Times New Roman"/>
          <w:color w:val="000000" w:themeColor="text1"/>
          <w:sz w:val="24"/>
          <w:szCs w:val="24"/>
        </w:rPr>
        <w:t>or</w:t>
      </w:r>
      <w:r w:rsidR="007132B5" w:rsidRPr="0032506F">
        <w:rPr>
          <w:rFonts w:ascii="Times New Roman" w:hAnsi="Times New Roman"/>
          <w:color w:val="000000" w:themeColor="text1"/>
          <w:sz w:val="24"/>
          <w:szCs w:val="24"/>
        </w:rPr>
        <w:t xml:space="preserve"> </w:t>
      </w:r>
      <w:r w:rsidR="00E31BCF" w:rsidRPr="0032506F">
        <w:rPr>
          <w:rFonts w:ascii="Times New Roman" w:hAnsi="Times New Roman"/>
          <w:color w:val="000000" w:themeColor="text1"/>
          <w:sz w:val="24"/>
          <w:szCs w:val="24"/>
        </w:rPr>
        <w:t xml:space="preserve">negligible correlations </w:t>
      </w:r>
      <w:r w:rsidR="007132B5" w:rsidRPr="0032506F">
        <w:rPr>
          <w:rFonts w:ascii="Times New Roman" w:hAnsi="Times New Roman"/>
          <w:color w:val="000000" w:themeColor="text1"/>
          <w:sz w:val="24"/>
          <w:szCs w:val="24"/>
        </w:rPr>
        <w:t xml:space="preserve">were expected </w:t>
      </w:r>
      <w:r w:rsidR="00E31BCF" w:rsidRPr="0032506F">
        <w:rPr>
          <w:rFonts w:ascii="Times New Roman" w:hAnsi="Times New Roman"/>
          <w:color w:val="000000" w:themeColor="text1"/>
          <w:sz w:val="24"/>
          <w:szCs w:val="24"/>
        </w:rPr>
        <w:t xml:space="preserve">between </w:t>
      </w:r>
      <w:r w:rsidR="007132B5" w:rsidRPr="0032506F">
        <w:rPr>
          <w:rFonts w:ascii="Times New Roman" w:hAnsi="Times New Roman"/>
          <w:color w:val="000000" w:themeColor="text1"/>
          <w:sz w:val="24"/>
          <w:szCs w:val="24"/>
        </w:rPr>
        <w:t>the OEHE instrument</w:t>
      </w:r>
      <w:r w:rsidR="00E31BCF" w:rsidRPr="0032506F">
        <w:rPr>
          <w:rFonts w:ascii="Times New Roman" w:hAnsi="Times New Roman"/>
          <w:color w:val="000000" w:themeColor="text1"/>
          <w:sz w:val="24"/>
          <w:szCs w:val="24"/>
        </w:rPr>
        <w:t xml:space="preserve"> and students’ epistemic beliefs about ability</w:t>
      </w:r>
      <w:r w:rsidR="007132B5"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The subset of </w:t>
      </w:r>
      <w:r w:rsidR="00854DB1" w:rsidRPr="0032506F">
        <w:rPr>
          <w:rFonts w:ascii="Times New Roman" w:hAnsi="Times New Roman"/>
          <w:color w:val="000000" w:themeColor="text1"/>
          <w:sz w:val="24"/>
          <w:szCs w:val="24"/>
        </w:rPr>
        <w:t>fixed ability mindset</w:t>
      </w:r>
      <w:r w:rsidRPr="0032506F">
        <w:rPr>
          <w:rFonts w:ascii="Times New Roman" w:hAnsi="Times New Roman"/>
          <w:color w:val="000000" w:themeColor="text1"/>
          <w:sz w:val="24"/>
          <w:szCs w:val="24"/>
        </w:rPr>
        <w:t xml:space="preserve"> was </w:t>
      </w:r>
      <w:r w:rsidR="007132B5" w:rsidRPr="0032506F">
        <w:rPr>
          <w:rFonts w:ascii="Times New Roman" w:hAnsi="Times New Roman"/>
          <w:color w:val="000000" w:themeColor="text1"/>
          <w:sz w:val="24"/>
          <w:szCs w:val="24"/>
        </w:rPr>
        <w:t xml:space="preserve">also </w:t>
      </w:r>
      <w:r w:rsidRPr="0032506F">
        <w:rPr>
          <w:rFonts w:ascii="Times New Roman" w:hAnsi="Times New Roman"/>
          <w:color w:val="000000" w:themeColor="text1"/>
          <w:sz w:val="24"/>
          <w:szCs w:val="24"/>
        </w:rPr>
        <w:t>chosen for the current study because the Fixed (Innate Ability) subscale was shown to have the most desirable psychometric properties when compared to the other subscales of the EBI (DeBacker et al., 2008). The reliabilities for the Fixed subscale of the EBI were reported by DeBacker et al. (2008) to be .67 (Sample 1) and .68 (Sample 2)</w:t>
      </w:r>
      <w:bookmarkStart w:id="71" w:name="_Hlk58763856"/>
      <w:r w:rsidR="00D96FFF" w:rsidRPr="0032506F">
        <w:rPr>
          <w:rFonts w:ascii="Times New Roman" w:hAnsi="Times New Roman"/>
          <w:color w:val="000000" w:themeColor="text1"/>
          <w:sz w:val="24"/>
          <w:szCs w:val="24"/>
        </w:rPr>
        <w:t xml:space="preserve"> (for items see </w:t>
      </w:r>
      <w:hyperlink w:anchor="_Appendix_J_Fixed" w:history="1">
        <w:r w:rsidRPr="0032506F">
          <w:rPr>
            <w:rStyle w:val="Hyperlink"/>
            <w:rFonts w:ascii="Times New Roman" w:hAnsi="Times New Roman"/>
            <w:sz w:val="24"/>
            <w:szCs w:val="24"/>
          </w:rPr>
          <w:t xml:space="preserve">Appendix </w:t>
        </w:r>
        <w:r w:rsidR="00E02E56">
          <w:rPr>
            <w:rStyle w:val="Hyperlink"/>
            <w:rFonts w:ascii="Times New Roman" w:hAnsi="Times New Roman"/>
            <w:sz w:val="24"/>
            <w:szCs w:val="24"/>
          </w:rPr>
          <w:t>J</w:t>
        </w:r>
      </w:hyperlink>
      <w:r w:rsidRPr="0032506F">
        <w:rPr>
          <w:rFonts w:ascii="Times New Roman" w:hAnsi="Times New Roman"/>
          <w:color w:val="000000" w:themeColor="text1"/>
          <w:sz w:val="24"/>
          <w:szCs w:val="24"/>
        </w:rPr>
        <w:t xml:space="preserve">) Participants ranked all the items on a 5-point Likert-type scale from 1=Strongly Disagree to 5=Strongly Agree. Higher scores on this scale represent a higher level of epistemic beliefs about </w:t>
      </w:r>
      <w:r w:rsidRPr="0032506F">
        <w:rPr>
          <w:rFonts w:ascii="Times New Roman" w:hAnsi="Times New Roman"/>
          <w:color w:val="000000" w:themeColor="text1"/>
          <w:sz w:val="24"/>
          <w:szCs w:val="24"/>
          <w:lang w:val="tr-TR"/>
        </w:rPr>
        <w:t>fixed ability.</w:t>
      </w:r>
    </w:p>
    <w:bookmarkEnd w:id="71"/>
    <w:p w14:paraId="2E9D80AE" w14:textId="26F39535" w:rsidR="00522122" w:rsidRPr="0032506F" w:rsidRDefault="00522122" w:rsidP="00522122">
      <w:pPr>
        <w:autoSpaceDE w:val="0"/>
        <w:autoSpaceDN w:val="0"/>
        <w:adjustRightInd w:val="0"/>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r>
      <w:r w:rsidRPr="0032506F">
        <w:rPr>
          <w:rFonts w:ascii="Times New Roman" w:eastAsiaTheme="majorEastAsia" w:hAnsi="Times New Roman" w:cs="Times New Roman"/>
          <w:b/>
          <w:bCs/>
          <w:sz w:val="24"/>
          <w:szCs w:val="24"/>
        </w:rPr>
        <w:t xml:space="preserve"> Interpreting Convergent and Discriminant Validity Evidence. </w:t>
      </w:r>
      <w:r w:rsidRPr="0032506F">
        <w:rPr>
          <w:rFonts w:ascii="Times New Roman" w:hAnsi="Times New Roman"/>
          <w:color w:val="000000" w:themeColor="text1"/>
          <w:sz w:val="24"/>
          <w:szCs w:val="24"/>
        </w:rPr>
        <w:t xml:space="preserve">When interpreting convergent and discriminant validity evidence, researchers primarily evaluate the magnitudes of </w:t>
      </w:r>
      <w:r w:rsidRPr="0032506F">
        <w:rPr>
          <w:rFonts w:ascii="Times New Roman" w:hAnsi="Times New Roman"/>
          <w:color w:val="000000" w:themeColor="text1"/>
          <w:sz w:val="24"/>
          <w:szCs w:val="24"/>
        </w:rPr>
        <w:lastRenderedPageBreak/>
        <w:t xml:space="preserve">the correlation coefficients to see whether the magnitudes are strong enough to obtain sufficient convergent validity evidence and whether the magnitudes are weak enough to obtain sufficient discriminant validity evidence (Furr, 2011). Researchers also evaluate the statistical significance of the validity coefficients while still considering the potential impact of our sample size on the significance of the validity coefficients (Furr, 2011). Researchers usually look for the statistical significance of </w:t>
      </w:r>
      <w:r w:rsidR="00D96FFF" w:rsidRPr="0032506F">
        <w:rPr>
          <w:rFonts w:ascii="Times New Roman" w:hAnsi="Times New Roman"/>
          <w:color w:val="000000" w:themeColor="text1"/>
          <w:sz w:val="24"/>
          <w:szCs w:val="24"/>
        </w:rPr>
        <w:t xml:space="preserve">moderate to </w:t>
      </w:r>
      <w:r w:rsidRPr="0032506F">
        <w:rPr>
          <w:rFonts w:ascii="Times New Roman" w:hAnsi="Times New Roman"/>
          <w:color w:val="000000" w:themeColor="text1"/>
          <w:sz w:val="24"/>
          <w:szCs w:val="24"/>
        </w:rPr>
        <w:t xml:space="preserve">strong validity coefficients when interpreting convergent validity evidence, and they usually look for non-significance of weaker validity coefficients while interpreting discriminant validity evidence, although it should be noted that statistical significance is very sensitive to large sample sizes (Furr, 2011). </w:t>
      </w:r>
    </w:p>
    <w:p w14:paraId="69AFD6BC" w14:textId="70017098" w:rsidR="00C637FD" w:rsidRPr="0032506F" w:rsidRDefault="00C637FD" w:rsidP="00522122">
      <w:pPr>
        <w:autoSpaceDE w:val="0"/>
        <w:autoSpaceDN w:val="0"/>
        <w:adjustRightInd w:val="0"/>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t xml:space="preserve">In this study, discriminant validity </w:t>
      </w:r>
      <w:r w:rsidR="00122553" w:rsidRPr="0032506F">
        <w:rPr>
          <w:rFonts w:ascii="Times New Roman" w:hAnsi="Times New Roman"/>
          <w:color w:val="000000" w:themeColor="text1"/>
          <w:sz w:val="24"/>
          <w:szCs w:val="24"/>
        </w:rPr>
        <w:t xml:space="preserve">correlation </w:t>
      </w:r>
      <w:r w:rsidRPr="0032506F">
        <w:rPr>
          <w:rFonts w:ascii="Times New Roman" w:hAnsi="Times New Roman"/>
          <w:color w:val="000000" w:themeColor="text1"/>
          <w:sz w:val="24"/>
          <w:szCs w:val="24"/>
        </w:rPr>
        <w:t xml:space="preserve">coefficients were expected to be considerably lower in strength than </w:t>
      </w:r>
      <w:r w:rsidR="00122553" w:rsidRPr="0032506F">
        <w:rPr>
          <w:rFonts w:ascii="Times New Roman" w:hAnsi="Times New Roman"/>
          <w:color w:val="000000" w:themeColor="text1"/>
          <w:sz w:val="24"/>
          <w:szCs w:val="24"/>
        </w:rPr>
        <w:t xml:space="preserve">those of </w:t>
      </w:r>
      <w:r w:rsidRPr="0032506F">
        <w:rPr>
          <w:rFonts w:ascii="Times New Roman" w:hAnsi="Times New Roman"/>
          <w:color w:val="000000" w:themeColor="text1"/>
          <w:sz w:val="24"/>
          <w:szCs w:val="24"/>
        </w:rPr>
        <w:t xml:space="preserve">convergent validity (Hubley, 2014). </w:t>
      </w:r>
      <w:r w:rsidR="00122553" w:rsidRPr="0032506F">
        <w:rPr>
          <w:rFonts w:ascii="Times New Roman" w:hAnsi="Times New Roman"/>
          <w:color w:val="000000" w:themeColor="text1"/>
          <w:sz w:val="24"/>
          <w:szCs w:val="24"/>
        </w:rPr>
        <w:t>D</w:t>
      </w:r>
      <w:r w:rsidRPr="0032506F">
        <w:rPr>
          <w:rFonts w:ascii="Times New Roman" w:hAnsi="Times New Roman"/>
          <w:color w:val="000000" w:themeColor="text1"/>
          <w:sz w:val="24"/>
          <w:szCs w:val="24"/>
        </w:rPr>
        <w:t>iscriminant validity coefficients</w:t>
      </w:r>
      <w:r w:rsidR="00122553" w:rsidRPr="0032506F">
        <w:rPr>
          <w:rFonts w:ascii="Times New Roman" w:hAnsi="Times New Roman"/>
          <w:color w:val="000000" w:themeColor="text1"/>
          <w:sz w:val="24"/>
          <w:szCs w:val="24"/>
        </w:rPr>
        <w:t xml:space="preserve"> were interpreted </w:t>
      </w:r>
      <w:r w:rsidRPr="0032506F">
        <w:rPr>
          <w:rFonts w:ascii="Times New Roman" w:hAnsi="Times New Roman"/>
          <w:color w:val="000000" w:themeColor="text1"/>
          <w:sz w:val="24"/>
          <w:szCs w:val="24"/>
        </w:rPr>
        <w:t>in comparison to convergent</w:t>
      </w:r>
      <w:r w:rsidRPr="0032506F">
        <w:rPr>
          <w:rFonts w:ascii="Times New Roman" w:hAnsi="Times New Roman"/>
          <w:bCs/>
          <w:color w:val="000000" w:themeColor="text1"/>
          <w:sz w:val="24"/>
          <w:szCs w:val="24"/>
        </w:rPr>
        <w:t xml:space="preserve"> </w:t>
      </w:r>
      <w:r w:rsidRPr="0032506F">
        <w:rPr>
          <w:rFonts w:ascii="Times New Roman" w:hAnsi="Times New Roman"/>
          <w:color w:val="000000" w:themeColor="text1"/>
          <w:sz w:val="24"/>
          <w:szCs w:val="24"/>
        </w:rPr>
        <w:t xml:space="preserve">validity coefficients, which is the recommended approach to the interpretation of convergent and discriminant validity evidence (Hubley, 2014). Translating this principle into the context of this study, </w:t>
      </w:r>
      <w:r w:rsidR="00122553" w:rsidRPr="0032506F">
        <w:rPr>
          <w:rFonts w:ascii="Times New Roman" w:hAnsi="Times New Roman"/>
          <w:color w:val="000000" w:themeColor="text1"/>
          <w:sz w:val="24"/>
          <w:szCs w:val="24"/>
        </w:rPr>
        <w:t>r</w:t>
      </w:r>
      <w:r w:rsidRPr="0032506F">
        <w:rPr>
          <w:rFonts w:ascii="Times New Roman" w:hAnsi="Times New Roman"/>
          <w:color w:val="000000" w:themeColor="text1"/>
          <w:sz w:val="24"/>
          <w:szCs w:val="24"/>
        </w:rPr>
        <w:t xml:space="preserve">elatively higher and </w:t>
      </w:r>
      <w:r w:rsidR="00122553" w:rsidRPr="0032506F">
        <w:rPr>
          <w:rFonts w:ascii="Times New Roman" w:hAnsi="Times New Roman"/>
          <w:color w:val="000000" w:themeColor="text1"/>
          <w:sz w:val="24"/>
          <w:szCs w:val="24"/>
        </w:rPr>
        <w:t xml:space="preserve">statistically </w:t>
      </w:r>
      <w:r w:rsidRPr="0032506F">
        <w:rPr>
          <w:rFonts w:ascii="Times New Roman" w:hAnsi="Times New Roman"/>
          <w:color w:val="000000" w:themeColor="text1"/>
          <w:sz w:val="24"/>
          <w:szCs w:val="24"/>
        </w:rPr>
        <w:t xml:space="preserve">significant correlations </w:t>
      </w:r>
      <w:r w:rsidR="00122553" w:rsidRPr="0032506F">
        <w:rPr>
          <w:rFonts w:ascii="Times New Roman" w:hAnsi="Times New Roman"/>
          <w:color w:val="000000" w:themeColor="text1"/>
          <w:sz w:val="24"/>
          <w:szCs w:val="24"/>
        </w:rPr>
        <w:t xml:space="preserve">were expected </w:t>
      </w:r>
      <w:r w:rsidRPr="0032506F">
        <w:rPr>
          <w:rFonts w:ascii="Times New Roman" w:hAnsi="Times New Roman"/>
          <w:color w:val="000000" w:themeColor="text1"/>
          <w:sz w:val="24"/>
          <w:szCs w:val="24"/>
        </w:rPr>
        <w:t xml:space="preserve">between the subscales of </w:t>
      </w:r>
      <w:r w:rsidR="00122553"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OEHE </w:t>
      </w:r>
      <w:r w:rsidR="00122553" w:rsidRPr="0032506F">
        <w:rPr>
          <w:rFonts w:ascii="Times New Roman" w:hAnsi="Times New Roman"/>
          <w:color w:val="000000" w:themeColor="text1"/>
          <w:sz w:val="24"/>
          <w:szCs w:val="24"/>
        </w:rPr>
        <w:t>instrument</w:t>
      </w:r>
      <w:r w:rsidRPr="0032506F">
        <w:rPr>
          <w:rFonts w:ascii="Times New Roman" w:hAnsi="Times New Roman"/>
          <w:color w:val="000000" w:themeColor="text1"/>
          <w:sz w:val="24"/>
          <w:szCs w:val="24"/>
        </w:rPr>
        <w:t xml:space="preserve"> and those of Reeve’s (2013) engagement scale as two measures of the same construct of engagement for convergent validity evidence</w:t>
      </w:r>
      <w:r w:rsidR="00122553" w:rsidRPr="0032506F">
        <w:rPr>
          <w:rFonts w:ascii="Times New Roman" w:hAnsi="Times New Roman"/>
          <w:color w:val="000000" w:themeColor="text1"/>
          <w:sz w:val="24"/>
          <w:szCs w:val="24"/>
        </w:rPr>
        <w:t>.</w:t>
      </w:r>
      <w:r w:rsidRPr="0032506F">
        <w:rPr>
          <w:rFonts w:ascii="Times New Roman" w:hAnsi="Times New Roman"/>
          <w:color w:val="000000" w:themeColor="text1"/>
          <w:sz w:val="24"/>
          <w:szCs w:val="24"/>
        </w:rPr>
        <w:t xml:space="preserve"> </w:t>
      </w:r>
      <w:r w:rsidR="00122553" w:rsidRPr="0032506F">
        <w:rPr>
          <w:rFonts w:ascii="Times New Roman" w:hAnsi="Times New Roman"/>
          <w:color w:val="000000" w:themeColor="text1"/>
          <w:sz w:val="24"/>
          <w:szCs w:val="24"/>
        </w:rPr>
        <w:t>R</w:t>
      </w:r>
      <w:r w:rsidRPr="0032506F">
        <w:rPr>
          <w:rFonts w:ascii="Times New Roman" w:hAnsi="Times New Roman"/>
          <w:color w:val="000000" w:themeColor="text1"/>
          <w:sz w:val="24"/>
          <w:szCs w:val="24"/>
        </w:rPr>
        <w:t>elatively lower or negligible and non-significant correlations</w:t>
      </w:r>
      <w:r w:rsidR="00122553" w:rsidRPr="0032506F">
        <w:rPr>
          <w:rFonts w:ascii="Times New Roman" w:hAnsi="Times New Roman"/>
          <w:color w:val="000000" w:themeColor="text1"/>
          <w:sz w:val="24"/>
          <w:szCs w:val="24"/>
        </w:rPr>
        <w:t xml:space="preserve"> were expected</w:t>
      </w:r>
      <w:r w:rsidRPr="0032506F">
        <w:rPr>
          <w:rFonts w:ascii="Times New Roman" w:hAnsi="Times New Roman"/>
          <w:color w:val="000000" w:themeColor="text1"/>
          <w:sz w:val="24"/>
          <w:szCs w:val="24"/>
        </w:rPr>
        <w:t xml:space="preserve"> between the subscales of </w:t>
      </w:r>
      <w:r w:rsidR="00122553" w:rsidRPr="0032506F">
        <w:rPr>
          <w:rFonts w:ascii="Times New Roman" w:hAnsi="Times New Roman"/>
          <w:color w:val="000000" w:themeColor="text1"/>
          <w:sz w:val="24"/>
          <w:szCs w:val="24"/>
        </w:rPr>
        <w:t>the</w:t>
      </w:r>
      <w:r w:rsidRPr="0032506F">
        <w:rPr>
          <w:rFonts w:ascii="Times New Roman" w:hAnsi="Times New Roman"/>
          <w:color w:val="000000" w:themeColor="text1"/>
          <w:sz w:val="24"/>
          <w:szCs w:val="24"/>
        </w:rPr>
        <w:t xml:space="preserve"> OEHE </w:t>
      </w:r>
      <w:r w:rsidR="00122553" w:rsidRPr="0032506F">
        <w:rPr>
          <w:rFonts w:ascii="Times New Roman" w:hAnsi="Times New Roman"/>
          <w:color w:val="000000" w:themeColor="text1"/>
          <w:sz w:val="24"/>
          <w:szCs w:val="24"/>
        </w:rPr>
        <w:t>instrument</w:t>
      </w:r>
      <w:r w:rsidRPr="0032506F">
        <w:rPr>
          <w:rFonts w:ascii="Times New Roman" w:hAnsi="Times New Roman"/>
          <w:color w:val="000000" w:themeColor="text1"/>
          <w:sz w:val="24"/>
          <w:szCs w:val="24"/>
        </w:rPr>
        <w:t xml:space="preserve"> and </w:t>
      </w:r>
      <w:r w:rsidR="009375F4"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epistemic beliefs</w:t>
      </w:r>
      <w:r w:rsidR="00122553" w:rsidRPr="0032506F">
        <w:rPr>
          <w:rFonts w:ascii="Times New Roman" w:hAnsi="Times New Roman"/>
          <w:color w:val="000000" w:themeColor="text1"/>
          <w:sz w:val="24"/>
          <w:szCs w:val="24"/>
        </w:rPr>
        <w:t xml:space="preserve"> subscale of </w:t>
      </w:r>
      <w:r w:rsidR="009375F4" w:rsidRPr="0032506F">
        <w:rPr>
          <w:rFonts w:ascii="Times New Roman" w:hAnsi="Times New Roman"/>
          <w:color w:val="000000" w:themeColor="text1"/>
          <w:sz w:val="24"/>
          <w:szCs w:val="24"/>
        </w:rPr>
        <w:t>fixed ability</w:t>
      </w:r>
      <w:r w:rsidRPr="0032506F">
        <w:rPr>
          <w:rFonts w:ascii="Times New Roman" w:hAnsi="Times New Roman"/>
          <w:color w:val="000000" w:themeColor="text1"/>
          <w:sz w:val="24"/>
          <w:szCs w:val="24"/>
        </w:rPr>
        <w:t xml:space="preserve"> as two measures of different constructs </w:t>
      </w:r>
      <w:r w:rsidRPr="0032506F">
        <w:rPr>
          <w:rFonts w:ascii="Times New Roman" w:hAnsi="Times New Roman"/>
          <w:bCs/>
          <w:color w:val="000000" w:themeColor="text1"/>
          <w:sz w:val="24"/>
          <w:szCs w:val="24"/>
        </w:rPr>
        <w:t>for discriminant validity evidence</w:t>
      </w:r>
      <w:r w:rsidRPr="0032506F">
        <w:rPr>
          <w:rFonts w:ascii="Times New Roman" w:hAnsi="Times New Roman"/>
          <w:color w:val="000000" w:themeColor="text1"/>
          <w:sz w:val="24"/>
          <w:szCs w:val="24"/>
        </w:rPr>
        <w:t xml:space="preserve">. </w:t>
      </w:r>
    </w:p>
    <w:p w14:paraId="6B5E707F" w14:textId="77777777"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72" w:name="_Toc102489455"/>
      <w:r w:rsidRPr="0032506F">
        <w:rPr>
          <w:rFonts w:ascii="Times New Roman" w:eastAsia="Calibri" w:hAnsi="Times New Roman" w:cs="Times New Roman"/>
          <w:b/>
          <w:bCs/>
          <w:i/>
          <w:iCs/>
          <w:sz w:val="24"/>
          <w:szCs w:val="24"/>
        </w:rPr>
        <w:t>Task Value</w:t>
      </w:r>
      <w:bookmarkEnd w:id="72"/>
    </w:p>
    <w:p w14:paraId="1B04F0C6" w14:textId="1E48306F" w:rsidR="00F27E50" w:rsidRPr="0032506F" w:rsidRDefault="00522122" w:rsidP="00522122">
      <w:pPr>
        <w:spacing w:line="480" w:lineRule="auto"/>
        <w:ind w:firstLine="720"/>
        <w:contextualSpacing/>
        <w:rPr>
          <w:rFonts w:ascii="Times New Roman" w:hAnsi="Times New Roman"/>
          <w:color w:val="000000" w:themeColor="text1"/>
          <w:sz w:val="24"/>
          <w:szCs w:val="24"/>
        </w:rPr>
      </w:pPr>
      <w:r w:rsidRPr="0032506F">
        <w:rPr>
          <w:rFonts w:ascii="Times New Roman" w:hAnsi="Times New Roman"/>
          <w:bCs/>
          <w:color w:val="000000" w:themeColor="text1"/>
          <w:sz w:val="24"/>
          <w:szCs w:val="24"/>
        </w:rPr>
        <w:t xml:space="preserve">For criterion-related validity evidence, </w:t>
      </w:r>
      <w:r w:rsidRPr="0032506F">
        <w:rPr>
          <w:rFonts w:ascii="Times New Roman" w:hAnsi="Times New Roman"/>
          <w:color w:val="000000" w:themeColor="text1"/>
          <w:sz w:val="24"/>
          <w:szCs w:val="24"/>
        </w:rPr>
        <w:t xml:space="preserve">a modified version of the six-item task value subscale of the 81-item Motivated Strategies for Learning Questionnaire Survey (MSLQ) </w:t>
      </w:r>
      <w:r w:rsidRPr="0032506F">
        <w:rPr>
          <w:rFonts w:ascii="Times New Roman" w:hAnsi="Times New Roman"/>
          <w:color w:val="000000" w:themeColor="text1"/>
          <w:sz w:val="24"/>
          <w:szCs w:val="24"/>
        </w:rPr>
        <w:lastRenderedPageBreak/>
        <w:t>designed to assess college students’ motivational orientations and learning strategies (Pintrich et al., 1991, 1993)</w:t>
      </w:r>
      <w:r w:rsidR="004C401F" w:rsidRPr="0032506F">
        <w:rPr>
          <w:rFonts w:ascii="Times New Roman" w:hAnsi="Times New Roman"/>
          <w:color w:val="000000" w:themeColor="text1"/>
          <w:sz w:val="24"/>
          <w:szCs w:val="24"/>
        </w:rPr>
        <w:t xml:space="preserve"> was used</w:t>
      </w:r>
      <w:r w:rsidRPr="0032506F">
        <w:rPr>
          <w:rFonts w:ascii="Times New Roman" w:hAnsi="Times New Roman"/>
          <w:color w:val="000000" w:themeColor="text1"/>
          <w:sz w:val="24"/>
          <w:szCs w:val="24"/>
        </w:rPr>
        <w:t xml:space="preserve">. </w:t>
      </w:r>
      <w:proofErr w:type="gramStart"/>
      <w:r w:rsidR="00EC25A6" w:rsidRPr="0032506F">
        <w:rPr>
          <w:rFonts w:ascii="Times New Roman" w:hAnsi="Times New Roman"/>
          <w:bCs/>
          <w:color w:val="000000" w:themeColor="text1"/>
          <w:sz w:val="24"/>
          <w:szCs w:val="24"/>
        </w:rPr>
        <w:t>In order for</w:t>
      </w:r>
      <w:proofErr w:type="gramEnd"/>
      <w:r w:rsidR="00EC25A6" w:rsidRPr="0032506F">
        <w:rPr>
          <w:rFonts w:ascii="Times New Roman" w:hAnsi="Times New Roman"/>
          <w:bCs/>
          <w:color w:val="000000" w:themeColor="text1"/>
          <w:sz w:val="24"/>
          <w:szCs w:val="24"/>
        </w:rPr>
        <w:t xml:space="preserve"> a new scale to have criterion-related validity, researchers look for some empirical relationship with a measure of a criterion variable (DeVellis, 2017). In other words, for criterion-related validity evidence, as DeVellis (2017) points out, “an item or scale is required only to have an empirical association with some criterion” (p.92). In addition, criterion-related validity as a validity term is preferable since it does not suggest any time relationship between two measures (DeVellis, 2017).</w:t>
      </w:r>
    </w:p>
    <w:p w14:paraId="210E9773" w14:textId="0BB10DE3" w:rsidR="00522122" w:rsidRPr="0032506F" w:rsidRDefault="00522122" w:rsidP="00522122">
      <w:pPr>
        <w:spacing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The MSLQ is one of th</w:t>
      </w:r>
      <w:r w:rsidR="00E85D66" w:rsidRPr="0032506F">
        <w:rPr>
          <w:rFonts w:ascii="Times New Roman" w:hAnsi="Times New Roman"/>
          <w:color w:val="000000" w:themeColor="text1"/>
          <w:sz w:val="24"/>
          <w:szCs w:val="24"/>
        </w:rPr>
        <w:t xml:space="preserve">e </w:t>
      </w:r>
      <w:r w:rsidR="006D410B" w:rsidRPr="0032506F">
        <w:rPr>
          <w:rFonts w:ascii="Times New Roman" w:hAnsi="Times New Roman"/>
          <w:color w:val="000000" w:themeColor="text1"/>
          <w:sz w:val="24"/>
          <w:szCs w:val="24"/>
        </w:rPr>
        <w:t xml:space="preserve">popular </w:t>
      </w:r>
      <w:r w:rsidRPr="0032506F">
        <w:rPr>
          <w:rFonts w:ascii="Times New Roman" w:hAnsi="Times New Roman"/>
          <w:color w:val="000000" w:themeColor="text1"/>
          <w:sz w:val="24"/>
          <w:szCs w:val="24"/>
        </w:rPr>
        <w:t>measures consistently used in educational psychology research for decades (Duncan</w:t>
      </w:r>
      <w:r w:rsidR="002C0E17"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&amp; McKeachie, 2005; Hilpert et al., 2013; Jackson, 2018). The items on th</w:t>
      </w:r>
      <w:r w:rsidR="006D410B" w:rsidRPr="0032506F">
        <w:rPr>
          <w:rFonts w:ascii="Times New Roman" w:hAnsi="Times New Roman"/>
          <w:color w:val="000000" w:themeColor="text1"/>
          <w:sz w:val="24"/>
          <w:szCs w:val="24"/>
        </w:rPr>
        <w:t>e task value</w:t>
      </w:r>
      <w:r w:rsidRPr="0032506F">
        <w:rPr>
          <w:rFonts w:ascii="Times New Roman" w:hAnsi="Times New Roman"/>
          <w:color w:val="000000" w:themeColor="text1"/>
          <w:sz w:val="24"/>
          <w:szCs w:val="24"/>
        </w:rPr>
        <w:t xml:space="preserve"> subscale are intended to assess how important, interesting, valuable, and useful a student finds a particular course in terms of the course material, content area, and subject matter (Pintrich et al., 1991, 1993). The MSLQ uses a seven-point Likert scale from 1=Not at all true of me to 7= Very true of me. Reliability and validity evidence of the MSLQ instrument was documented by prior research (</w:t>
      </w:r>
      <w:r w:rsidR="00802AAB" w:rsidRPr="0032506F">
        <w:rPr>
          <w:rFonts w:ascii="Times New Roman" w:hAnsi="Times New Roman"/>
          <w:color w:val="000000" w:themeColor="text1"/>
          <w:sz w:val="24"/>
          <w:szCs w:val="24"/>
        </w:rPr>
        <w:t xml:space="preserve">Credé &amp; Phillips, 2011; </w:t>
      </w:r>
      <w:r w:rsidRPr="0032506F">
        <w:rPr>
          <w:rFonts w:ascii="Times New Roman" w:hAnsi="Times New Roman"/>
          <w:color w:val="000000" w:themeColor="text1"/>
          <w:sz w:val="24"/>
          <w:szCs w:val="24"/>
        </w:rPr>
        <w:t>Pintrich et al., 1993</w:t>
      </w:r>
      <w:r w:rsidR="00802AAB" w:rsidRPr="0032506F">
        <w:rPr>
          <w:rFonts w:ascii="Times New Roman" w:hAnsi="Times New Roman"/>
          <w:color w:val="000000" w:themeColor="text1"/>
          <w:sz w:val="24"/>
          <w:szCs w:val="24"/>
        </w:rPr>
        <w:t>).</w:t>
      </w:r>
      <w:r w:rsidRPr="0032506F">
        <w:rPr>
          <w:rFonts w:ascii="Times New Roman" w:hAnsi="Times New Roman"/>
          <w:color w:val="000000" w:themeColor="text1"/>
          <w:sz w:val="24"/>
          <w:szCs w:val="24"/>
        </w:rPr>
        <w:t xml:space="preserve"> Pintrich et al. (1993) originally reported the Cronbach’s alpha of .90 for the subscale of six task value items. Each of the six items on this subscale was slightly modified to fit the items to the online learning context</w:t>
      </w:r>
      <w:r w:rsidR="00920B49"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see </w:t>
      </w:r>
      <w:hyperlink w:anchor="_Appendix_P_ask" w:history="1">
        <w:r w:rsidRPr="0032506F">
          <w:rPr>
            <w:rStyle w:val="Hyperlink"/>
            <w:rFonts w:ascii="Times New Roman" w:hAnsi="Times New Roman"/>
            <w:sz w:val="24"/>
            <w:szCs w:val="24"/>
          </w:rPr>
          <w:t xml:space="preserve">Appendix </w:t>
        </w:r>
        <w:r w:rsidR="00B2724D">
          <w:rPr>
            <w:rStyle w:val="Hyperlink"/>
            <w:rFonts w:ascii="Times New Roman" w:hAnsi="Times New Roman"/>
            <w:sz w:val="24"/>
            <w:szCs w:val="24"/>
          </w:rPr>
          <w:t>K</w:t>
        </w:r>
      </w:hyperlink>
      <w:r w:rsidRPr="0032506F">
        <w:rPr>
          <w:rFonts w:ascii="Times New Roman" w:hAnsi="Times New Roman"/>
          <w:color w:val="000000" w:themeColor="text1"/>
          <w:sz w:val="24"/>
          <w:szCs w:val="24"/>
        </w:rPr>
        <w:t>).</w:t>
      </w:r>
      <w:r w:rsidR="00920B49" w:rsidRPr="0032506F">
        <w:rPr>
          <w:rFonts w:ascii="Times New Roman" w:hAnsi="Times New Roman"/>
          <w:color w:val="000000" w:themeColor="text1"/>
          <w:sz w:val="24"/>
          <w:szCs w:val="24"/>
        </w:rPr>
        <w:t xml:space="preserve"> </w:t>
      </w:r>
    </w:p>
    <w:p w14:paraId="543EDF1F" w14:textId="5A96BD35" w:rsidR="00ED6C67" w:rsidRPr="0032506F" w:rsidRDefault="00ED6C67" w:rsidP="00522122">
      <w:pPr>
        <w:spacing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Task value is one of those underlying motivational factors influencing student engagement in the academic learning process (Olivier et al., 2020). </w:t>
      </w:r>
      <w:r w:rsidR="00DB16C2" w:rsidRPr="0032506F">
        <w:rPr>
          <w:rFonts w:ascii="Times New Roman" w:hAnsi="Times New Roman"/>
          <w:color w:val="000000" w:themeColor="text1"/>
          <w:sz w:val="24"/>
          <w:szCs w:val="24"/>
        </w:rPr>
        <w:t>It basically refers to students’ perceptions regarding how interesting, enjoyable, important, and useful they find a particular academic task or the course content as well as the amount of time and effort needed to master (i.e., cost) (Wigfield &amp; Eccles, 2000).</w:t>
      </w:r>
      <w:r w:rsidR="0075778C" w:rsidRPr="0032506F">
        <w:rPr>
          <w:rFonts w:ascii="Times New Roman" w:hAnsi="Times New Roman"/>
          <w:color w:val="000000" w:themeColor="text1"/>
          <w:sz w:val="24"/>
          <w:szCs w:val="24"/>
        </w:rPr>
        <w:t xml:space="preserve"> Such theoretical relationships between motivation constructs, such as task value, and engagement are also pointed out in the relevant engagement </w:t>
      </w:r>
      <w:r w:rsidR="0075778C" w:rsidRPr="0032506F">
        <w:rPr>
          <w:rFonts w:ascii="Times New Roman" w:hAnsi="Times New Roman"/>
          <w:color w:val="000000" w:themeColor="text1"/>
          <w:sz w:val="24"/>
          <w:szCs w:val="24"/>
        </w:rPr>
        <w:lastRenderedPageBreak/>
        <w:t xml:space="preserve">literature (Finn &amp; Zimmer, 2012). </w:t>
      </w:r>
      <w:r w:rsidR="00D06F14" w:rsidRPr="0032506F">
        <w:rPr>
          <w:rFonts w:ascii="Times New Roman" w:hAnsi="Times New Roman"/>
          <w:color w:val="000000" w:themeColor="text1"/>
          <w:sz w:val="24"/>
          <w:szCs w:val="24"/>
        </w:rPr>
        <w:t>Prior research has also empirically supported these theoretical relationships between the two constructs by reporting significant positive correlations between task value and student engagement (e.g., Olivier et al., 2020).</w:t>
      </w:r>
      <w:r w:rsidR="00530AF0" w:rsidRPr="0032506F">
        <w:t xml:space="preserve"> </w:t>
      </w:r>
      <w:r w:rsidR="00530AF0" w:rsidRPr="0032506F">
        <w:rPr>
          <w:rFonts w:ascii="Times New Roman" w:hAnsi="Times New Roman" w:cs="Times New Roman"/>
          <w:sz w:val="24"/>
          <w:szCs w:val="24"/>
        </w:rPr>
        <w:t>M</w:t>
      </w:r>
      <w:r w:rsidR="00530AF0" w:rsidRPr="0032506F">
        <w:rPr>
          <w:rFonts w:ascii="Times New Roman" w:hAnsi="Times New Roman" w:cs="Times New Roman"/>
          <w:color w:val="000000" w:themeColor="text1"/>
          <w:sz w:val="24"/>
          <w:szCs w:val="24"/>
        </w:rPr>
        <w:t>oderate</w:t>
      </w:r>
      <w:r w:rsidR="00530AF0" w:rsidRPr="0032506F">
        <w:rPr>
          <w:rFonts w:ascii="Times New Roman" w:hAnsi="Times New Roman"/>
          <w:color w:val="000000" w:themeColor="text1"/>
          <w:sz w:val="24"/>
          <w:szCs w:val="24"/>
        </w:rPr>
        <w:t>, significant, and positive correlations were expected between the OEHE scores and task value scores as evidence of criterion-related validity. Criterion validity was assessed in this study in addition to convergent and discriminant validity because a new educational measure would be of little use and practical value if it were not related to any other important educational or motivational criteria (e.g., task value) and if it did not provide any further insights into informed decisions about individuals being measured (Messick, 1989, 1995a</w:t>
      </w:r>
      <w:r w:rsidR="009B79FC" w:rsidRPr="0032506F">
        <w:rPr>
          <w:rFonts w:ascii="Times New Roman" w:hAnsi="Times New Roman"/>
          <w:color w:val="000000" w:themeColor="text1"/>
          <w:sz w:val="24"/>
          <w:szCs w:val="24"/>
        </w:rPr>
        <w:t>, 1995b</w:t>
      </w:r>
      <w:r w:rsidR="00530AF0" w:rsidRPr="0032506F">
        <w:rPr>
          <w:rFonts w:ascii="Times New Roman" w:hAnsi="Times New Roman"/>
          <w:color w:val="000000" w:themeColor="text1"/>
          <w:sz w:val="24"/>
          <w:szCs w:val="24"/>
        </w:rPr>
        <w:t>).</w:t>
      </w:r>
    </w:p>
    <w:p w14:paraId="0A127BBD" w14:textId="77777777"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73" w:name="_Toc102489456"/>
      <w:r w:rsidRPr="0032506F">
        <w:rPr>
          <w:rFonts w:ascii="Times New Roman" w:eastAsia="Calibri" w:hAnsi="Times New Roman" w:cs="Times New Roman"/>
          <w:b/>
          <w:bCs/>
          <w:i/>
          <w:iCs/>
          <w:sz w:val="24"/>
          <w:szCs w:val="24"/>
        </w:rPr>
        <w:t>Online Course Context, Demographic, and Equity/Inclusiveness Questions</w:t>
      </w:r>
      <w:bookmarkEnd w:id="73"/>
    </w:p>
    <w:p w14:paraId="0221C5A0" w14:textId="6F3AEE90" w:rsidR="00522122" w:rsidRPr="0032506F" w:rsidRDefault="00522122" w:rsidP="00522122">
      <w:pPr>
        <w:spacing w:after="0" w:line="480" w:lineRule="auto"/>
        <w:ind w:firstLine="720"/>
        <w:contextualSpacing/>
        <w:rPr>
          <w:rFonts w:ascii="Times New Roman" w:hAnsi="Times New Roman"/>
          <w:bCs/>
          <w:color w:val="000000" w:themeColor="text1"/>
          <w:sz w:val="24"/>
          <w:szCs w:val="24"/>
        </w:rPr>
      </w:pPr>
      <w:r w:rsidRPr="0032506F">
        <w:rPr>
          <w:rFonts w:ascii="Times New Roman" w:hAnsi="Times New Roman"/>
          <w:bCs/>
          <w:color w:val="000000" w:themeColor="text1"/>
          <w:sz w:val="24"/>
          <w:szCs w:val="24"/>
        </w:rPr>
        <w:t>In the first section of the online survey, participants responded to a couple of context questions about their specific online learning environments and experiences. In the last section of the online survey, participants also responded to a couple of demographic and educational background questions. They also responded to a couple of inclusiveness</w:t>
      </w:r>
      <w:r w:rsidR="00A05D4B" w:rsidRPr="0032506F">
        <w:rPr>
          <w:rFonts w:ascii="Times New Roman" w:hAnsi="Times New Roman"/>
          <w:bCs/>
          <w:color w:val="000000" w:themeColor="text1"/>
          <w:sz w:val="24"/>
          <w:szCs w:val="24"/>
        </w:rPr>
        <w:t xml:space="preserve">, bias, </w:t>
      </w:r>
      <w:r w:rsidR="00030F8A" w:rsidRPr="0032506F">
        <w:rPr>
          <w:rFonts w:ascii="Times New Roman" w:hAnsi="Times New Roman"/>
          <w:bCs/>
          <w:color w:val="000000" w:themeColor="text1"/>
          <w:sz w:val="24"/>
          <w:szCs w:val="24"/>
        </w:rPr>
        <w:t xml:space="preserve">and </w:t>
      </w:r>
      <w:r w:rsidR="00A05D4B" w:rsidRPr="0032506F">
        <w:rPr>
          <w:rFonts w:ascii="Times New Roman" w:hAnsi="Times New Roman"/>
          <w:bCs/>
          <w:color w:val="000000" w:themeColor="text1"/>
          <w:sz w:val="24"/>
          <w:szCs w:val="24"/>
        </w:rPr>
        <w:t>a</w:t>
      </w:r>
      <w:r w:rsidRPr="0032506F">
        <w:rPr>
          <w:rFonts w:ascii="Times New Roman" w:hAnsi="Times New Roman"/>
          <w:bCs/>
          <w:color w:val="000000" w:themeColor="text1"/>
          <w:sz w:val="24"/>
          <w:szCs w:val="24"/>
        </w:rPr>
        <w:t xml:space="preserve">ccessibility questions regarding their online learning experiences. </w:t>
      </w:r>
      <w:r w:rsidR="002411C1" w:rsidRPr="0032506F">
        <w:rPr>
          <w:rFonts w:ascii="Times New Roman" w:hAnsi="Times New Roman"/>
          <w:bCs/>
          <w:color w:val="000000" w:themeColor="text1"/>
          <w:sz w:val="24"/>
          <w:szCs w:val="24"/>
        </w:rPr>
        <w:t>T</w:t>
      </w:r>
      <w:r w:rsidR="00096818" w:rsidRPr="0032506F">
        <w:rPr>
          <w:rFonts w:ascii="Times New Roman" w:hAnsi="Times New Roman"/>
          <w:bCs/>
          <w:color w:val="000000" w:themeColor="text1"/>
          <w:sz w:val="24"/>
          <w:szCs w:val="24"/>
        </w:rPr>
        <w:t>he data regarding inclusiveness, bias, and accessibility perceptions</w:t>
      </w:r>
      <w:r w:rsidR="002411C1" w:rsidRPr="0032506F">
        <w:rPr>
          <w:rFonts w:ascii="Times New Roman" w:hAnsi="Times New Roman"/>
          <w:bCs/>
          <w:color w:val="000000" w:themeColor="text1"/>
          <w:sz w:val="24"/>
          <w:szCs w:val="24"/>
        </w:rPr>
        <w:t xml:space="preserve"> were collected</w:t>
      </w:r>
      <w:r w:rsidR="00096818" w:rsidRPr="0032506F">
        <w:rPr>
          <w:rFonts w:ascii="Times New Roman" w:hAnsi="Times New Roman"/>
          <w:bCs/>
          <w:color w:val="000000" w:themeColor="text1"/>
          <w:sz w:val="24"/>
          <w:szCs w:val="24"/>
        </w:rPr>
        <w:t xml:space="preserve"> to evaluate the extent to which the sample of the study included and was representative of individuals from diverse populations and their social</w:t>
      </w:r>
      <w:r w:rsidR="00A955D6" w:rsidRPr="0032506F">
        <w:rPr>
          <w:rFonts w:ascii="Times New Roman" w:hAnsi="Times New Roman"/>
          <w:bCs/>
          <w:color w:val="000000" w:themeColor="text1"/>
          <w:sz w:val="24"/>
          <w:szCs w:val="24"/>
        </w:rPr>
        <w:t xml:space="preserve"> contexts (Cintron &amp; Hagan, 2021). </w:t>
      </w:r>
    </w:p>
    <w:p w14:paraId="64A734EF" w14:textId="35683E76" w:rsidR="00522122" w:rsidRPr="0032506F" w:rsidRDefault="00522122" w:rsidP="00522122">
      <w:pPr>
        <w:keepNext/>
        <w:keepLines/>
        <w:spacing w:after="0" w:line="480" w:lineRule="auto"/>
        <w:outlineLvl w:val="1"/>
        <w:rPr>
          <w:rFonts w:ascii="Times New Roman" w:eastAsia="Calibri" w:hAnsi="Times New Roman" w:cs="Times New Roman"/>
          <w:b/>
          <w:bCs/>
          <w:sz w:val="24"/>
          <w:szCs w:val="24"/>
        </w:rPr>
      </w:pPr>
      <w:bookmarkStart w:id="74" w:name="_Toc102489457"/>
      <w:r w:rsidRPr="0032506F">
        <w:rPr>
          <w:rFonts w:ascii="Times New Roman" w:eastAsia="Calibri" w:hAnsi="Times New Roman" w:cs="Times New Roman"/>
          <w:b/>
          <w:bCs/>
          <w:sz w:val="24"/>
          <w:szCs w:val="24"/>
        </w:rPr>
        <w:t>Data Analysis</w:t>
      </w:r>
      <w:bookmarkEnd w:id="74"/>
      <w:r w:rsidRPr="0032506F">
        <w:rPr>
          <w:rFonts w:ascii="Times New Roman" w:eastAsia="Calibri" w:hAnsi="Times New Roman" w:cs="Times New Roman"/>
          <w:b/>
          <w:bCs/>
          <w:sz w:val="24"/>
          <w:szCs w:val="24"/>
        </w:rPr>
        <w:t xml:space="preserve"> </w:t>
      </w:r>
    </w:p>
    <w:p w14:paraId="7DA69C4D" w14:textId="6F46E001" w:rsidR="00522122" w:rsidRPr="0032506F" w:rsidRDefault="00522122" w:rsidP="00522122">
      <w:pPr>
        <w:spacing w:line="480" w:lineRule="auto"/>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ab/>
        <w:t>After the large-group online survey was closed</w:t>
      </w:r>
      <w:r w:rsidR="00F669F9" w:rsidRPr="0032506F">
        <w:rPr>
          <w:rFonts w:ascii="Times New Roman" w:hAnsi="Times New Roman"/>
          <w:color w:val="000000" w:themeColor="text1"/>
          <w:sz w:val="24"/>
          <w:szCs w:val="24"/>
        </w:rPr>
        <w:t>, t</w:t>
      </w:r>
      <w:r w:rsidRPr="0032506F">
        <w:rPr>
          <w:rFonts w:ascii="Times New Roman" w:hAnsi="Times New Roman"/>
          <w:color w:val="000000" w:themeColor="text1"/>
          <w:sz w:val="24"/>
          <w:szCs w:val="24"/>
        </w:rPr>
        <w:t>he raw data set</w:t>
      </w:r>
      <w:r w:rsidR="00F669F9" w:rsidRPr="0032506F">
        <w:rPr>
          <w:rFonts w:ascii="Times New Roman" w:hAnsi="Times New Roman"/>
          <w:color w:val="000000" w:themeColor="text1"/>
          <w:sz w:val="24"/>
          <w:szCs w:val="24"/>
        </w:rPr>
        <w:t xml:space="preserve"> was downloaded</w:t>
      </w:r>
      <w:r w:rsidRPr="0032506F">
        <w:rPr>
          <w:rFonts w:ascii="Times New Roman" w:hAnsi="Times New Roman"/>
          <w:color w:val="000000" w:themeColor="text1"/>
          <w:sz w:val="24"/>
          <w:szCs w:val="24"/>
        </w:rPr>
        <w:t xml:space="preserve"> from Qualtrics as an SPSS file and started cleaning the raw data set using IBM SPSS Statistics 27. </w:t>
      </w:r>
    </w:p>
    <w:p w14:paraId="7BC720E4" w14:textId="61879E66"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75" w:name="_Toc102489458"/>
      <w:r w:rsidRPr="0032506F">
        <w:rPr>
          <w:rFonts w:ascii="Times New Roman" w:eastAsia="Calibri" w:hAnsi="Times New Roman" w:cs="Times New Roman"/>
          <w:b/>
          <w:bCs/>
          <w:i/>
          <w:iCs/>
          <w:sz w:val="24"/>
          <w:szCs w:val="24"/>
        </w:rPr>
        <w:lastRenderedPageBreak/>
        <w:t>Data Cleaning</w:t>
      </w:r>
      <w:r w:rsidR="004B6602" w:rsidRPr="0032506F">
        <w:rPr>
          <w:rFonts w:ascii="Times New Roman" w:eastAsia="Calibri" w:hAnsi="Times New Roman" w:cs="Times New Roman"/>
          <w:b/>
          <w:bCs/>
          <w:i/>
          <w:iCs/>
          <w:sz w:val="24"/>
          <w:szCs w:val="24"/>
        </w:rPr>
        <w:t xml:space="preserve">, </w:t>
      </w:r>
      <w:r w:rsidRPr="0032506F">
        <w:rPr>
          <w:rFonts w:ascii="Times New Roman" w:eastAsia="Calibri" w:hAnsi="Times New Roman" w:cs="Times New Roman"/>
          <w:b/>
          <w:bCs/>
          <w:i/>
          <w:iCs/>
          <w:sz w:val="24"/>
          <w:szCs w:val="24"/>
        </w:rPr>
        <w:t>Minimum Criteria Screening</w:t>
      </w:r>
      <w:r w:rsidR="004B6602" w:rsidRPr="0032506F">
        <w:rPr>
          <w:rFonts w:ascii="Times New Roman" w:eastAsia="Calibri" w:hAnsi="Times New Roman" w:cs="Times New Roman"/>
          <w:b/>
          <w:bCs/>
          <w:i/>
          <w:iCs/>
          <w:sz w:val="24"/>
          <w:szCs w:val="24"/>
        </w:rPr>
        <w:t>, and Missing Data</w:t>
      </w:r>
      <w:bookmarkEnd w:id="75"/>
    </w:p>
    <w:p w14:paraId="32DD2687" w14:textId="60DF3876" w:rsidR="00522122" w:rsidRPr="0032506F" w:rsidRDefault="00522122" w:rsidP="00522122">
      <w:pPr>
        <w:spacing w:after="0" w:line="480" w:lineRule="auto"/>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ab/>
        <w:t>The raw data set before cleaning had a total of 813 recorded responses on Qualtrics.</w:t>
      </w:r>
      <w:r w:rsidR="00C4032F" w:rsidRPr="0032506F">
        <w:rPr>
          <w:rFonts w:ascii="Times New Roman" w:hAnsi="Times New Roman"/>
          <w:color w:val="000000" w:themeColor="text1"/>
          <w:sz w:val="24"/>
          <w:szCs w:val="24"/>
        </w:rPr>
        <w:t xml:space="preserve"> As a result of data</w:t>
      </w:r>
      <w:r w:rsidR="00A9564F" w:rsidRPr="0032506F">
        <w:rPr>
          <w:rFonts w:ascii="Times New Roman" w:hAnsi="Times New Roman"/>
          <w:color w:val="000000" w:themeColor="text1"/>
          <w:sz w:val="24"/>
          <w:szCs w:val="24"/>
        </w:rPr>
        <w:t xml:space="preserve"> cleaning and minimum-criteria screening, </w:t>
      </w:r>
      <w:r w:rsidRPr="0032506F">
        <w:rPr>
          <w:rFonts w:ascii="Times New Roman" w:hAnsi="Times New Roman"/>
          <w:color w:val="000000" w:themeColor="text1"/>
          <w:sz w:val="24"/>
          <w:szCs w:val="24"/>
        </w:rPr>
        <w:t xml:space="preserve">364 </w:t>
      </w:r>
      <w:r w:rsidR="00E5204A" w:rsidRPr="0032506F">
        <w:rPr>
          <w:rFonts w:ascii="Times New Roman" w:hAnsi="Times New Roman"/>
          <w:color w:val="000000" w:themeColor="text1"/>
          <w:sz w:val="24"/>
          <w:szCs w:val="24"/>
        </w:rPr>
        <w:t>min</w:t>
      </w:r>
      <w:r w:rsidR="00F54AC4" w:rsidRPr="0032506F">
        <w:rPr>
          <w:rFonts w:ascii="Times New Roman" w:hAnsi="Times New Roman"/>
          <w:color w:val="000000" w:themeColor="text1"/>
          <w:sz w:val="24"/>
          <w:szCs w:val="24"/>
        </w:rPr>
        <w:t>i</w:t>
      </w:r>
      <w:r w:rsidR="00E5204A" w:rsidRPr="0032506F">
        <w:rPr>
          <w:rFonts w:ascii="Times New Roman" w:hAnsi="Times New Roman"/>
          <w:color w:val="000000" w:themeColor="text1"/>
          <w:sz w:val="24"/>
          <w:szCs w:val="24"/>
        </w:rPr>
        <w:t xml:space="preserve">mum-criteria fulfilling </w:t>
      </w:r>
      <w:r w:rsidRPr="0032506F">
        <w:rPr>
          <w:rFonts w:ascii="Times New Roman" w:hAnsi="Times New Roman"/>
          <w:color w:val="000000" w:themeColor="text1"/>
          <w:sz w:val="24"/>
          <w:szCs w:val="24"/>
        </w:rPr>
        <w:t>cases</w:t>
      </w:r>
      <w:r w:rsidR="00A9564F" w:rsidRPr="0032506F">
        <w:rPr>
          <w:rFonts w:ascii="Times New Roman" w:hAnsi="Times New Roman"/>
          <w:color w:val="000000" w:themeColor="text1"/>
          <w:sz w:val="24"/>
          <w:szCs w:val="24"/>
        </w:rPr>
        <w:t xml:space="preserve"> remained</w:t>
      </w:r>
      <w:r w:rsidR="00E5204A" w:rsidRPr="0032506F">
        <w:rPr>
          <w:rFonts w:ascii="Times New Roman" w:hAnsi="Times New Roman"/>
          <w:color w:val="000000" w:themeColor="text1"/>
          <w:sz w:val="24"/>
          <w:szCs w:val="24"/>
        </w:rPr>
        <w:t xml:space="preserve"> (see </w:t>
      </w:r>
      <w:hyperlink w:anchor="_Appendix_N_Engagement" w:history="1">
        <w:r w:rsidR="00E5204A" w:rsidRPr="0032506F">
          <w:rPr>
            <w:rStyle w:val="Hyperlink"/>
            <w:rFonts w:ascii="Times New Roman" w:hAnsi="Times New Roman"/>
            <w:sz w:val="24"/>
            <w:szCs w:val="24"/>
          </w:rPr>
          <w:t xml:space="preserve">Appendix </w:t>
        </w:r>
        <w:r w:rsidR="002623E1">
          <w:rPr>
            <w:rStyle w:val="Hyperlink"/>
            <w:rFonts w:ascii="Times New Roman" w:hAnsi="Times New Roman"/>
            <w:sz w:val="24"/>
            <w:szCs w:val="24"/>
          </w:rPr>
          <w:t>F</w:t>
        </w:r>
      </w:hyperlink>
      <w:r w:rsidR="00E5204A" w:rsidRPr="0032506F">
        <w:rPr>
          <w:rFonts w:ascii="Times New Roman" w:hAnsi="Times New Roman"/>
          <w:color w:val="000000" w:themeColor="text1"/>
          <w:sz w:val="24"/>
          <w:szCs w:val="24"/>
        </w:rPr>
        <w:t>)</w:t>
      </w:r>
      <w:r w:rsidRPr="0032506F">
        <w:rPr>
          <w:rFonts w:ascii="Times New Roman" w:hAnsi="Times New Roman"/>
          <w:color w:val="000000" w:themeColor="text1"/>
          <w:sz w:val="24"/>
          <w:szCs w:val="24"/>
        </w:rPr>
        <w:t xml:space="preserve">. </w:t>
      </w:r>
      <w:bookmarkStart w:id="76" w:name="_Hlk91494164"/>
      <w:r w:rsidR="00F54AC4" w:rsidRPr="0032506F">
        <w:rPr>
          <w:rFonts w:ascii="Times New Roman" w:hAnsi="Times New Roman"/>
          <w:color w:val="000000" w:themeColor="text1"/>
          <w:sz w:val="24"/>
          <w:szCs w:val="24"/>
        </w:rPr>
        <w:t xml:space="preserve">These </w:t>
      </w:r>
      <w:r w:rsidRPr="0032506F">
        <w:rPr>
          <w:rFonts w:ascii="Times New Roman" w:hAnsi="Times New Roman"/>
          <w:color w:val="000000" w:themeColor="text1"/>
          <w:sz w:val="24"/>
          <w:szCs w:val="24"/>
        </w:rPr>
        <w:t xml:space="preserve">364 cases </w:t>
      </w:r>
      <w:r w:rsidR="00F54AC4" w:rsidRPr="0032506F">
        <w:rPr>
          <w:rFonts w:ascii="Times New Roman" w:hAnsi="Times New Roman"/>
          <w:color w:val="000000" w:themeColor="text1"/>
          <w:sz w:val="24"/>
          <w:szCs w:val="24"/>
        </w:rPr>
        <w:t xml:space="preserve">were screened </w:t>
      </w:r>
      <w:r w:rsidRPr="0032506F">
        <w:rPr>
          <w:rFonts w:ascii="Times New Roman" w:hAnsi="Times New Roman"/>
          <w:color w:val="000000" w:themeColor="text1"/>
          <w:sz w:val="24"/>
          <w:szCs w:val="24"/>
        </w:rPr>
        <w:t xml:space="preserve">for their missing values and missing data patterns on </w:t>
      </w:r>
      <w:r w:rsidR="004B6602"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OEHE items, the measure under investigation in this study. Thirty respondents </w:t>
      </w:r>
      <w:bookmarkEnd w:id="76"/>
      <w:r w:rsidRPr="0032506F">
        <w:rPr>
          <w:rFonts w:ascii="Times New Roman" w:hAnsi="Times New Roman"/>
          <w:color w:val="000000" w:themeColor="text1"/>
          <w:sz w:val="24"/>
          <w:szCs w:val="24"/>
        </w:rPr>
        <w:t xml:space="preserve">having missing data on the OEHE items were listwise deleted as well, leading to 334 minimum-criteria-fulfilling cases with complete data on </w:t>
      </w:r>
      <w:r w:rsidR="00F54AC4"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OEHE items</w:t>
      </w:r>
      <w:r w:rsidR="00F54AC4" w:rsidRPr="0032506F">
        <w:rPr>
          <w:rFonts w:ascii="Times New Roman" w:hAnsi="Times New Roman" w:cs="Times New Roman"/>
          <w:sz w:val="24"/>
          <w:szCs w:val="24"/>
        </w:rPr>
        <w:t xml:space="preserve">. </w:t>
      </w:r>
      <w:r w:rsidR="004B6602" w:rsidRPr="0032506F">
        <w:rPr>
          <w:rFonts w:ascii="Times New Roman" w:hAnsi="Times New Roman" w:cs="Times New Roman"/>
          <w:sz w:val="24"/>
          <w:szCs w:val="24"/>
        </w:rPr>
        <w:t xml:space="preserve">The Little’s MCAR test was conducted on the sixty-six OEHE indicator variables to identify the pattern of missingness and the </w:t>
      </w:r>
      <w:proofErr w:type="gramStart"/>
      <w:r w:rsidR="004B6602" w:rsidRPr="0032506F">
        <w:rPr>
          <w:rFonts w:ascii="Times New Roman" w:hAnsi="Times New Roman" w:cs="Times New Roman"/>
          <w:sz w:val="24"/>
          <w:szCs w:val="24"/>
        </w:rPr>
        <w:t>Little’s</w:t>
      </w:r>
      <w:proofErr w:type="gramEnd"/>
      <w:r w:rsidR="004B6602" w:rsidRPr="0032506F">
        <w:rPr>
          <w:rFonts w:ascii="Times New Roman" w:hAnsi="Times New Roman" w:cs="Times New Roman"/>
          <w:sz w:val="24"/>
          <w:szCs w:val="24"/>
        </w:rPr>
        <w:t xml:space="preserve"> test was found to be non-significant, Little’s MCAR Test Chi-square = 69.294, df = 67, </w:t>
      </w:r>
      <w:r w:rsidR="004B6602" w:rsidRPr="001334C8">
        <w:rPr>
          <w:rFonts w:ascii="Times New Roman" w:hAnsi="Times New Roman" w:cs="Times New Roman"/>
          <w:i/>
          <w:iCs/>
          <w:sz w:val="24"/>
          <w:szCs w:val="24"/>
        </w:rPr>
        <w:t>p</w:t>
      </w:r>
      <w:r w:rsidR="004B6602" w:rsidRPr="0032506F">
        <w:rPr>
          <w:rFonts w:ascii="Times New Roman" w:hAnsi="Times New Roman" w:cs="Times New Roman"/>
          <w:sz w:val="24"/>
          <w:szCs w:val="24"/>
        </w:rPr>
        <w:t xml:space="preserve"> = .400, indicating that the missing data on the OEHE variables were missing completely at random (MCAR), which further makes the use of listwise deletion a reasonable choice (Schafer &amp; Graham, 2002). </w:t>
      </w:r>
    </w:p>
    <w:p w14:paraId="691BC5E2" w14:textId="77777777" w:rsidR="00522122" w:rsidRPr="0032506F" w:rsidRDefault="00522122" w:rsidP="00522122">
      <w:pPr>
        <w:keepNext/>
        <w:keepLines/>
        <w:spacing w:after="0" w:line="480" w:lineRule="auto"/>
        <w:outlineLvl w:val="2"/>
        <w:rPr>
          <w:rFonts w:ascii="Times New Roman" w:eastAsia="Calibri" w:hAnsi="Times New Roman" w:cs="Times New Roman"/>
          <w:b/>
          <w:bCs/>
          <w:i/>
          <w:iCs/>
          <w:sz w:val="24"/>
          <w:szCs w:val="24"/>
        </w:rPr>
      </w:pPr>
      <w:bookmarkStart w:id="77" w:name="_Toc102489459"/>
      <w:bookmarkStart w:id="78" w:name="_Hlk91493081"/>
      <w:r w:rsidRPr="0032506F">
        <w:rPr>
          <w:rFonts w:ascii="Times New Roman" w:eastAsia="Calibri" w:hAnsi="Times New Roman" w:cs="Times New Roman"/>
          <w:b/>
          <w:bCs/>
          <w:i/>
          <w:iCs/>
          <w:sz w:val="24"/>
          <w:szCs w:val="24"/>
        </w:rPr>
        <w:t xml:space="preserve">Preliminary </w:t>
      </w:r>
      <w:bookmarkStart w:id="79" w:name="_Hlk89856330"/>
      <w:r w:rsidRPr="0032506F">
        <w:rPr>
          <w:rFonts w:ascii="Times New Roman" w:eastAsia="Calibri" w:hAnsi="Times New Roman" w:cs="Times New Roman"/>
          <w:b/>
          <w:bCs/>
          <w:i/>
          <w:iCs/>
          <w:sz w:val="24"/>
          <w:szCs w:val="24"/>
        </w:rPr>
        <w:t>Analyses of Data</w:t>
      </w:r>
      <w:bookmarkEnd w:id="77"/>
      <w:r w:rsidRPr="0032506F">
        <w:rPr>
          <w:rFonts w:ascii="Times New Roman" w:eastAsia="Calibri" w:hAnsi="Times New Roman" w:cs="Times New Roman"/>
          <w:b/>
          <w:bCs/>
          <w:i/>
          <w:iCs/>
          <w:sz w:val="24"/>
          <w:szCs w:val="24"/>
        </w:rPr>
        <w:t xml:space="preserve"> </w:t>
      </w:r>
    </w:p>
    <w:bookmarkEnd w:id="78"/>
    <w:bookmarkEnd w:id="79"/>
    <w:p w14:paraId="6D35BE6E" w14:textId="5B4AC81B" w:rsidR="00522122" w:rsidRPr="0032506F" w:rsidRDefault="009C5062" w:rsidP="00522122">
      <w:pPr>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r>
      <w:r w:rsidR="00522122" w:rsidRPr="0032506F">
        <w:rPr>
          <w:rFonts w:ascii="Times New Roman" w:hAnsi="Times New Roman"/>
          <w:color w:val="000000" w:themeColor="text1"/>
          <w:sz w:val="24"/>
          <w:szCs w:val="24"/>
        </w:rPr>
        <w:t xml:space="preserve">After reverse-coding the three negatively worded OEHE items </w:t>
      </w:r>
      <w:bookmarkStart w:id="80" w:name="_Hlk91518070"/>
      <w:r w:rsidR="00522122" w:rsidRPr="0032506F">
        <w:rPr>
          <w:rFonts w:ascii="Times New Roman" w:hAnsi="Times New Roman"/>
          <w:color w:val="000000" w:themeColor="text1"/>
          <w:sz w:val="24"/>
          <w:szCs w:val="24"/>
        </w:rPr>
        <w:t>OBE18, OEE21, and OCE16</w:t>
      </w:r>
      <w:bookmarkEnd w:id="80"/>
      <w:r w:rsidR="00522122" w:rsidRPr="0032506F">
        <w:rPr>
          <w:rFonts w:ascii="Times New Roman" w:hAnsi="Times New Roman"/>
          <w:color w:val="000000" w:themeColor="text1"/>
          <w:sz w:val="24"/>
          <w:szCs w:val="24"/>
        </w:rPr>
        <w:t xml:space="preserve">, </w:t>
      </w:r>
      <w:proofErr w:type="gramStart"/>
      <w:r w:rsidR="00522122" w:rsidRPr="0032506F">
        <w:rPr>
          <w:rFonts w:ascii="Times New Roman" w:hAnsi="Times New Roman"/>
          <w:color w:val="000000" w:themeColor="text1"/>
          <w:sz w:val="24"/>
          <w:szCs w:val="24"/>
        </w:rPr>
        <w:t>all of</w:t>
      </w:r>
      <w:proofErr w:type="gramEnd"/>
      <w:r w:rsidR="00522122" w:rsidRPr="0032506F">
        <w:rPr>
          <w:rFonts w:ascii="Times New Roman" w:hAnsi="Times New Roman"/>
          <w:color w:val="000000" w:themeColor="text1"/>
          <w:sz w:val="24"/>
          <w:szCs w:val="24"/>
        </w:rPr>
        <w:t xml:space="preserve"> the </w:t>
      </w:r>
      <w:r w:rsidR="00771C8D" w:rsidRPr="0032506F">
        <w:rPr>
          <w:rFonts w:ascii="Times New Roman" w:hAnsi="Times New Roman"/>
          <w:color w:val="000000" w:themeColor="text1"/>
          <w:sz w:val="24"/>
          <w:szCs w:val="24"/>
        </w:rPr>
        <w:t xml:space="preserve">OEHE </w:t>
      </w:r>
      <w:r w:rsidR="00522122" w:rsidRPr="0032506F">
        <w:rPr>
          <w:rFonts w:ascii="Times New Roman" w:hAnsi="Times New Roman"/>
          <w:color w:val="000000" w:themeColor="text1"/>
          <w:sz w:val="24"/>
          <w:szCs w:val="24"/>
        </w:rPr>
        <w:t>variables</w:t>
      </w:r>
      <w:r w:rsidR="00771C8D" w:rsidRPr="0032506F">
        <w:rPr>
          <w:rFonts w:ascii="Times New Roman" w:hAnsi="Times New Roman"/>
          <w:color w:val="000000" w:themeColor="text1"/>
          <w:sz w:val="24"/>
          <w:szCs w:val="24"/>
        </w:rPr>
        <w:t xml:space="preserve"> were screened for </w:t>
      </w:r>
      <w:r w:rsidR="00522122" w:rsidRPr="0032506F">
        <w:rPr>
          <w:rFonts w:ascii="Times New Roman" w:hAnsi="Times New Roman"/>
          <w:color w:val="000000" w:themeColor="text1"/>
          <w:sz w:val="24"/>
          <w:szCs w:val="24"/>
        </w:rPr>
        <w:t xml:space="preserve"> normality and potential outlying cases. </w:t>
      </w:r>
      <w:r w:rsidR="00A411F2" w:rsidRPr="0032506F">
        <w:rPr>
          <w:rFonts w:ascii="Times New Roman" w:hAnsi="Times New Roman"/>
          <w:color w:val="000000" w:themeColor="text1"/>
          <w:sz w:val="24"/>
          <w:szCs w:val="24"/>
        </w:rPr>
        <w:t>T</w:t>
      </w:r>
      <w:r w:rsidR="00522122" w:rsidRPr="0032506F">
        <w:rPr>
          <w:rFonts w:ascii="Times New Roman" w:hAnsi="Times New Roman"/>
          <w:color w:val="000000" w:themeColor="text1"/>
          <w:sz w:val="24"/>
          <w:szCs w:val="24"/>
        </w:rPr>
        <w:t xml:space="preserve">he </w:t>
      </w:r>
      <w:r w:rsidR="00A411F2" w:rsidRPr="0032506F">
        <w:rPr>
          <w:rFonts w:ascii="Times New Roman" w:hAnsi="Times New Roman"/>
          <w:color w:val="000000" w:themeColor="text1"/>
          <w:sz w:val="24"/>
          <w:szCs w:val="24"/>
        </w:rPr>
        <w:t xml:space="preserve">66 OEHE items were screening </w:t>
      </w:r>
      <w:r w:rsidR="00522122" w:rsidRPr="0032506F">
        <w:rPr>
          <w:rFonts w:ascii="Times New Roman" w:hAnsi="Times New Roman"/>
          <w:color w:val="000000" w:themeColor="text1"/>
          <w:sz w:val="24"/>
          <w:szCs w:val="24"/>
        </w:rPr>
        <w:t>for both univariate and multivariate</w:t>
      </w:r>
      <w:r w:rsidR="00A411F2" w:rsidRPr="0032506F">
        <w:rPr>
          <w:rFonts w:ascii="Times New Roman" w:hAnsi="Times New Roman"/>
          <w:color w:val="000000" w:themeColor="text1"/>
          <w:sz w:val="24"/>
          <w:szCs w:val="24"/>
        </w:rPr>
        <w:t xml:space="preserve"> outliers</w:t>
      </w:r>
      <w:r w:rsidR="00522122" w:rsidRPr="0032506F">
        <w:rPr>
          <w:rFonts w:ascii="Times New Roman" w:hAnsi="Times New Roman"/>
          <w:color w:val="000000" w:themeColor="text1"/>
          <w:sz w:val="24"/>
          <w:szCs w:val="24"/>
        </w:rPr>
        <w:t xml:space="preserve"> (Tabachnick &amp; Fidell, 2013)</w:t>
      </w:r>
      <w:r w:rsidR="00A411F2"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using the conventional criterion of the standardized</w:t>
      </w:r>
      <w:r w:rsidR="00A411F2"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z-scores of each case on each observed variable greater than the 3.29 cut-off in absolute value (Tabachnick &amp; Fidell, 2013). </w:t>
      </w:r>
      <w:bookmarkStart w:id="81" w:name="_Hlk91595783"/>
      <w:r w:rsidR="00B42B30" w:rsidRPr="0032506F">
        <w:rPr>
          <w:rFonts w:ascii="Times New Roman" w:hAnsi="Times New Roman"/>
          <w:color w:val="000000" w:themeColor="text1"/>
          <w:sz w:val="24"/>
          <w:szCs w:val="24"/>
        </w:rPr>
        <w:t>T</w:t>
      </w:r>
      <w:r w:rsidR="00522122" w:rsidRPr="0032506F">
        <w:rPr>
          <w:rFonts w:ascii="Times New Roman" w:hAnsi="Times New Roman"/>
          <w:color w:val="000000" w:themeColor="text1"/>
          <w:sz w:val="24"/>
          <w:szCs w:val="24"/>
        </w:rPr>
        <w:t xml:space="preserve">he extreme values table and box plot of each indicator variable </w:t>
      </w:r>
      <w:r w:rsidR="00B42B30" w:rsidRPr="0032506F">
        <w:rPr>
          <w:rFonts w:ascii="Times New Roman" w:hAnsi="Times New Roman"/>
          <w:color w:val="000000" w:themeColor="text1"/>
          <w:sz w:val="24"/>
          <w:szCs w:val="24"/>
        </w:rPr>
        <w:t xml:space="preserve">were also visually screened </w:t>
      </w:r>
      <w:r w:rsidR="00522122" w:rsidRPr="0032506F">
        <w:rPr>
          <w:rFonts w:ascii="Times New Roman" w:hAnsi="Times New Roman"/>
          <w:color w:val="000000" w:themeColor="text1"/>
          <w:sz w:val="24"/>
          <w:szCs w:val="24"/>
        </w:rPr>
        <w:t>for potential outliers</w:t>
      </w:r>
      <w:bookmarkEnd w:id="81"/>
      <w:r w:rsidR="00B42B30" w:rsidRPr="0032506F">
        <w:rPr>
          <w:rFonts w:ascii="Times New Roman" w:hAnsi="Times New Roman"/>
          <w:color w:val="000000" w:themeColor="text1"/>
          <w:sz w:val="24"/>
          <w:szCs w:val="24"/>
        </w:rPr>
        <w:t xml:space="preserve">. The OEHE items were also screened for </w:t>
      </w:r>
      <w:r w:rsidR="00522122" w:rsidRPr="0032506F">
        <w:rPr>
          <w:rFonts w:ascii="Times New Roman" w:hAnsi="Times New Roman"/>
          <w:color w:val="000000" w:themeColor="text1"/>
          <w:sz w:val="24"/>
          <w:szCs w:val="24"/>
        </w:rPr>
        <w:t xml:space="preserve">any potential multivariate outliers using the Mahalanobis distances </w:t>
      </w:r>
      <w:bookmarkStart w:id="82" w:name="_Hlk91596070"/>
      <w:r w:rsidR="00522122" w:rsidRPr="0032506F">
        <w:rPr>
          <w:rFonts w:ascii="Times New Roman" w:hAnsi="Times New Roman"/>
          <w:color w:val="000000" w:themeColor="text1"/>
          <w:sz w:val="24"/>
          <w:szCs w:val="24"/>
        </w:rPr>
        <w:t>(</w:t>
      </w:r>
      <w:r w:rsidR="00522122" w:rsidRPr="0032506F">
        <w:rPr>
          <w:rFonts w:ascii="Times New Roman" w:hAnsi="Times New Roman"/>
          <w:i/>
          <w:color w:val="000000" w:themeColor="text1"/>
          <w:sz w:val="24"/>
          <w:szCs w:val="24"/>
        </w:rPr>
        <w:t>p</w:t>
      </w:r>
      <w:r w:rsidR="00522122" w:rsidRPr="0032506F">
        <w:rPr>
          <w:rFonts w:ascii="Times New Roman" w:hAnsi="Times New Roman"/>
          <w:color w:val="000000" w:themeColor="text1"/>
          <w:sz w:val="24"/>
          <w:szCs w:val="24"/>
        </w:rPr>
        <w:t xml:space="preserve"> </w:t>
      </w:r>
      <w:r w:rsidR="00522122" w:rsidRPr="0032506F">
        <w:rPr>
          <w:rFonts w:ascii="Times New Roman" w:hAnsi="Times New Roman"/>
          <w:i/>
          <w:color w:val="000000" w:themeColor="text1"/>
          <w:sz w:val="24"/>
          <w:szCs w:val="24"/>
        </w:rPr>
        <w:t>&lt;</w:t>
      </w:r>
      <w:r w:rsidR="00522122" w:rsidRPr="0032506F">
        <w:rPr>
          <w:rFonts w:ascii="Times New Roman" w:hAnsi="Times New Roman"/>
          <w:color w:val="000000" w:themeColor="text1"/>
          <w:sz w:val="24"/>
          <w:szCs w:val="24"/>
        </w:rPr>
        <w:t xml:space="preserve"> .001)</w:t>
      </w:r>
      <w:bookmarkEnd w:id="82"/>
      <w:r w:rsidR="00522122" w:rsidRPr="0032506F">
        <w:rPr>
          <w:rFonts w:ascii="Times New Roman" w:hAnsi="Times New Roman"/>
          <w:color w:val="000000" w:themeColor="text1"/>
          <w:sz w:val="24"/>
          <w:szCs w:val="24"/>
        </w:rPr>
        <w:t>.</w:t>
      </w:r>
      <w:r w:rsidR="00B42B30"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The very conservative probability value of </w:t>
      </w:r>
      <w:r w:rsidR="00522122" w:rsidRPr="0032506F">
        <w:rPr>
          <w:rFonts w:ascii="Times New Roman" w:hAnsi="Times New Roman"/>
          <w:i/>
          <w:color w:val="000000" w:themeColor="text1"/>
          <w:sz w:val="24"/>
          <w:szCs w:val="24"/>
        </w:rPr>
        <w:t>p &lt;</w:t>
      </w:r>
      <w:r w:rsidR="00522122" w:rsidRPr="0032506F">
        <w:rPr>
          <w:rFonts w:ascii="Times New Roman" w:hAnsi="Times New Roman"/>
          <w:color w:val="000000" w:themeColor="text1"/>
          <w:sz w:val="24"/>
          <w:szCs w:val="24"/>
        </w:rPr>
        <w:t xml:space="preserve"> .001 to identify a case as a multivariate outlier is considered appropriate to be used with the Mahalanobis distance (Tabachnick &amp; Fidell, 2013).</w:t>
      </w:r>
      <w:r w:rsidR="00B42B30"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As a result of this outlier screening process, </w:t>
      </w:r>
      <w:r w:rsidR="00522122" w:rsidRPr="0032506F">
        <w:rPr>
          <w:rFonts w:ascii="Times New Roman" w:hAnsi="Times New Roman"/>
          <w:color w:val="000000" w:themeColor="text1"/>
          <w:sz w:val="24"/>
          <w:szCs w:val="24"/>
        </w:rPr>
        <w:lastRenderedPageBreak/>
        <w:t xml:space="preserve">87 </w:t>
      </w:r>
      <w:r w:rsidR="001D2891" w:rsidRPr="0032506F">
        <w:rPr>
          <w:rFonts w:ascii="Times New Roman" w:hAnsi="Times New Roman"/>
          <w:color w:val="000000" w:themeColor="text1"/>
          <w:sz w:val="24"/>
          <w:szCs w:val="24"/>
        </w:rPr>
        <w:t xml:space="preserve">seriously </w:t>
      </w:r>
      <w:r w:rsidR="00522122" w:rsidRPr="0032506F">
        <w:rPr>
          <w:rFonts w:ascii="Times New Roman" w:hAnsi="Times New Roman"/>
          <w:color w:val="000000" w:themeColor="text1"/>
          <w:sz w:val="24"/>
          <w:szCs w:val="24"/>
        </w:rPr>
        <w:t>outlying cases</w:t>
      </w:r>
      <w:r w:rsidR="005677DD" w:rsidRPr="0032506F">
        <w:rPr>
          <w:rFonts w:ascii="Times New Roman" w:hAnsi="Times New Roman"/>
          <w:color w:val="000000" w:themeColor="text1"/>
          <w:sz w:val="24"/>
          <w:szCs w:val="24"/>
        </w:rPr>
        <w:t xml:space="preserve"> were removed</w:t>
      </w:r>
      <w:r w:rsidR="00522122" w:rsidRPr="0032506F">
        <w:rPr>
          <w:rFonts w:ascii="Times New Roman" w:hAnsi="Times New Roman"/>
          <w:color w:val="000000" w:themeColor="text1"/>
          <w:sz w:val="24"/>
          <w:szCs w:val="24"/>
        </w:rPr>
        <w:t>, leading to a data set of 247 cases. Except for six online behavioral engagement (OBE) items</w:t>
      </w:r>
      <w:r w:rsidR="00CD4A3D"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 which had extreme skewness and kurtosis values, the skewness and kurtosis values of most of the other OEHE indicator variables </w:t>
      </w:r>
      <w:r w:rsidR="00CD4A3D" w:rsidRPr="0032506F">
        <w:rPr>
          <w:rFonts w:ascii="Times New Roman" w:hAnsi="Times New Roman"/>
          <w:color w:val="000000" w:themeColor="text1"/>
          <w:sz w:val="24"/>
          <w:szCs w:val="24"/>
        </w:rPr>
        <w:t xml:space="preserve">were found </w:t>
      </w:r>
      <w:r w:rsidR="00522122" w:rsidRPr="0032506F">
        <w:rPr>
          <w:rFonts w:ascii="Times New Roman" w:hAnsi="Times New Roman"/>
          <w:color w:val="000000" w:themeColor="text1"/>
          <w:sz w:val="24"/>
          <w:szCs w:val="24"/>
        </w:rPr>
        <w:t xml:space="preserve">to fall in between -2 and +2 interval (Lomax &amp; Hahs-Vaughn, 2012). </w:t>
      </w:r>
      <w:r w:rsidR="00CD4A3D" w:rsidRPr="0032506F">
        <w:rPr>
          <w:rFonts w:ascii="Times New Roman" w:hAnsi="Times New Roman"/>
          <w:color w:val="000000" w:themeColor="text1"/>
          <w:sz w:val="24"/>
          <w:szCs w:val="24"/>
        </w:rPr>
        <w:t>T</w:t>
      </w:r>
      <w:r w:rsidR="00522122" w:rsidRPr="0032506F">
        <w:rPr>
          <w:rFonts w:ascii="Times New Roman" w:hAnsi="Times New Roman"/>
          <w:color w:val="000000" w:themeColor="text1"/>
          <w:sz w:val="24"/>
          <w:szCs w:val="24"/>
        </w:rPr>
        <w:t xml:space="preserve">he distribution of most of the variables visually inspected via their histogram </w:t>
      </w:r>
      <w:r w:rsidR="00CD4A3D" w:rsidRPr="0032506F">
        <w:rPr>
          <w:rFonts w:ascii="Times New Roman" w:hAnsi="Times New Roman"/>
          <w:color w:val="000000" w:themeColor="text1"/>
          <w:sz w:val="24"/>
          <w:szCs w:val="24"/>
        </w:rPr>
        <w:t xml:space="preserve">was also found </w:t>
      </w:r>
      <w:r w:rsidR="00522122" w:rsidRPr="0032506F">
        <w:rPr>
          <w:rFonts w:ascii="Times New Roman" w:hAnsi="Times New Roman"/>
          <w:color w:val="000000" w:themeColor="text1"/>
          <w:sz w:val="24"/>
          <w:szCs w:val="24"/>
        </w:rPr>
        <w:t xml:space="preserve">to be approximately normally distributed. </w:t>
      </w:r>
      <w:bookmarkStart w:id="83" w:name="_Hlk91679804"/>
    </w:p>
    <w:p w14:paraId="24D1A6F3" w14:textId="4EE22A94" w:rsidR="00522122" w:rsidRPr="0032506F" w:rsidRDefault="00522122" w:rsidP="00A33219">
      <w:pPr>
        <w:spacing w:after="0" w:line="480" w:lineRule="auto"/>
        <w:rPr>
          <w:rFonts w:ascii="Times New Roman" w:eastAsia="Calibri" w:hAnsi="Times New Roman" w:cs="Times New Roman"/>
          <w:color w:val="000000" w:themeColor="text1"/>
          <w:sz w:val="24"/>
          <w:szCs w:val="24"/>
        </w:rPr>
      </w:pPr>
      <w:r w:rsidRPr="0032506F">
        <w:rPr>
          <w:rFonts w:ascii="Times New Roman" w:hAnsi="Times New Roman"/>
          <w:color w:val="000000" w:themeColor="text1"/>
          <w:sz w:val="24"/>
          <w:szCs w:val="24"/>
        </w:rPr>
        <w:tab/>
      </w:r>
      <w:bookmarkStart w:id="84" w:name="_Hlk89856290"/>
      <w:bookmarkEnd w:id="83"/>
      <w:r w:rsidRPr="0032506F">
        <w:rPr>
          <w:rFonts w:ascii="Times New Roman" w:eastAsiaTheme="majorEastAsia" w:hAnsi="Times New Roman" w:cs="Times New Roman"/>
          <w:b/>
          <w:bCs/>
          <w:sz w:val="24"/>
          <w:szCs w:val="24"/>
        </w:rPr>
        <w:t>Item Screening and Evaluation Before CFA.</w:t>
      </w:r>
      <w:r w:rsidR="00CD4A3D" w:rsidRPr="0032506F">
        <w:rPr>
          <w:rFonts w:ascii="Times New Roman" w:hAnsi="Times New Roman"/>
          <w:color w:val="000000" w:themeColor="text1"/>
          <w:sz w:val="24"/>
          <w:szCs w:val="24"/>
        </w:rPr>
        <w:t xml:space="preserve"> </w:t>
      </w:r>
      <w:r w:rsidR="00F34965" w:rsidRPr="0032506F">
        <w:rPr>
          <w:rFonts w:ascii="Times New Roman" w:hAnsi="Times New Roman"/>
          <w:color w:val="000000" w:themeColor="text1"/>
          <w:sz w:val="24"/>
          <w:szCs w:val="24"/>
        </w:rPr>
        <w:t>As a result of individual item evaluations (e.g., interitem correlations, internal consistency reliability statistics), 31 best items</w:t>
      </w:r>
      <w:r w:rsidR="00986B44" w:rsidRPr="0032506F">
        <w:rPr>
          <w:rFonts w:ascii="Times New Roman" w:hAnsi="Times New Roman"/>
          <w:color w:val="000000" w:themeColor="text1"/>
          <w:sz w:val="24"/>
          <w:szCs w:val="24"/>
        </w:rPr>
        <w:t xml:space="preserve"> (9 OBE, 12 OEE, 10 OCE)</w:t>
      </w:r>
      <w:r w:rsidR="00F34965" w:rsidRPr="0032506F">
        <w:rPr>
          <w:rFonts w:ascii="Times New Roman" w:hAnsi="Times New Roman"/>
          <w:color w:val="000000" w:themeColor="text1"/>
          <w:sz w:val="24"/>
          <w:szCs w:val="24"/>
        </w:rPr>
        <w:t xml:space="preserve"> were selected to be used in testing the hypothesized three-factor model </w:t>
      </w:r>
      <w:r w:rsidR="00A33219" w:rsidRPr="0032506F">
        <w:rPr>
          <w:rFonts w:ascii="Times New Roman" w:hAnsi="Times New Roman"/>
          <w:color w:val="000000" w:themeColor="text1"/>
          <w:sz w:val="24"/>
          <w:szCs w:val="24"/>
        </w:rPr>
        <w:t xml:space="preserve">in the context of </w:t>
      </w:r>
      <w:r w:rsidR="00F34965" w:rsidRPr="0032506F">
        <w:rPr>
          <w:rFonts w:ascii="Times New Roman" w:hAnsi="Times New Roman"/>
          <w:color w:val="000000" w:themeColor="text1"/>
          <w:sz w:val="24"/>
          <w:szCs w:val="24"/>
        </w:rPr>
        <w:t>CFA</w:t>
      </w:r>
      <w:r w:rsidR="00A33219" w:rsidRPr="0032506F">
        <w:rPr>
          <w:rFonts w:ascii="Times New Roman" w:hAnsi="Times New Roman"/>
          <w:color w:val="000000" w:themeColor="text1"/>
          <w:sz w:val="24"/>
          <w:szCs w:val="24"/>
        </w:rPr>
        <w:t xml:space="preserve">. </w:t>
      </w:r>
      <w:r w:rsidR="00A33219" w:rsidRPr="0032506F">
        <w:rPr>
          <w:rFonts w:ascii="Times New Roman" w:eastAsia="Calibri" w:hAnsi="Times New Roman" w:cs="Times New Roman"/>
          <w:color w:val="000000" w:themeColor="text1"/>
          <w:sz w:val="24"/>
          <w:szCs w:val="24"/>
        </w:rPr>
        <w:t xml:space="preserve">The purpose of </w:t>
      </w:r>
      <w:r w:rsidRPr="0032506F">
        <w:rPr>
          <w:rFonts w:ascii="Times New Roman" w:hAnsi="Times New Roman"/>
          <w:color w:val="000000" w:themeColor="text1"/>
          <w:sz w:val="24"/>
          <w:szCs w:val="24"/>
        </w:rPr>
        <w:t xml:space="preserve">this individual item screening and evaluation stage was to obtain subscales involving a set of items that were positively and strongly intercorrelated so that desirable model fit indices </w:t>
      </w:r>
      <w:r w:rsidR="00A33219" w:rsidRPr="0032506F">
        <w:rPr>
          <w:rFonts w:ascii="Times New Roman" w:hAnsi="Times New Roman"/>
          <w:color w:val="000000" w:themeColor="text1"/>
          <w:sz w:val="24"/>
          <w:szCs w:val="24"/>
        </w:rPr>
        <w:t xml:space="preserve">could be obtained </w:t>
      </w:r>
      <w:r w:rsidRPr="0032506F">
        <w:rPr>
          <w:rFonts w:ascii="Times New Roman" w:hAnsi="Times New Roman"/>
          <w:color w:val="000000" w:themeColor="text1"/>
          <w:sz w:val="24"/>
          <w:szCs w:val="24"/>
        </w:rPr>
        <w:t>during the CFA (Russell, 2002). It should be noted that screening the OEHE items to remove potentially problematic items at this preliminary analysis stage is important to obtain better model fit indices during the CFA analyses because the number of variables under analysis has been shown mathematically to negatively influence several model fit indices in the context of SEM (</w:t>
      </w:r>
      <w:r w:rsidRPr="0032506F">
        <w:rPr>
          <w:rFonts w:ascii="Times New Roman" w:hAnsi="Times New Roman"/>
          <w:bCs/>
          <w:color w:val="000000" w:themeColor="text1"/>
          <w:sz w:val="24"/>
          <w:szCs w:val="24"/>
        </w:rPr>
        <w:t>Kenny &amp; McCoach, 2003).</w:t>
      </w:r>
      <w:r w:rsidR="00A33219" w:rsidRPr="0032506F">
        <w:rPr>
          <w:rFonts w:ascii="Times New Roman" w:hAnsi="Times New Roman"/>
          <w:bCs/>
          <w:color w:val="000000" w:themeColor="text1"/>
          <w:sz w:val="24"/>
          <w:szCs w:val="24"/>
        </w:rPr>
        <w:t xml:space="preserve"> </w:t>
      </w:r>
      <w:r w:rsidR="00BC270F" w:rsidRPr="0032506F">
        <w:rPr>
          <w:rFonts w:ascii="Times New Roman" w:hAnsi="Times New Roman"/>
          <w:bCs/>
          <w:color w:val="000000" w:themeColor="text1"/>
          <w:sz w:val="24"/>
          <w:szCs w:val="24"/>
        </w:rPr>
        <w:t xml:space="preserve">Linearity and multicollinearity assumptions were also </w:t>
      </w:r>
      <w:r w:rsidR="00C33EC6" w:rsidRPr="0032506F">
        <w:rPr>
          <w:rFonts w:ascii="Times New Roman" w:hAnsi="Times New Roman"/>
          <w:bCs/>
          <w:color w:val="000000" w:themeColor="text1"/>
          <w:sz w:val="24"/>
          <w:szCs w:val="24"/>
        </w:rPr>
        <w:t xml:space="preserve">reasonably met by the data. </w:t>
      </w:r>
    </w:p>
    <w:p w14:paraId="2775B9AB" w14:textId="435627C1" w:rsidR="00522122" w:rsidRPr="0032506F" w:rsidRDefault="00522122" w:rsidP="00F56CA0">
      <w:pPr>
        <w:pStyle w:val="Heading3"/>
      </w:pPr>
      <w:bookmarkStart w:id="85" w:name="_Toc102489460"/>
      <w:bookmarkEnd w:id="84"/>
      <w:r w:rsidRPr="0032506F">
        <w:t>Confirmatory Factor Analysis (CFA)</w:t>
      </w:r>
      <w:bookmarkEnd w:id="85"/>
    </w:p>
    <w:p w14:paraId="1730E70E" w14:textId="591D68C7" w:rsidR="004F3138" w:rsidRPr="0032506F" w:rsidRDefault="00522122" w:rsidP="004F3138">
      <w:pPr>
        <w:spacing w:line="480" w:lineRule="auto"/>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ab/>
      </w:r>
      <w:r w:rsidR="00590E93" w:rsidRPr="0032506F">
        <w:rPr>
          <w:rFonts w:ascii="Times New Roman" w:hAnsi="Times New Roman"/>
          <w:color w:val="000000" w:themeColor="text1"/>
          <w:sz w:val="24"/>
          <w:szCs w:val="24"/>
        </w:rPr>
        <w:t xml:space="preserve">The sample size of the </w:t>
      </w:r>
      <w:r w:rsidR="00C50ED1" w:rsidRPr="0032506F">
        <w:rPr>
          <w:rFonts w:ascii="Times New Roman" w:hAnsi="Times New Roman"/>
          <w:color w:val="000000" w:themeColor="text1"/>
          <w:sz w:val="24"/>
          <w:szCs w:val="24"/>
        </w:rPr>
        <w:t xml:space="preserve">initial </w:t>
      </w:r>
      <w:r w:rsidR="00590E93" w:rsidRPr="0032506F">
        <w:rPr>
          <w:rFonts w:ascii="Times New Roman" w:hAnsi="Times New Roman"/>
          <w:color w:val="000000" w:themeColor="text1"/>
          <w:sz w:val="24"/>
          <w:szCs w:val="24"/>
        </w:rPr>
        <w:t xml:space="preserve">CFA data set after the removal of the outliers was 247, which </w:t>
      </w:r>
      <w:proofErr w:type="gramStart"/>
      <w:r w:rsidR="00590E93" w:rsidRPr="0032506F">
        <w:rPr>
          <w:rFonts w:ascii="Times New Roman" w:hAnsi="Times New Roman"/>
          <w:color w:val="000000" w:themeColor="text1"/>
          <w:sz w:val="24"/>
          <w:szCs w:val="24"/>
        </w:rPr>
        <w:t>was considered to be</w:t>
      </w:r>
      <w:proofErr w:type="gramEnd"/>
      <w:r w:rsidR="00590E93" w:rsidRPr="0032506F">
        <w:rPr>
          <w:rFonts w:ascii="Times New Roman" w:hAnsi="Times New Roman"/>
          <w:color w:val="000000" w:themeColor="text1"/>
          <w:sz w:val="24"/>
          <w:szCs w:val="24"/>
        </w:rPr>
        <w:t xml:space="preserve"> reasonably adequate in light of all</w:t>
      </w:r>
      <w:r w:rsidR="00C50ED1" w:rsidRPr="0032506F">
        <w:rPr>
          <w:rFonts w:ascii="Times New Roman" w:hAnsi="Times New Roman"/>
          <w:color w:val="000000" w:themeColor="text1"/>
          <w:sz w:val="24"/>
          <w:szCs w:val="24"/>
        </w:rPr>
        <w:t xml:space="preserve"> </w:t>
      </w:r>
      <w:r w:rsidR="00590E93" w:rsidRPr="0032506F">
        <w:rPr>
          <w:rFonts w:ascii="Times New Roman" w:hAnsi="Times New Roman"/>
          <w:color w:val="000000" w:themeColor="text1"/>
          <w:sz w:val="24"/>
          <w:szCs w:val="24"/>
        </w:rPr>
        <w:t>recommendations of sample size for CFA procedures</w:t>
      </w:r>
      <w:r w:rsidR="00C50ED1" w:rsidRPr="0032506F">
        <w:rPr>
          <w:rFonts w:ascii="Times New Roman" w:hAnsi="Times New Roman"/>
          <w:color w:val="000000" w:themeColor="text1"/>
          <w:sz w:val="24"/>
          <w:szCs w:val="24"/>
        </w:rPr>
        <w:t xml:space="preserve"> (</w:t>
      </w:r>
      <w:r w:rsidR="002E0921" w:rsidRPr="0032506F">
        <w:rPr>
          <w:rFonts w:ascii="Times New Roman" w:hAnsi="Times New Roman"/>
          <w:color w:val="000000" w:themeColor="text1"/>
          <w:sz w:val="24"/>
          <w:szCs w:val="24"/>
        </w:rPr>
        <w:t>Russell, 2002; Worthington &amp; Whittaker, 2006).</w:t>
      </w:r>
      <w:r w:rsidR="00590E93"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Confirmatory factor analysis (CFA) as a special structural equation modeling (SEM) technique and a member of the SEM family is used to test theory-based hypotheses postulated a priori regarding the number of </w:t>
      </w:r>
      <w:r w:rsidRPr="0032506F">
        <w:rPr>
          <w:rFonts w:ascii="Times New Roman" w:hAnsi="Times New Roman"/>
          <w:color w:val="000000" w:themeColor="text1"/>
          <w:sz w:val="24"/>
          <w:szCs w:val="24"/>
        </w:rPr>
        <w:lastRenderedPageBreak/>
        <w:t xml:space="preserve">factors and the loadings of certain items or indicator variables on certain underlying factors or latent constructs (Jackson et al., 2009; Kahn, 2006; Russell, 2002). </w:t>
      </w:r>
      <w:r w:rsidR="002E0921" w:rsidRPr="0032506F">
        <w:rPr>
          <w:rFonts w:ascii="Times New Roman" w:hAnsi="Times New Roman"/>
          <w:color w:val="000000" w:themeColor="text1"/>
          <w:sz w:val="24"/>
          <w:szCs w:val="24"/>
        </w:rPr>
        <w:t xml:space="preserve">The rationale for using CFA </w:t>
      </w:r>
      <w:r w:rsidR="00157FC4" w:rsidRPr="0032506F">
        <w:rPr>
          <w:rFonts w:ascii="Times New Roman" w:hAnsi="Times New Roman"/>
          <w:color w:val="000000" w:themeColor="text1"/>
          <w:sz w:val="24"/>
          <w:szCs w:val="24"/>
        </w:rPr>
        <w:t>without EFA is that the</w:t>
      </w:r>
      <w:r w:rsidRPr="0032506F">
        <w:rPr>
          <w:rFonts w:ascii="Times New Roman" w:hAnsi="Times New Roman"/>
          <w:color w:val="000000" w:themeColor="text1"/>
          <w:sz w:val="24"/>
          <w:szCs w:val="24"/>
        </w:rPr>
        <w:t xml:space="preserve"> OEHE items </w:t>
      </w:r>
      <w:r w:rsidR="00157FC4" w:rsidRPr="0032506F">
        <w:rPr>
          <w:rFonts w:ascii="Times New Roman" w:hAnsi="Times New Roman"/>
          <w:color w:val="000000" w:themeColor="text1"/>
          <w:sz w:val="24"/>
          <w:szCs w:val="24"/>
        </w:rPr>
        <w:t xml:space="preserve">were already </w:t>
      </w:r>
      <w:r w:rsidRPr="0032506F">
        <w:rPr>
          <w:rFonts w:ascii="Times New Roman" w:hAnsi="Times New Roman"/>
          <w:color w:val="000000" w:themeColor="text1"/>
          <w:sz w:val="24"/>
          <w:szCs w:val="24"/>
        </w:rPr>
        <w:t xml:space="preserve">based on </w:t>
      </w:r>
      <w:r w:rsidR="00157FC4" w:rsidRPr="0032506F">
        <w:rPr>
          <w:rFonts w:ascii="Times New Roman" w:hAnsi="Times New Roman"/>
          <w:color w:val="000000" w:themeColor="text1"/>
          <w:sz w:val="24"/>
          <w:szCs w:val="24"/>
        </w:rPr>
        <w:t>a</w:t>
      </w:r>
      <w:r w:rsidR="00A25D01" w:rsidRPr="0032506F">
        <w:rPr>
          <w:rFonts w:ascii="Times New Roman" w:hAnsi="Times New Roman"/>
          <w:color w:val="000000" w:themeColor="text1"/>
          <w:sz w:val="24"/>
          <w:szCs w:val="24"/>
        </w:rPr>
        <w:t xml:space="preserve">n a priori </w:t>
      </w:r>
      <w:r w:rsidRPr="0032506F">
        <w:rPr>
          <w:rFonts w:ascii="Times New Roman" w:hAnsi="Times New Roman"/>
          <w:color w:val="000000" w:themeColor="text1"/>
          <w:sz w:val="24"/>
          <w:szCs w:val="24"/>
        </w:rPr>
        <w:t>theoretical conceptualization of student engagement with</w:t>
      </w:r>
      <w:r w:rsidR="004F3138" w:rsidRPr="0032506F">
        <w:rPr>
          <w:rFonts w:ascii="Times New Roman" w:hAnsi="Times New Roman"/>
          <w:color w:val="000000" w:themeColor="text1"/>
          <w:sz w:val="24"/>
          <w:szCs w:val="24"/>
        </w:rPr>
        <w:t xml:space="preserve"> a priori determined</w:t>
      </w:r>
      <w:r w:rsidRPr="0032506F">
        <w:rPr>
          <w:rFonts w:ascii="Times New Roman" w:hAnsi="Times New Roman"/>
          <w:color w:val="000000" w:themeColor="text1"/>
          <w:sz w:val="24"/>
          <w:szCs w:val="24"/>
        </w:rPr>
        <w:t xml:space="preserve"> three</w:t>
      </w:r>
      <w:r w:rsidR="004F3138"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dimensions, namely behavioral, emotional, and cognitive (Fredricks et al., 2004</w:t>
      </w:r>
      <w:r w:rsidR="00A25D01" w:rsidRPr="0032506F">
        <w:rPr>
          <w:rFonts w:ascii="Times New Roman" w:hAnsi="Times New Roman"/>
          <w:color w:val="000000" w:themeColor="text1"/>
          <w:sz w:val="24"/>
          <w:szCs w:val="24"/>
        </w:rPr>
        <w:t xml:space="preserve">) and the </w:t>
      </w:r>
      <w:r w:rsidR="009556DD" w:rsidRPr="0032506F">
        <w:rPr>
          <w:rFonts w:ascii="Times New Roman" w:hAnsi="Times New Roman"/>
          <w:color w:val="000000" w:themeColor="text1"/>
          <w:sz w:val="24"/>
          <w:szCs w:val="24"/>
        </w:rPr>
        <w:t xml:space="preserve">aim of this study was to </w:t>
      </w:r>
      <w:r w:rsidR="00E45FD1" w:rsidRPr="0032506F">
        <w:rPr>
          <w:rFonts w:ascii="Times New Roman" w:hAnsi="Times New Roman"/>
          <w:color w:val="000000" w:themeColor="text1"/>
          <w:sz w:val="24"/>
          <w:szCs w:val="24"/>
        </w:rPr>
        <w:t xml:space="preserve">test this a priori conceptualization and the </w:t>
      </w:r>
      <w:r w:rsidR="004F3138" w:rsidRPr="0032506F">
        <w:rPr>
          <w:rFonts w:ascii="Times New Roman" w:hAnsi="Times New Roman"/>
          <w:color w:val="000000" w:themeColor="text1"/>
          <w:sz w:val="24"/>
          <w:szCs w:val="24"/>
        </w:rPr>
        <w:t xml:space="preserve">corresponding </w:t>
      </w:r>
      <w:r w:rsidR="00E45FD1" w:rsidRPr="0032506F">
        <w:rPr>
          <w:rFonts w:ascii="Times New Roman" w:hAnsi="Times New Roman"/>
          <w:color w:val="000000" w:themeColor="text1"/>
          <w:sz w:val="24"/>
          <w:szCs w:val="24"/>
        </w:rPr>
        <w:t>items</w:t>
      </w:r>
      <w:r w:rsidR="00A25D01"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Researchers can appropriately use CFA when they already have a strong theoretical and/or empirical knowledge base regarding the underlying latent variable or factor structure (Byrne, 2005; </w:t>
      </w:r>
      <w:r w:rsidRPr="0032506F">
        <w:rPr>
          <w:rFonts w:ascii="Times New Roman" w:hAnsi="Times New Roman"/>
          <w:bCs/>
          <w:color w:val="000000" w:themeColor="text1"/>
          <w:sz w:val="24"/>
          <w:szCs w:val="24"/>
        </w:rPr>
        <w:t xml:space="preserve">DiStefano &amp; Hess, 2005; </w:t>
      </w:r>
      <w:r w:rsidRPr="0032506F">
        <w:rPr>
          <w:rFonts w:ascii="Times New Roman" w:hAnsi="Times New Roman"/>
          <w:color w:val="000000" w:themeColor="text1"/>
          <w:sz w:val="24"/>
          <w:szCs w:val="24"/>
        </w:rPr>
        <w:t xml:space="preserve">Kahn, 2006). </w:t>
      </w:r>
    </w:p>
    <w:p w14:paraId="4C1C7114" w14:textId="7F24A80A" w:rsidR="00522122" w:rsidRPr="0032506F" w:rsidRDefault="002A6BF9" w:rsidP="00EE38AD">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The </w:t>
      </w:r>
      <w:r w:rsidR="0044284C" w:rsidRPr="0032506F">
        <w:rPr>
          <w:rFonts w:ascii="Times New Roman" w:hAnsi="Times New Roman"/>
          <w:color w:val="000000" w:themeColor="text1"/>
          <w:sz w:val="24"/>
          <w:szCs w:val="24"/>
        </w:rPr>
        <w:t xml:space="preserve">initial </w:t>
      </w:r>
      <w:r w:rsidR="00522122" w:rsidRPr="0032506F">
        <w:rPr>
          <w:rFonts w:ascii="Times New Roman" w:hAnsi="Times New Roman"/>
          <w:color w:val="000000" w:themeColor="text1"/>
          <w:sz w:val="24"/>
          <w:szCs w:val="24"/>
        </w:rPr>
        <w:t>CFA model of the OEHE structure hypothesized that (a) the sample participants’ responses to the OEHE items could be explained by three underlying factors</w:t>
      </w:r>
      <w:r w:rsidR="0044284C" w:rsidRPr="0032506F">
        <w:rPr>
          <w:rFonts w:ascii="Times New Roman" w:hAnsi="Times New Roman"/>
          <w:color w:val="000000" w:themeColor="text1"/>
          <w:sz w:val="24"/>
          <w:szCs w:val="24"/>
        </w:rPr>
        <w:t xml:space="preserve"> (i.e., OBE, OEE, OCE)</w:t>
      </w:r>
      <w:r w:rsidR="00522122" w:rsidRPr="0032506F">
        <w:rPr>
          <w:rFonts w:ascii="Times New Roman" w:hAnsi="Times New Roman"/>
          <w:color w:val="000000" w:themeColor="text1"/>
          <w:sz w:val="24"/>
          <w:szCs w:val="24"/>
        </w:rPr>
        <w:t>,  (b) each OEHE item would load strongly on its corresponding factor for which it was intended and would not load on the other two factors, (c) the three factors were correlated with each other although distinct factors, and (d) the error terms associated with the OEHE items were uncorrelated (Byrne, 2005, 2016). In line with th</w:t>
      </w:r>
      <w:r w:rsidR="00EE38AD" w:rsidRPr="0032506F">
        <w:rPr>
          <w:rFonts w:ascii="Times New Roman" w:hAnsi="Times New Roman"/>
          <w:color w:val="000000" w:themeColor="text1"/>
          <w:sz w:val="24"/>
          <w:szCs w:val="24"/>
        </w:rPr>
        <w:t xml:space="preserve">e purpose of </w:t>
      </w:r>
      <w:r w:rsidR="00522122" w:rsidRPr="0032506F">
        <w:rPr>
          <w:rFonts w:ascii="Times New Roman" w:hAnsi="Times New Roman"/>
          <w:color w:val="000000" w:themeColor="text1"/>
          <w:sz w:val="24"/>
          <w:szCs w:val="24"/>
        </w:rPr>
        <w:t xml:space="preserve">CFA, </w:t>
      </w:r>
      <w:r w:rsidR="00EE38AD" w:rsidRPr="0032506F">
        <w:rPr>
          <w:rFonts w:ascii="Times New Roman" w:hAnsi="Times New Roman"/>
          <w:color w:val="000000" w:themeColor="text1"/>
          <w:sz w:val="24"/>
          <w:szCs w:val="24"/>
        </w:rPr>
        <w:t>it was specified</w:t>
      </w:r>
      <w:r w:rsidR="00522122" w:rsidRPr="0032506F">
        <w:rPr>
          <w:rFonts w:ascii="Times New Roman" w:hAnsi="Times New Roman"/>
          <w:color w:val="000000" w:themeColor="text1"/>
          <w:sz w:val="24"/>
          <w:szCs w:val="24"/>
        </w:rPr>
        <w:t xml:space="preserve"> which items would load on which dimension of online student engagement (see </w:t>
      </w:r>
      <w:hyperlink w:anchor="_Appendix_M_Revised" w:history="1">
        <w:r w:rsidR="000C70B2" w:rsidRPr="0032506F">
          <w:rPr>
            <w:rStyle w:val="Hyperlink"/>
            <w:rFonts w:ascii="Times New Roman" w:hAnsi="Times New Roman"/>
            <w:sz w:val="24"/>
            <w:szCs w:val="24"/>
          </w:rPr>
          <w:t xml:space="preserve">Appendix </w:t>
        </w:r>
        <w:r w:rsidR="002623E1">
          <w:rPr>
            <w:rStyle w:val="Hyperlink"/>
            <w:rFonts w:ascii="Times New Roman" w:hAnsi="Times New Roman"/>
            <w:sz w:val="24"/>
            <w:szCs w:val="24"/>
          </w:rPr>
          <w:t>E</w:t>
        </w:r>
      </w:hyperlink>
      <w:r w:rsidR="00522122" w:rsidRPr="0032506F">
        <w:rPr>
          <w:rFonts w:ascii="Times New Roman" w:hAnsi="Times New Roman"/>
          <w:color w:val="000000" w:themeColor="text1"/>
          <w:sz w:val="24"/>
          <w:szCs w:val="24"/>
        </w:rPr>
        <w:t xml:space="preserve">) </w:t>
      </w:r>
    </w:p>
    <w:p w14:paraId="1D9827B1" w14:textId="77777777" w:rsidR="00BC425F" w:rsidRPr="0032506F" w:rsidRDefault="00DD414A" w:rsidP="00D57A65">
      <w:pPr>
        <w:spacing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T</w:t>
      </w:r>
      <w:r w:rsidR="00522122" w:rsidRPr="0032506F">
        <w:rPr>
          <w:rFonts w:ascii="Times New Roman" w:hAnsi="Times New Roman"/>
          <w:color w:val="000000" w:themeColor="text1"/>
          <w:sz w:val="24"/>
          <w:szCs w:val="24"/>
        </w:rPr>
        <w:t xml:space="preserve">he Maximum Likelihood (ML) estimation approach </w:t>
      </w:r>
      <w:r w:rsidRPr="0032506F">
        <w:rPr>
          <w:rFonts w:ascii="Times New Roman" w:hAnsi="Times New Roman"/>
          <w:color w:val="000000" w:themeColor="text1"/>
          <w:sz w:val="24"/>
          <w:szCs w:val="24"/>
        </w:rPr>
        <w:t xml:space="preserve">was used </w:t>
      </w:r>
      <w:r w:rsidR="00D57A65" w:rsidRPr="0032506F">
        <w:rPr>
          <w:rFonts w:ascii="Times New Roman" w:hAnsi="Times New Roman"/>
          <w:color w:val="000000" w:themeColor="text1"/>
          <w:sz w:val="24"/>
          <w:szCs w:val="24"/>
        </w:rPr>
        <w:t>since it i</w:t>
      </w:r>
      <w:r w:rsidR="00522122" w:rsidRPr="0032506F">
        <w:rPr>
          <w:rFonts w:ascii="Times New Roman" w:hAnsi="Times New Roman"/>
          <w:color w:val="000000" w:themeColor="text1"/>
          <w:sz w:val="24"/>
          <w:szCs w:val="24"/>
        </w:rPr>
        <w:t xml:space="preserve">s one of the </w:t>
      </w:r>
      <w:proofErr w:type="gramStart"/>
      <w:r w:rsidR="00522122" w:rsidRPr="0032506F">
        <w:rPr>
          <w:rFonts w:ascii="Times New Roman" w:hAnsi="Times New Roman"/>
          <w:color w:val="000000" w:themeColor="text1"/>
          <w:sz w:val="24"/>
          <w:szCs w:val="24"/>
        </w:rPr>
        <w:t>most commonly utilized</w:t>
      </w:r>
      <w:proofErr w:type="gramEnd"/>
      <w:r w:rsidR="00522122" w:rsidRPr="0032506F">
        <w:rPr>
          <w:rFonts w:ascii="Times New Roman" w:hAnsi="Times New Roman"/>
          <w:color w:val="000000" w:themeColor="text1"/>
          <w:sz w:val="24"/>
          <w:szCs w:val="24"/>
        </w:rPr>
        <w:t xml:space="preserve"> estimation approaches in CFA (Byrne, 2005; Jackson et al., 2009; Kahn, 2006; Kline, 2016; Russell, 2002; Schermelleh-Engel et al., 2003; Tabachnick &amp; Fidell, 2013). ML estimation is an effective estimation method that can provide accurate results </w:t>
      </w:r>
      <w:proofErr w:type="gramStart"/>
      <w:r w:rsidR="00522122" w:rsidRPr="0032506F">
        <w:rPr>
          <w:rFonts w:ascii="Times New Roman" w:hAnsi="Times New Roman"/>
          <w:color w:val="000000" w:themeColor="text1"/>
          <w:sz w:val="24"/>
          <w:szCs w:val="24"/>
        </w:rPr>
        <w:t>as long as</w:t>
      </w:r>
      <w:proofErr w:type="gramEnd"/>
      <w:r w:rsidR="00522122" w:rsidRPr="0032506F">
        <w:rPr>
          <w:rFonts w:ascii="Times New Roman" w:hAnsi="Times New Roman"/>
          <w:color w:val="000000" w:themeColor="text1"/>
          <w:sz w:val="24"/>
          <w:szCs w:val="24"/>
        </w:rPr>
        <w:t xml:space="preserve"> </w:t>
      </w:r>
      <w:r w:rsidR="00D57A65" w:rsidRPr="0032506F">
        <w:rPr>
          <w:rFonts w:ascii="Times New Roman" w:hAnsi="Times New Roman"/>
          <w:color w:val="000000" w:themeColor="text1"/>
          <w:sz w:val="24"/>
          <w:szCs w:val="24"/>
        </w:rPr>
        <w:t xml:space="preserve">the </w:t>
      </w:r>
      <w:r w:rsidR="00522122" w:rsidRPr="0032506F">
        <w:rPr>
          <w:rFonts w:ascii="Times New Roman" w:hAnsi="Times New Roman"/>
          <w:color w:val="000000" w:themeColor="text1"/>
          <w:sz w:val="24"/>
          <w:szCs w:val="24"/>
        </w:rPr>
        <w:t xml:space="preserve">observed variables are multivariate normally distributed, models </w:t>
      </w:r>
      <w:r w:rsidR="00D57A65" w:rsidRPr="0032506F">
        <w:rPr>
          <w:rFonts w:ascii="Times New Roman" w:hAnsi="Times New Roman"/>
          <w:color w:val="000000" w:themeColor="text1"/>
          <w:sz w:val="24"/>
          <w:szCs w:val="24"/>
        </w:rPr>
        <w:t xml:space="preserve">are specified </w:t>
      </w:r>
      <w:r w:rsidR="00522122" w:rsidRPr="0032506F">
        <w:rPr>
          <w:rFonts w:ascii="Times New Roman" w:hAnsi="Times New Roman"/>
          <w:color w:val="000000" w:themeColor="text1"/>
          <w:sz w:val="24"/>
          <w:szCs w:val="24"/>
        </w:rPr>
        <w:t xml:space="preserve">correctly, and </w:t>
      </w:r>
      <w:r w:rsidR="00D57A65" w:rsidRPr="0032506F">
        <w:rPr>
          <w:rFonts w:ascii="Times New Roman" w:hAnsi="Times New Roman"/>
          <w:color w:val="000000" w:themeColor="text1"/>
          <w:sz w:val="24"/>
          <w:szCs w:val="24"/>
        </w:rPr>
        <w:t xml:space="preserve">the </w:t>
      </w:r>
      <w:r w:rsidR="00522122" w:rsidRPr="0032506F">
        <w:rPr>
          <w:rFonts w:ascii="Times New Roman" w:hAnsi="Times New Roman"/>
          <w:color w:val="000000" w:themeColor="text1"/>
          <w:sz w:val="24"/>
          <w:szCs w:val="24"/>
        </w:rPr>
        <w:t xml:space="preserve">sample size is large enough (Schermelleh-Engel et al., 2003). </w:t>
      </w:r>
      <w:r w:rsidR="00D57A65" w:rsidRPr="0032506F">
        <w:rPr>
          <w:rFonts w:ascii="Times New Roman" w:hAnsi="Times New Roman"/>
          <w:color w:val="000000" w:themeColor="text1"/>
          <w:sz w:val="24"/>
          <w:szCs w:val="24"/>
        </w:rPr>
        <w:t>I</w:t>
      </w:r>
      <w:r w:rsidR="00522122" w:rsidRPr="0032506F">
        <w:rPr>
          <w:rFonts w:ascii="Times New Roman" w:hAnsi="Times New Roman"/>
          <w:color w:val="000000" w:themeColor="text1"/>
          <w:sz w:val="24"/>
          <w:szCs w:val="24"/>
        </w:rPr>
        <w:t xml:space="preserve">ts main limitation or challenge is </w:t>
      </w:r>
      <w:r w:rsidR="00522122" w:rsidRPr="0032506F">
        <w:rPr>
          <w:rFonts w:ascii="Times New Roman" w:hAnsi="Times New Roman"/>
          <w:color w:val="000000" w:themeColor="text1"/>
          <w:sz w:val="24"/>
          <w:szCs w:val="24"/>
        </w:rPr>
        <w:lastRenderedPageBreak/>
        <w:t>the fundamental assumption of multivariate normality.</w:t>
      </w:r>
      <w:r w:rsidR="00D57A65"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The good news, however, is that “ML seems to be quite robust against the violation of the normality assumption” (</w:t>
      </w:r>
      <w:bookmarkStart w:id="86" w:name="_Hlk89790892"/>
      <w:r w:rsidR="00522122" w:rsidRPr="0032506F">
        <w:rPr>
          <w:rFonts w:ascii="Times New Roman" w:hAnsi="Times New Roman"/>
          <w:color w:val="000000" w:themeColor="text1"/>
          <w:sz w:val="24"/>
          <w:szCs w:val="24"/>
        </w:rPr>
        <w:t>Schermelleh-Engel et al., 2003</w:t>
      </w:r>
      <w:bookmarkEnd w:id="86"/>
      <w:r w:rsidR="00522122" w:rsidRPr="0032506F">
        <w:rPr>
          <w:rFonts w:ascii="Times New Roman" w:hAnsi="Times New Roman"/>
          <w:color w:val="000000" w:themeColor="text1"/>
          <w:sz w:val="24"/>
          <w:szCs w:val="24"/>
        </w:rPr>
        <w:t>, p. 26).</w:t>
      </w:r>
      <w:r w:rsidR="00D57A65"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Bootstrapping as a resampling strategy is also offered as a strategy to deal with multivariate nonnormal data when using ML estimation method in the context of SEM (Byrne, 2010, 2016). </w:t>
      </w:r>
      <w:bookmarkStart w:id="87" w:name="_Hlk89606365"/>
    </w:p>
    <w:p w14:paraId="776C8A1B" w14:textId="4BC78A3E" w:rsidR="00D3478F" w:rsidRPr="0032506F" w:rsidRDefault="00D57A65" w:rsidP="00D3478F">
      <w:pPr>
        <w:spacing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In the evaluation of the initial CFA model with 31 variables (N=247), </w:t>
      </w:r>
      <w:r w:rsidR="00522122" w:rsidRPr="0032506F">
        <w:rPr>
          <w:rFonts w:ascii="Times New Roman" w:hAnsi="Times New Roman"/>
          <w:color w:val="000000" w:themeColor="text1"/>
          <w:sz w:val="24"/>
          <w:szCs w:val="24"/>
        </w:rPr>
        <w:t>indices of univariate skewness and univariate kurtosis</w:t>
      </w:r>
      <w:r w:rsidRPr="0032506F">
        <w:rPr>
          <w:rFonts w:ascii="Times New Roman" w:hAnsi="Times New Roman"/>
          <w:color w:val="000000" w:themeColor="text1"/>
          <w:sz w:val="24"/>
          <w:szCs w:val="24"/>
        </w:rPr>
        <w:t xml:space="preserve"> were used</w:t>
      </w:r>
      <w:r w:rsidR="00D777B3"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to screen for univariate normality first as a prerequisite for multivariate normality (Byrne, 2016). Given that CFA procedures in the context of SEM are based on covariance matrices, kurtosis, and more specifically multivariate kurtosis which can be quite detrimental to the robustness of the CFA findings, is particularly more important in CFA analyses (Byrne, 2010). Multivariate kurtosis basically refers to “the situation where the multivariate distribution of the observed variables has both tails and peaks that differ from those characteristic of a multivariate normal distribution” (Byrne, 2010, p. 103). There is no clear agreement on the size of univariate kurtosis indices to make conclusions of extreme kurtosis about the data (Byrne, 2010; Kline, 2016).</w:t>
      </w:r>
      <w:r w:rsidR="007415E0"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Given that univariate normality is not sufficient for multivariate normality and that the univariate normal distribution of the observed variables does not necessarily guarantee the multivariate normal distribution of the variables, multivariate normality assumption </w:t>
      </w:r>
      <w:r w:rsidR="007415E0" w:rsidRPr="0032506F">
        <w:rPr>
          <w:rFonts w:ascii="Times New Roman" w:hAnsi="Times New Roman"/>
          <w:color w:val="000000" w:themeColor="text1"/>
          <w:sz w:val="24"/>
          <w:szCs w:val="24"/>
        </w:rPr>
        <w:t xml:space="preserve">was assessed </w:t>
      </w:r>
      <w:r w:rsidR="00522122" w:rsidRPr="0032506F">
        <w:rPr>
          <w:rFonts w:ascii="Times New Roman" w:hAnsi="Times New Roman"/>
          <w:color w:val="000000" w:themeColor="text1"/>
          <w:sz w:val="24"/>
          <w:szCs w:val="24"/>
        </w:rPr>
        <w:t xml:space="preserve">by inspecting the multivariate kurtosis value and most importantly its critical ratio value, “which in essence represents Mardia’s (1970, 1974) normalized estimate of multivariate kurtosis, although it is not explicitly labeled as such” (Byrne, 2010, p. 104). </w:t>
      </w:r>
      <w:bookmarkEnd w:id="87"/>
      <w:r w:rsidR="00522122" w:rsidRPr="0032506F">
        <w:rPr>
          <w:rFonts w:ascii="Times New Roman" w:hAnsi="Times New Roman"/>
          <w:color w:val="000000" w:themeColor="text1"/>
          <w:sz w:val="24"/>
          <w:szCs w:val="24"/>
        </w:rPr>
        <w:t xml:space="preserve">According to Bentler (2005), as cited in Byrne (2010), values </w:t>
      </w:r>
      <w:proofErr w:type="gramStart"/>
      <w:r w:rsidR="00522122" w:rsidRPr="0032506F">
        <w:rPr>
          <w:rFonts w:ascii="Times New Roman" w:hAnsi="Times New Roman"/>
          <w:color w:val="000000" w:themeColor="text1"/>
          <w:sz w:val="24"/>
          <w:szCs w:val="24"/>
        </w:rPr>
        <w:t>in excess of</w:t>
      </w:r>
      <w:proofErr w:type="gramEnd"/>
      <w:r w:rsidR="00522122" w:rsidRPr="0032506F">
        <w:rPr>
          <w:rFonts w:ascii="Times New Roman" w:hAnsi="Times New Roman"/>
          <w:color w:val="000000" w:themeColor="text1"/>
          <w:sz w:val="24"/>
          <w:szCs w:val="24"/>
        </w:rPr>
        <w:t xml:space="preserve"> 5.00 indicate nonnormally distributed data.</w:t>
      </w:r>
      <w:r w:rsidR="00905826" w:rsidRPr="0032506F">
        <w:rPr>
          <w:rFonts w:ascii="Times New Roman" w:hAnsi="Times New Roman"/>
          <w:color w:val="000000" w:themeColor="text1"/>
          <w:sz w:val="24"/>
          <w:szCs w:val="24"/>
        </w:rPr>
        <w:t xml:space="preserve"> </w:t>
      </w:r>
      <w:proofErr w:type="gramStart"/>
      <w:r w:rsidR="00522122" w:rsidRPr="0032506F">
        <w:rPr>
          <w:rFonts w:ascii="Times New Roman" w:hAnsi="Times New Roman"/>
          <w:color w:val="000000" w:themeColor="text1"/>
          <w:sz w:val="24"/>
          <w:szCs w:val="24"/>
        </w:rPr>
        <w:t>In order to</w:t>
      </w:r>
      <w:proofErr w:type="gramEnd"/>
      <w:r w:rsidR="00522122" w:rsidRPr="0032506F">
        <w:rPr>
          <w:rFonts w:ascii="Times New Roman" w:hAnsi="Times New Roman"/>
          <w:color w:val="000000" w:themeColor="text1"/>
          <w:sz w:val="24"/>
          <w:szCs w:val="24"/>
        </w:rPr>
        <w:t xml:space="preserve"> identify potential multivariate outliers that contribute to multivariate non-normality in the data (Kline, 2016), the squared Mahalanobis </w:t>
      </w:r>
      <w:r w:rsidR="00522122" w:rsidRPr="0032506F">
        <w:rPr>
          <w:rFonts w:ascii="Times New Roman" w:hAnsi="Times New Roman"/>
          <w:color w:val="000000" w:themeColor="text1"/>
          <w:sz w:val="24"/>
          <w:szCs w:val="24"/>
        </w:rPr>
        <w:lastRenderedPageBreak/>
        <w:t>distance (D</w:t>
      </w:r>
      <w:r w:rsidR="00522122" w:rsidRPr="0032506F">
        <w:rPr>
          <w:rFonts w:ascii="Times New Roman" w:hAnsi="Times New Roman"/>
          <w:color w:val="000000" w:themeColor="text1"/>
          <w:sz w:val="24"/>
          <w:szCs w:val="24"/>
          <w:vertAlign w:val="superscript"/>
        </w:rPr>
        <w:t>2</w:t>
      </w:r>
      <w:r w:rsidR="00522122" w:rsidRPr="0032506F">
        <w:rPr>
          <w:rFonts w:ascii="Times New Roman" w:hAnsi="Times New Roman"/>
          <w:color w:val="000000" w:themeColor="text1"/>
          <w:sz w:val="24"/>
          <w:szCs w:val="24"/>
        </w:rPr>
        <w:t>)</w:t>
      </w:r>
      <w:r w:rsidR="006E52D3" w:rsidRPr="0032506F">
        <w:rPr>
          <w:rFonts w:ascii="Times New Roman" w:hAnsi="Times New Roman"/>
          <w:color w:val="000000" w:themeColor="text1"/>
          <w:sz w:val="24"/>
          <w:szCs w:val="24"/>
        </w:rPr>
        <w:t>,</w:t>
      </w:r>
      <w:r w:rsidR="00522122" w:rsidRPr="0032506F">
        <w:t xml:space="preserve"> </w:t>
      </w:r>
      <w:r w:rsidR="00522122" w:rsidRPr="0032506F">
        <w:rPr>
          <w:rFonts w:ascii="Times New Roman" w:hAnsi="Times New Roman"/>
          <w:color w:val="000000" w:themeColor="text1"/>
          <w:sz w:val="24"/>
          <w:szCs w:val="24"/>
        </w:rPr>
        <w:t>which basically indicates “the distance in standard deviation units between a set of scores for one case and the sample means for all variables (centroids)” (Byrne, 2010, p. 106)</w:t>
      </w:r>
      <w:r w:rsidR="006E52D3" w:rsidRPr="0032506F">
        <w:rPr>
          <w:rFonts w:ascii="Times New Roman" w:hAnsi="Times New Roman"/>
          <w:color w:val="000000" w:themeColor="text1"/>
          <w:sz w:val="24"/>
          <w:szCs w:val="24"/>
        </w:rPr>
        <w:t xml:space="preserve"> was used</w:t>
      </w:r>
      <w:r w:rsidR="00522122" w:rsidRPr="0032506F">
        <w:rPr>
          <w:rFonts w:ascii="Times New Roman" w:hAnsi="Times New Roman"/>
          <w:color w:val="000000" w:themeColor="text1"/>
          <w:sz w:val="24"/>
          <w:szCs w:val="24"/>
        </w:rPr>
        <w:t>. A multivariate outlying case typically has a D</w:t>
      </w:r>
      <w:r w:rsidR="00522122" w:rsidRPr="0032506F">
        <w:rPr>
          <w:rFonts w:ascii="Times New Roman" w:hAnsi="Times New Roman"/>
          <w:color w:val="000000" w:themeColor="text1"/>
          <w:sz w:val="24"/>
          <w:szCs w:val="24"/>
          <w:vertAlign w:val="superscript"/>
        </w:rPr>
        <w:t xml:space="preserve">2 </w:t>
      </w:r>
      <w:r w:rsidR="00522122" w:rsidRPr="0032506F">
        <w:rPr>
          <w:rFonts w:ascii="Times New Roman" w:hAnsi="Times New Roman"/>
          <w:color w:val="000000" w:themeColor="text1"/>
          <w:sz w:val="24"/>
          <w:szCs w:val="24"/>
        </w:rPr>
        <w:t>value that is quite different from all the other D</w:t>
      </w:r>
      <w:r w:rsidR="00522122" w:rsidRPr="0032506F">
        <w:rPr>
          <w:rFonts w:ascii="Times New Roman" w:hAnsi="Times New Roman"/>
          <w:color w:val="000000" w:themeColor="text1"/>
          <w:sz w:val="24"/>
          <w:szCs w:val="24"/>
          <w:vertAlign w:val="superscript"/>
        </w:rPr>
        <w:t xml:space="preserve">2 </w:t>
      </w:r>
      <w:r w:rsidR="00522122" w:rsidRPr="0032506F">
        <w:rPr>
          <w:rFonts w:ascii="Times New Roman" w:hAnsi="Times New Roman"/>
          <w:color w:val="000000" w:themeColor="text1"/>
          <w:sz w:val="24"/>
          <w:szCs w:val="24"/>
        </w:rPr>
        <w:t xml:space="preserve">values in the data set (Byrne, 2016). </w:t>
      </w:r>
      <w:bookmarkStart w:id="88" w:name="_Hlk92032366"/>
      <w:r w:rsidR="00522122" w:rsidRPr="0032506F">
        <w:rPr>
          <w:rFonts w:ascii="Times New Roman" w:hAnsi="Times New Roman"/>
          <w:color w:val="000000" w:themeColor="text1"/>
          <w:sz w:val="24"/>
          <w:szCs w:val="24"/>
        </w:rPr>
        <w:t xml:space="preserve">Using a conservative significance criterion of p=.001 for detecting potential multivariate outliers (Kline, 2016; Tabachnick &amp; Fidell, 2013) </w:t>
      </w:r>
      <w:bookmarkEnd w:id="88"/>
      <w:r w:rsidR="00522122" w:rsidRPr="0032506F">
        <w:rPr>
          <w:rFonts w:ascii="Times New Roman" w:hAnsi="Times New Roman"/>
          <w:color w:val="000000" w:themeColor="text1"/>
          <w:sz w:val="24"/>
          <w:szCs w:val="24"/>
        </w:rPr>
        <w:t>and</w:t>
      </w:r>
      <w:r w:rsidR="00522122" w:rsidRPr="0032506F">
        <w:rPr>
          <w:rFonts w:eastAsiaTheme="minorEastAsia" w:hAnsi="Calibri"/>
          <w:color w:val="000000" w:themeColor="text1"/>
          <w:kern w:val="24"/>
          <w:sz w:val="32"/>
          <w:szCs w:val="32"/>
        </w:rPr>
        <w:t xml:space="preserve"> </w:t>
      </w:r>
      <w:r w:rsidR="00522122" w:rsidRPr="0032506F">
        <w:rPr>
          <w:rFonts w:ascii="Times New Roman" w:hAnsi="Times New Roman"/>
          <w:color w:val="000000" w:themeColor="text1"/>
          <w:sz w:val="24"/>
          <w:szCs w:val="24"/>
        </w:rPr>
        <w:t>checking the p1 column in the Amos output, serious multivariate outliers</w:t>
      </w:r>
      <w:r w:rsidR="006E52D3" w:rsidRPr="0032506F">
        <w:rPr>
          <w:rFonts w:ascii="Times New Roman" w:hAnsi="Times New Roman"/>
          <w:color w:val="000000" w:themeColor="text1"/>
          <w:sz w:val="24"/>
          <w:szCs w:val="24"/>
        </w:rPr>
        <w:t xml:space="preserve"> were checked for</w:t>
      </w:r>
      <w:r w:rsidR="00522122" w:rsidRPr="0032506F">
        <w:rPr>
          <w:rFonts w:ascii="Times New Roman" w:hAnsi="Times New Roman"/>
          <w:color w:val="000000" w:themeColor="text1"/>
          <w:sz w:val="24"/>
          <w:szCs w:val="24"/>
        </w:rPr>
        <w:t xml:space="preserve"> in the dataset (Byrne, 2010; Kline, 2016; Pituch &amp; Stevens 2016; Tabachnick &amp; Fidell 2013). </w:t>
      </w:r>
      <w:r w:rsidR="006E52D3" w:rsidRPr="0032506F">
        <w:rPr>
          <w:rFonts w:ascii="Times New Roman" w:hAnsi="Times New Roman"/>
          <w:color w:val="000000" w:themeColor="text1"/>
          <w:sz w:val="24"/>
          <w:szCs w:val="24"/>
        </w:rPr>
        <w:t>B</w:t>
      </w:r>
      <w:r w:rsidR="00522122" w:rsidRPr="0032506F">
        <w:rPr>
          <w:rFonts w:ascii="Times New Roman" w:hAnsi="Times New Roman"/>
          <w:color w:val="000000" w:themeColor="text1"/>
          <w:sz w:val="24"/>
          <w:szCs w:val="24"/>
        </w:rPr>
        <w:t xml:space="preserve">ased on the Amos output of observations farthest from the centroid (Mahalanobis distance), </w:t>
      </w:r>
      <w:r w:rsidR="006E52D3" w:rsidRPr="0032506F">
        <w:rPr>
          <w:rFonts w:ascii="Times New Roman" w:hAnsi="Times New Roman"/>
          <w:color w:val="000000" w:themeColor="text1"/>
          <w:sz w:val="24"/>
          <w:szCs w:val="24"/>
        </w:rPr>
        <w:t>twelve</w:t>
      </w:r>
      <w:r w:rsidR="00522122" w:rsidRPr="0032506F">
        <w:rPr>
          <w:rFonts w:ascii="Times New Roman" w:hAnsi="Times New Roman"/>
          <w:color w:val="000000" w:themeColor="text1"/>
          <w:sz w:val="24"/>
          <w:szCs w:val="24"/>
        </w:rPr>
        <w:t xml:space="preserve"> potential multivariate outlier cases </w:t>
      </w:r>
      <w:r w:rsidR="006E52D3" w:rsidRPr="0032506F">
        <w:rPr>
          <w:rFonts w:ascii="Times New Roman" w:hAnsi="Times New Roman"/>
          <w:color w:val="000000" w:themeColor="text1"/>
          <w:sz w:val="24"/>
          <w:szCs w:val="24"/>
        </w:rPr>
        <w:t xml:space="preserve">were further removed </w:t>
      </w:r>
      <w:r w:rsidR="00522122" w:rsidRPr="0032506F">
        <w:rPr>
          <w:rFonts w:ascii="Times New Roman" w:hAnsi="Times New Roman"/>
          <w:color w:val="000000" w:themeColor="text1"/>
          <w:sz w:val="24"/>
          <w:szCs w:val="24"/>
        </w:rPr>
        <w:t>from the CFA dataset, resulting in the CFA dataset of 235 cases</w:t>
      </w:r>
      <w:r w:rsidR="006E52D3" w:rsidRPr="0032506F">
        <w:rPr>
          <w:rFonts w:ascii="Times New Roman" w:hAnsi="Times New Roman"/>
          <w:color w:val="000000" w:themeColor="text1"/>
          <w:sz w:val="24"/>
          <w:szCs w:val="24"/>
        </w:rPr>
        <w:t xml:space="preserve"> used for the subsequent model tests</w:t>
      </w:r>
      <w:r w:rsidR="004C19F4" w:rsidRPr="0032506F">
        <w:rPr>
          <w:rFonts w:ascii="Times New Roman" w:hAnsi="Times New Roman"/>
          <w:color w:val="000000" w:themeColor="text1"/>
          <w:sz w:val="24"/>
          <w:szCs w:val="24"/>
        </w:rPr>
        <w:t>. B</w:t>
      </w:r>
      <w:r w:rsidR="00522122" w:rsidRPr="0032506F">
        <w:rPr>
          <w:rFonts w:ascii="Times New Roman" w:hAnsi="Times New Roman"/>
          <w:color w:val="000000" w:themeColor="text1"/>
          <w:sz w:val="24"/>
          <w:szCs w:val="24"/>
        </w:rPr>
        <w:t xml:space="preserve">ootstrapping procedure </w:t>
      </w:r>
      <w:r w:rsidR="004C19F4" w:rsidRPr="0032506F">
        <w:rPr>
          <w:rFonts w:ascii="Times New Roman" w:hAnsi="Times New Roman"/>
          <w:color w:val="000000" w:themeColor="text1"/>
          <w:sz w:val="24"/>
          <w:szCs w:val="24"/>
        </w:rPr>
        <w:t xml:space="preserve">was used </w:t>
      </w:r>
      <w:r w:rsidR="00522122" w:rsidRPr="0032506F">
        <w:rPr>
          <w:rFonts w:ascii="Times New Roman" w:hAnsi="Times New Roman"/>
          <w:color w:val="000000" w:themeColor="text1"/>
          <w:sz w:val="24"/>
          <w:szCs w:val="24"/>
        </w:rPr>
        <w:t>to address multivariate nonnormality in the data</w:t>
      </w:r>
      <w:r w:rsidR="00D3478F" w:rsidRPr="0032506F">
        <w:rPr>
          <w:rFonts w:ascii="Times New Roman" w:hAnsi="Times New Roman"/>
          <w:color w:val="000000" w:themeColor="text1"/>
          <w:sz w:val="24"/>
          <w:szCs w:val="24"/>
        </w:rPr>
        <w:t xml:space="preserve"> since it</w:t>
      </w:r>
      <w:r w:rsidR="00522122" w:rsidRPr="0032506F">
        <w:rPr>
          <w:rFonts w:ascii="Times New Roman" w:hAnsi="Times New Roman" w:cs="Times New Roman"/>
          <w:sz w:val="24"/>
          <w:szCs w:val="24"/>
        </w:rPr>
        <w:t xml:space="preserve"> “</w:t>
      </w:r>
      <w:r w:rsidR="00522122" w:rsidRPr="0032506F">
        <w:rPr>
          <w:rFonts w:ascii="Times New Roman" w:eastAsiaTheme="majorEastAsia" w:hAnsi="Times New Roman" w:cs="Times New Roman"/>
          <w:sz w:val="24"/>
          <w:szCs w:val="24"/>
        </w:rPr>
        <w:t>allows the researcher to assess the stability of parameter estimates and thereby</w:t>
      </w:r>
      <w:r w:rsidR="00522122" w:rsidRPr="0032506F">
        <w:rPr>
          <w:rFonts w:ascii="Times New Roman" w:hAnsi="Times New Roman" w:cs="Times New Roman"/>
          <w:sz w:val="24"/>
          <w:szCs w:val="24"/>
        </w:rPr>
        <w:t xml:space="preserve"> report their values with a greater degree of accuracy” (Byrne, 2010, p. 332), although it still has its own limitations</w:t>
      </w:r>
      <w:r w:rsidR="00D3478F" w:rsidRPr="0032506F">
        <w:rPr>
          <w:rFonts w:ascii="Times New Roman" w:hAnsi="Times New Roman" w:cs="Times New Roman"/>
          <w:sz w:val="24"/>
          <w:szCs w:val="24"/>
        </w:rPr>
        <w:t xml:space="preserve"> </w:t>
      </w:r>
      <w:r w:rsidR="00522122" w:rsidRPr="0032506F">
        <w:rPr>
          <w:rFonts w:ascii="Times New Roman" w:hAnsi="Times New Roman" w:cs="Times New Roman"/>
          <w:sz w:val="24"/>
          <w:szCs w:val="24"/>
        </w:rPr>
        <w:t>(</w:t>
      </w:r>
      <w:r w:rsidR="00D3478F" w:rsidRPr="0032506F">
        <w:rPr>
          <w:rFonts w:ascii="Times New Roman" w:hAnsi="Times New Roman" w:cs="Times New Roman"/>
          <w:sz w:val="24"/>
          <w:szCs w:val="24"/>
        </w:rPr>
        <w:t xml:space="preserve">see </w:t>
      </w:r>
      <w:r w:rsidR="00522122" w:rsidRPr="0032506F">
        <w:rPr>
          <w:rFonts w:ascii="Times New Roman" w:hAnsi="Times New Roman" w:cs="Times New Roman"/>
          <w:sz w:val="24"/>
          <w:szCs w:val="24"/>
        </w:rPr>
        <w:t xml:space="preserve">Byrne, 2010). </w:t>
      </w:r>
      <w:bookmarkStart w:id="89" w:name="_Hlk89862405"/>
    </w:p>
    <w:p w14:paraId="77BEDEC7" w14:textId="382CC83B" w:rsidR="00147919" w:rsidRPr="0032506F" w:rsidRDefault="005B7A91" w:rsidP="00C102A8">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In </w:t>
      </w:r>
      <w:r w:rsidR="00BD0858" w:rsidRPr="0032506F">
        <w:rPr>
          <w:rFonts w:ascii="Times New Roman" w:hAnsi="Times New Roman"/>
          <w:color w:val="000000" w:themeColor="text1"/>
          <w:sz w:val="24"/>
          <w:szCs w:val="24"/>
        </w:rPr>
        <w:t>SPSS Amos 27</w:t>
      </w:r>
      <w:r w:rsidR="00BA3C9B" w:rsidRPr="0032506F">
        <w:rPr>
          <w:rFonts w:ascii="Times New Roman" w:hAnsi="Times New Roman"/>
          <w:color w:val="000000" w:themeColor="text1"/>
          <w:sz w:val="24"/>
          <w:szCs w:val="24"/>
        </w:rPr>
        <w:t xml:space="preserve"> Graphics</w:t>
      </w:r>
      <w:r w:rsidR="00BD0858"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a first-order CFA model </w:t>
      </w:r>
      <w:r w:rsidRPr="0032506F">
        <w:rPr>
          <w:rFonts w:ascii="Times New Roman" w:hAnsi="Times New Roman"/>
          <w:color w:val="000000" w:themeColor="text1"/>
          <w:sz w:val="24"/>
          <w:szCs w:val="24"/>
        </w:rPr>
        <w:t xml:space="preserve">was specified </w:t>
      </w:r>
      <w:r w:rsidR="00522122" w:rsidRPr="0032506F">
        <w:rPr>
          <w:rFonts w:ascii="Times New Roman" w:hAnsi="Times New Roman"/>
          <w:color w:val="000000" w:themeColor="text1"/>
          <w:sz w:val="24"/>
          <w:szCs w:val="24"/>
        </w:rPr>
        <w:t xml:space="preserve">to test and confirm the hypothesized </w:t>
      </w:r>
      <w:r w:rsidR="00BA3C9B" w:rsidRPr="0032506F">
        <w:rPr>
          <w:rFonts w:ascii="Times New Roman" w:hAnsi="Times New Roman"/>
          <w:color w:val="000000" w:themeColor="text1"/>
          <w:sz w:val="24"/>
          <w:szCs w:val="24"/>
        </w:rPr>
        <w:t>three-factor model</w:t>
      </w:r>
      <w:r w:rsidR="00522122" w:rsidRPr="0032506F">
        <w:rPr>
          <w:rFonts w:ascii="Times New Roman" w:hAnsi="Times New Roman"/>
          <w:color w:val="000000" w:themeColor="text1"/>
          <w:sz w:val="24"/>
          <w:szCs w:val="24"/>
        </w:rPr>
        <w:t xml:space="preserve"> of online student engagement</w:t>
      </w:r>
      <w:r w:rsidR="002432AB" w:rsidRPr="0032506F">
        <w:rPr>
          <w:rFonts w:ascii="Times New Roman" w:hAnsi="Times New Roman"/>
          <w:color w:val="000000" w:themeColor="text1"/>
          <w:sz w:val="24"/>
          <w:szCs w:val="24"/>
        </w:rPr>
        <w:t xml:space="preserve"> and </w:t>
      </w:r>
      <w:r w:rsidRPr="0032506F">
        <w:rPr>
          <w:rFonts w:ascii="Times New Roman" w:hAnsi="Times New Roman"/>
          <w:color w:val="000000" w:themeColor="text1"/>
          <w:sz w:val="24"/>
          <w:szCs w:val="24"/>
        </w:rPr>
        <w:t>t</w:t>
      </w:r>
      <w:r w:rsidR="002432AB" w:rsidRPr="0032506F">
        <w:rPr>
          <w:rFonts w:ascii="Times New Roman" w:hAnsi="Times New Roman"/>
          <w:color w:val="000000" w:themeColor="text1"/>
          <w:sz w:val="24"/>
          <w:szCs w:val="24"/>
        </w:rPr>
        <w:t>he data</w:t>
      </w:r>
      <w:r w:rsidRPr="0032506F">
        <w:rPr>
          <w:rFonts w:ascii="Times New Roman" w:hAnsi="Times New Roman"/>
          <w:color w:val="000000" w:themeColor="text1"/>
          <w:sz w:val="24"/>
          <w:szCs w:val="24"/>
        </w:rPr>
        <w:t xml:space="preserve"> were entered</w:t>
      </w:r>
      <w:r w:rsidR="002432AB" w:rsidRPr="0032506F">
        <w:rPr>
          <w:rFonts w:ascii="Times New Roman" w:hAnsi="Times New Roman"/>
          <w:color w:val="000000" w:themeColor="text1"/>
          <w:sz w:val="24"/>
          <w:szCs w:val="24"/>
        </w:rPr>
        <w:t xml:space="preserve"> in this model</w:t>
      </w:r>
      <w:r w:rsidR="00522122" w:rsidRPr="0032506F">
        <w:rPr>
          <w:rFonts w:ascii="Times New Roman" w:hAnsi="Times New Roman"/>
          <w:color w:val="000000" w:themeColor="text1"/>
          <w:sz w:val="24"/>
          <w:szCs w:val="24"/>
        </w:rPr>
        <w:t xml:space="preserve">. </w:t>
      </w:r>
      <w:bookmarkEnd w:id="89"/>
      <w:r w:rsidR="00522122" w:rsidRPr="0032506F">
        <w:rPr>
          <w:rFonts w:ascii="Times New Roman" w:hAnsi="Times New Roman"/>
          <w:color w:val="000000" w:themeColor="text1"/>
          <w:sz w:val="24"/>
          <w:szCs w:val="24"/>
        </w:rPr>
        <w:t xml:space="preserve">SEM and CFA researchers are strongly recommended to utilize multiple model fit indices or criteria while assessing and evaluating the fit of their hypothesized models so that their models can be assessed from a wide range of perspectives and angles (Byrne, 2016). While evaluating model fit, both the goodness of fit of the individual parameter estimates (local fit) and the goodness of fit of the hypothesized </w:t>
      </w:r>
      <w:proofErr w:type="gramStart"/>
      <w:r w:rsidR="00522122" w:rsidRPr="0032506F">
        <w:rPr>
          <w:rFonts w:ascii="Times New Roman" w:hAnsi="Times New Roman"/>
          <w:color w:val="000000" w:themeColor="text1"/>
          <w:sz w:val="24"/>
          <w:szCs w:val="24"/>
        </w:rPr>
        <w:t>model as a whole</w:t>
      </w:r>
      <w:proofErr w:type="gramEnd"/>
      <w:r w:rsidR="00522122" w:rsidRPr="0032506F">
        <w:rPr>
          <w:rFonts w:ascii="Times New Roman" w:hAnsi="Times New Roman"/>
          <w:color w:val="000000" w:themeColor="text1"/>
          <w:sz w:val="24"/>
          <w:szCs w:val="24"/>
        </w:rPr>
        <w:t xml:space="preserve"> (global fit)</w:t>
      </w:r>
      <w:r w:rsidR="00F56CA0" w:rsidRPr="0032506F">
        <w:rPr>
          <w:rFonts w:ascii="Times New Roman" w:hAnsi="Times New Roman"/>
          <w:color w:val="000000" w:themeColor="text1"/>
          <w:sz w:val="24"/>
          <w:szCs w:val="24"/>
        </w:rPr>
        <w:t xml:space="preserve"> are evaluated</w:t>
      </w:r>
      <w:r w:rsidR="00522122" w:rsidRPr="0032506F">
        <w:rPr>
          <w:rFonts w:ascii="Times New Roman" w:hAnsi="Times New Roman"/>
          <w:color w:val="000000" w:themeColor="text1"/>
          <w:sz w:val="24"/>
          <w:szCs w:val="24"/>
        </w:rPr>
        <w:t xml:space="preserve"> (Byrne, 2005, 2016). </w:t>
      </w:r>
      <w:r w:rsidR="00465FE1" w:rsidRPr="0032506F">
        <w:rPr>
          <w:rFonts w:ascii="Times New Roman" w:hAnsi="Times New Roman"/>
          <w:color w:val="000000" w:themeColor="text1"/>
          <w:sz w:val="24"/>
          <w:szCs w:val="24"/>
        </w:rPr>
        <w:t>S</w:t>
      </w:r>
      <w:r w:rsidR="00522122" w:rsidRPr="0032506F">
        <w:rPr>
          <w:rFonts w:ascii="Times New Roman" w:hAnsi="Times New Roman"/>
          <w:color w:val="000000" w:themeColor="text1"/>
          <w:sz w:val="24"/>
          <w:szCs w:val="24"/>
        </w:rPr>
        <w:t xml:space="preserve">everal goodness-of-fit statistics </w:t>
      </w:r>
      <w:r w:rsidR="00465FE1" w:rsidRPr="0032506F">
        <w:rPr>
          <w:rFonts w:ascii="Times New Roman" w:hAnsi="Times New Roman"/>
          <w:color w:val="000000" w:themeColor="text1"/>
          <w:sz w:val="24"/>
          <w:szCs w:val="24"/>
        </w:rPr>
        <w:t>were used to evaluate the fit of the CFA models in this study (e.g., chi-square, GFI, TLI, CFI, SRMR, RMSEA)</w:t>
      </w:r>
      <w:r w:rsidR="00522122" w:rsidRPr="0032506F">
        <w:rPr>
          <w:rFonts w:ascii="Times New Roman" w:hAnsi="Times New Roman"/>
          <w:color w:val="000000" w:themeColor="text1"/>
          <w:sz w:val="24"/>
          <w:szCs w:val="24"/>
        </w:rPr>
        <w:t>.</w:t>
      </w:r>
      <w:r w:rsidR="00412265"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 xml:space="preserve">Despite the use of these fit indices to evaluate the overall model fit, all those model fit indices alone cannot guarantee that a particular </w:t>
      </w:r>
      <w:r w:rsidR="00522122" w:rsidRPr="0032506F">
        <w:rPr>
          <w:rFonts w:ascii="Times New Roman" w:hAnsi="Times New Roman"/>
          <w:color w:val="000000" w:themeColor="text1"/>
          <w:sz w:val="24"/>
          <w:szCs w:val="24"/>
        </w:rPr>
        <w:lastRenderedPageBreak/>
        <w:t>model, even if it is statistically found to be a good fitting model using the model fit indices, is theoretically plausible and practically useful (Byrne, 2016). It is still incumbent on the researcher to judge the extent to which the model is not only statistically adequate but also theoretically plausible and practically useful (Byrne, 2016).</w:t>
      </w:r>
      <w:r w:rsidR="007D3D96" w:rsidRPr="0032506F">
        <w:rPr>
          <w:rFonts w:ascii="Times New Roman" w:hAnsi="Times New Roman"/>
          <w:color w:val="000000" w:themeColor="text1"/>
          <w:sz w:val="24"/>
          <w:szCs w:val="24"/>
        </w:rPr>
        <w:t xml:space="preserve"> </w:t>
      </w:r>
      <w:r w:rsidR="00522122" w:rsidRPr="0032506F">
        <w:rPr>
          <w:rFonts w:ascii="Times New Roman" w:hAnsi="Times New Roman"/>
          <w:color w:val="000000" w:themeColor="text1"/>
          <w:sz w:val="24"/>
          <w:szCs w:val="24"/>
        </w:rPr>
        <w:t>When the SEM/CFA researcher finds a poor fitting model, they</w:t>
      </w:r>
      <w:r w:rsidR="007D3D96" w:rsidRPr="0032506F">
        <w:rPr>
          <w:rFonts w:ascii="Times New Roman" w:hAnsi="Times New Roman"/>
          <w:color w:val="000000" w:themeColor="text1"/>
          <w:sz w:val="24"/>
          <w:szCs w:val="24"/>
        </w:rPr>
        <w:t xml:space="preserve"> may</w:t>
      </w:r>
      <w:r w:rsidR="00522122" w:rsidRPr="0032506F">
        <w:rPr>
          <w:rFonts w:ascii="Times New Roman" w:hAnsi="Times New Roman"/>
          <w:color w:val="000000" w:themeColor="text1"/>
          <w:sz w:val="24"/>
          <w:szCs w:val="24"/>
        </w:rPr>
        <w:t xml:space="preserve"> continue their analyses in an exploratory fashion because they start looking for those mis-specified parameters leading to the poor fit of the model (Byrne, 2005). To improve model fit, standardized residual covariances</w:t>
      </w:r>
      <w:r w:rsidR="007D3D96" w:rsidRPr="0032506F">
        <w:rPr>
          <w:rFonts w:ascii="Times New Roman" w:hAnsi="Times New Roman"/>
          <w:color w:val="000000" w:themeColor="text1"/>
          <w:sz w:val="24"/>
          <w:szCs w:val="24"/>
        </w:rPr>
        <w:t xml:space="preserve"> and modification indices are also recommended to be considered for model modifications (Byrne, 2016). </w:t>
      </w:r>
      <w:r w:rsidR="00522122" w:rsidRPr="0032506F">
        <w:rPr>
          <w:rFonts w:ascii="Times New Roman" w:hAnsi="Times New Roman"/>
          <w:color w:val="000000" w:themeColor="text1"/>
          <w:sz w:val="24"/>
          <w:szCs w:val="24"/>
        </w:rPr>
        <w:t xml:space="preserve">However, as noted by Byrne (2005, 2016), while deciding </w:t>
      </w:r>
      <w:r w:rsidR="009D308C" w:rsidRPr="0032506F">
        <w:rPr>
          <w:rFonts w:ascii="Times New Roman" w:hAnsi="Times New Roman"/>
          <w:color w:val="000000" w:themeColor="text1"/>
          <w:sz w:val="24"/>
          <w:szCs w:val="24"/>
        </w:rPr>
        <w:t>whether</w:t>
      </w:r>
      <w:r w:rsidR="00522122" w:rsidRPr="0032506F">
        <w:rPr>
          <w:rFonts w:ascii="Times New Roman" w:hAnsi="Times New Roman"/>
          <w:color w:val="000000" w:themeColor="text1"/>
          <w:sz w:val="24"/>
          <w:szCs w:val="24"/>
        </w:rPr>
        <w:t xml:space="preserve"> to add new parameters into </w:t>
      </w:r>
      <w:r w:rsidR="007D3D96" w:rsidRPr="0032506F">
        <w:rPr>
          <w:rFonts w:ascii="Times New Roman" w:hAnsi="Times New Roman"/>
          <w:color w:val="000000" w:themeColor="text1"/>
          <w:sz w:val="24"/>
          <w:szCs w:val="24"/>
        </w:rPr>
        <w:t xml:space="preserve">the </w:t>
      </w:r>
      <w:r w:rsidR="00522122" w:rsidRPr="0032506F">
        <w:rPr>
          <w:rFonts w:ascii="Times New Roman" w:hAnsi="Times New Roman"/>
          <w:color w:val="000000" w:themeColor="text1"/>
          <w:sz w:val="24"/>
          <w:szCs w:val="24"/>
        </w:rPr>
        <w:t xml:space="preserve">model based on modification indices, the new parameters suggested by the MIs </w:t>
      </w:r>
      <w:r w:rsidR="007D3D96" w:rsidRPr="0032506F">
        <w:rPr>
          <w:rFonts w:ascii="Times New Roman" w:hAnsi="Times New Roman"/>
          <w:color w:val="000000" w:themeColor="text1"/>
          <w:sz w:val="24"/>
          <w:szCs w:val="24"/>
        </w:rPr>
        <w:t xml:space="preserve">should </w:t>
      </w:r>
      <w:r w:rsidR="00522122" w:rsidRPr="0032506F">
        <w:rPr>
          <w:rFonts w:ascii="Times New Roman" w:hAnsi="Times New Roman"/>
          <w:color w:val="000000" w:themeColor="text1"/>
          <w:sz w:val="24"/>
          <w:szCs w:val="24"/>
        </w:rPr>
        <w:t>make both logical and theoretical sense</w:t>
      </w:r>
      <w:r w:rsidR="007D3D96" w:rsidRPr="0032506F">
        <w:rPr>
          <w:rFonts w:ascii="Times New Roman" w:hAnsi="Times New Roman"/>
          <w:color w:val="000000" w:themeColor="text1"/>
          <w:sz w:val="24"/>
          <w:szCs w:val="24"/>
        </w:rPr>
        <w:t>.</w:t>
      </w:r>
      <w:r w:rsidR="00522122" w:rsidRPr="0032506F">
        <w:rPr>
          <w:rFonts w:ascii="Times New Roman" w:hAnsi="Times New Roman"/>
          <w:color w:val="000000" w:themeColor="text1"/>
          <w:sz w:val="24"/>
          <w:szCs w:val="24"/>
        </w:rPr>
        <w:t xml:space="preserve"> </w:t>
      </w:r>
    </w:p>
    <w:p w14:paraId="40B8D54B" w14:textId="0AB1EAD4" w:rsidR="008A3C25" w:rsidRPr="0032506F" w:rsidRDefault="008A3C25" w:rsidP="00C102A8">
      <w:pPr>
        <w:pStyle w:val="Heading2"/>
      </w:pPr>
      <w:bookmarkStart w:id="90" w:name="_Toc102489461"/>
      <w:r w:rsidRPr="0032506F">
        <w:t>Validity and Reliability Coefficients</w:t>
      </w:r>
      <w:bookmarkEnd w:id="90"/>
    </w:p>
    <w:p w14:paraId="33F2B52E" w14:textId="3D854174" w:rsidR="00522122" w:rsidRPr="0032506F" w:rsidRDefault="008A3C25" w:rsidP="00194216">
      <w:pPr>
        <w:spacing w:after="0" w:line="480" w:lineRule="auto"/>
        <w:rPr>
          <w:rFonts w:ascii="Times New Roman" w:hAnsi="Times New Roman" w:cs="Times New Roman"/>
          <w:sz w:val="24"/>
          <w:szCs w:val="24"/>
        </w:rPr>
      </w:pPr>
      <w:r w:rsidRPr="0032506F">
        <w:tab/>
      </w:r>
      <w:r w:rsidRPr="0032506F">
        <w:rPr>
          <w:rFonts w:ascii="Times New Roman" w:hAnsi="Times New Roman" w:cs="Times New Roman"/>
          <w:sz w:val="24"/>
          <w:szCs w:val="24"/>
        </w:rPr>
        <w:t xml:space="preserve">In addition to the factorial validity evidence provided by the CFA analyses, Pearson correlations were used to test the OEHE items for convergent, discriminant, and </w:t>
      </w:r>
      <w:r w:rsidR="003308AA" w:rsidRPr="0032506F">
        <w:rPr>
          <w:rFonts w:ascii="Times New Roman" w:hAnsi="Times New Roman" w:cs="Times New Roman"/>
          <w:sz w:val="24"/>
          <w:szCs w:val="24"/>
        </w:rPr>
        <w:t xml:space="preserve">criterion-related validity. </w:t>
      </w:r>
      <w:r w:rsidR="00194216" w:rsidRPr="0032506F">
        <w:rPr>
          <w:rFonts w:ascii="Times New Roman" w:hAnsi="Times New Roman" w:cs="Times New Roman"/>
          <w:sz w:val="24"/>
          <w:szCs w:val="24"/>
        </w:rPr>
        <w:t xml:space="preserve">Moderate to strong, </w:t>
      </w:r>
      <w:proofErr w:type="gramStart"/>
      <w:r w:rsidR="00194216" w:rsidRPr="0032506F">
        <w:rPr>
          <w:rFonts w:ascii="Times New Roman" w:hAnsi="Times New Roman" w:cs="Times New Roman"/>
          <w:sz w:val="24"/>
          <w:szCs w:val="24"/>
        </w:rPr>
        <w:t>positive</w:t>
      </w:r>
      <w:proofErr w:type="gramEnd"/>
      <w:r w:rsidR="00194216" w:rsidRPr="0032506F">
        <w:rPr>
          <w:rFonts w:ascii="Times New Roman" w:hAnsi="Times New Roman" w:cs="Times New Roman"/>
          <w:sz w:val="24"/>
          <w:szCs w:val="24"/>
        </w:rPr>
        <w:t xml:space="preserve"> and significant correlations were sought after for</w:t>
      </w:r>
      <w:r w:rsidR="006517C6" w:rsidRPr="0032506F">
        <w:rPr>
          <w:rFonts w:ascii="Times New Roman" w:hAnsi="Times New Roman" w:cs="Times New Roman"/>
          <w:sz w:val="24"/>
          <w:szCs w:val="24"/>
        </w:rPr>
        <w:t xml:space="preserve"> convergent validity</w:t>
      </w:r>
      <w:r w:rsidR="00144C9A" w:rsidRPr="0032506F">
        <w:rPr>
          <w:rFonts w:ascii="Times New Roman" w:hAnsi="Times New Roman" w:cs="Times New Roman"/>
          <w:sz w:val="24"/>
          <w:szCs w:val="24"/>
        </w:rPr>
        <w:t xml:space="preserve"> evidence</w:t>
      </w:r>
      <w:r w:rsidR="006517C6" w:rsidRPr="0032506F">
        <w:rPr>
          <w:rFonts w:ascii="Times New Roman" w:hAnsi="Times New Roman" w:cs="Times New Roman"/>
          <w:sz w:val="24"/>
          <w:szCs w:val="24"/>
        </w:rPr>
        <w:t>, weak to non-existent and non-significant correlations were expected for discriminant validity</w:t>
      </w:r>
      <w:r w:rsidR="00144C9A" w:rsidRPr="0032506F">
        <w:rPr>
          <w:rFonts w:ascii="Times New Roman" w:hAnsi="Times New Roman" w:cs="Times New Roman"/>
          <w:sz w:val="24"/>
          <w:szCs w:val="24"/>
        </w:rPr>
        <w:t xml:space="preserve"> evidence</w:t>
      </w:r>
      <w:r w:rsidR="006517C6" w:rsidRPr="0032506F">
        <w:rPr>
          <w:rFonts w:ascii="Times New Roman" w:hAnsi="Times New Roman" w:cs="Times New Roman"/>
          <w:sz w:val="24"/>
          <w:szCs w:val="24"/>
        </w:rPr>
        <w:t>, and moderate to strong, positive, and significant correlations were</w:t>
      </w:r>
      <w:r w:rsidR="005F54E0" w:rsidRPr="0032506F">
        <w:rPr>
          <w:rFonts w:ascii="Times New Roman" w:hAnsi="Times New Roman" w:cs="Times New Roman"/>
          <w:sz w:val="24"/>
          <w:szCs w:val="24"/>
        </w:rPr>
        <w:t xml:space="preserve"> desired for criterion-related validity</w:t>
      </w:r>
      <w:r w:rsidR="00144C9A" w:rsidRPr="0032506F">
        <w:rPr>
          <w:rFonts w:ascii="Times New Roman" w:hAnsi="Times New Roman" w:cs="Times New Roman"/>
          <w:sz w:val="24"/>
          <w:szCs w:val="24"/>
        </w:rPr>
        <w:t xml:space="preserve"> evidence</w:t>
      </w:r>
      <w:r w:rsidR="005F54E0" w:rsidRPr="0032506F">
        <w:rPr>
          <w:rFonts w:ascii="Times New Roman" w:hAnsi="Times New Roman" w:cs="Times New Roman"/>
          <w:sz w:val="24"/>
          <w:szCs w:val="24"/>
        </w:rPr>
        <w:t>.</w:t>
      </w:r>
      <w:r w:rsidR="00144C9A" w:rsidRPr="0032506F">
        <w:rPr>
          <w:rFonts w:ascii="Times New Roman" w:hAnsi="Times New Roman" w:cs="Times New Roman"/>
          <w:sz w:val="24"/>
          <w:szCs w:val="24"/>
        </w:rPr>
        <w:t xml:space="preserve"> </w:t>
      </w:r>
      <w:r w:rsidR="00A2778B" w:rsidRPr="0032506F">
        <w:rPr>
          <w:rFonts w:ascii="Times New Roman" w:hAnsi="Times New Roman" w:cs="Times New Roman"/>
          <w:sz w:val="24"/>
          <w:szCs w:val="24"/>
        </w:rPr>
        <w:t xml:space="preserve">For reliability evidence, Cronbach’s alphas were used to test the OEHE items for internal consistency reliability. </w:t>
      </w:r>
      <w:r w:rsidR="00522122" w:rsidRPr="0032506F">
        <w:rPr>
          <w:rFonts w:ascii="Times New Roman" w:hAnsi="Times New Roman" w:cs="Times New Roman"/>
          <w:sz w:val="24"/>
          <w:szCs w:val="24"/>
        </w:rPr>
        <w:t xml:space="preserve"> </w:t>
      </w:r>
    </w:p>
    <w:p w14:paraId="6BF25253" w14:textId="77777777" w:rsidR="0015228A" w:rsidRPr="0032506F" w:rsidRDefault="0015228A" w:rsidP="0082746B"/>
    <w:p w14:paraId="1392E57E" w14:textId="77777777" w:rsidR="00B70940" w:rsidRDefault="00B70940" w:rsidP="007E1C2B">
      <w:pPr>
        <w:keepNext/>
        <w:keepLines/>
        <w:spacing w:after="0" w:line="240" w:lineRule="auto"/>
        <w:jc w:val="center"/>
        <w:outlineLvl w:val="0"/>
        <w:rPr>
          <w:rFonts w:ascii="Times New Roman" w:eastAsiaTheme="majorEastAsia" w:hAnsi="Times New Roman" w:cs="Times New Roman"/>
          <w:b/>
          <w:bCs/>
          <w:sz w:val="24"/>
          <w:szCs w:val="24"/>
        </w:rPr>
        <w:sectPr w:rsidR="00B70940" w:rsidSect="009C07A6">
          <w:headerReference w:type="default" r:id="rId12"/>
          <w:pgSz w:w="12240" w:h="15840"/>
          <w:pgMar w:top="1440" w:right="1440" w:bottom="1440" w:left="1440" w:header="720" w:footer="720" w:gutter="0"/>
          <w:cols w:space="720"/>
          <w:docGrid w:linePitch="360"/>
        </w:sectPr>
      </w:pPr>
    </w:p>
    <w:p w14:paraId="5A75AC90" w14:textId="4614C130" w:rsidR="007E1C2B" w:rsidRPr="0032506F" w:rsidRDefault="002522B6" w:rsidP="007E1C2B">
      <w:pPr>
        <w:keepNext/>
        <w:keepLines/>
        <w:spacing w:after="0" w:line="240" w:lineRule="auto"/>
        <w:jc w:val="center"/>
        <w:outlineLvl w:val="0"/>
        <w:rPr>
          <w:rFonts w:ascii="Times New Roman" w:eastAsiaTheme="majorEastAsia" w:hAnsi="Times New Roman" w:cs="Times New Roman"/>
          <w:b/>
          <w:bCs/>
          <w:sz w:val="24"/>
          <w:szCs w:val="24"/>
        </w:rPr>
      </w:pPr>
      <w:bookmarkStart w:id="91" w:name="_Toc102489462"/>
      <w:r w:rsidRPr="0032506F">
        <w:rPr>
          <w:rFonts w:ascii="Times New Roman" w:eastAsiaTheme="majorEastAsia" w:hAnsi="Times New Roman" w:cs="Times New Roman"/>
          <w:b/>
          <w:bCs/>
          <w:sz w:val="24"/>
          <w:szCs w:val="24"/>
        </w:rPr>
        <w:lastRenderedPageBreak/>
        <w:t>C</w:t>
      </w:r>
      <w:r w:rsidR="007E1C2B" w:rsidRPr="0032506F">
        <w:rPr>
          <w:rFonts w:ascii="Times New Roman" w:eastAsiaTheme="majorEastAsia" w:hAnsi="Times New Roman" w:cs="Times New Roman"/>
          <w:b/>
          <w:bCs/>
          <w:sz w:val="24"/>
          <w:szCs w:val="24"/>
        </w:rPr>
        <w:t>hapter 4: Findings</w:t>
      </w:r>
      <w:bookmarkEnd w:id="91"/>
    </w:p>
    <w:p w14:paraId="6F69F922" w14:textId="77777777" w:rsidR="007E1C2B" w:rsidRPr="0032506F" w:rsidRDefault="007E1C2B" w:rsidP="007E1C2B">
      <w:pPr>
        <w:spacing w:after="0" w:line="240" w:lineRule="auto"/>
      </w:pPr>
    </w:p>
    <w:p w14:paraId="4F8791F9" w14:textId="1A4ADEE7" w:rsidR="007E1C2B" w:rsidRPr="0032506F" w:rsidRDefault="007E1C2B" w:rsidP="007E1C2B">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The purpose of this instrument development study was to develop and validate a new self-report survey scale of student engagement in online courses of higher education</w:t>
      </w:r>
      <w:bookmarkStart w:id="92" w:name="_Hlk81318772"/>
      <w:r w:rsidRPr="0032506F">
        <w:rPr>
          <w:rFonts w:ascii="Times New Roman" w:hAnsi="Times New Roman"/>
          <w:color w:val="000000" w:themeColor="text1"/>
          <w:sz w:val="24"/>
          <w:szCs w:val="24"/>
        </w:rPr>
        <w:t xml:space="preserve"> titled </w:t>
      </w:r>
      <w:r w:rsidRPr="0032506F">
        <w:rPr>
          <w:rFonts w:ascii="Times New Roman" w:hAnsi="Times New Roman"/>
          <w:i/>
          <w:iCs/>
          <w:color w:val="000000" w:themeColor="text1"/>
          <w:sz w:val="24"/>
          <w:szCs w:val="24"/>
        </w:rPr>
        <w:t>Online Engagement in Higher Education</w:t>
      </w:r>
      <w:r w:rsidRPr="0032506F">
        <w:rPr>
          <w:rFonts w:ascii="Times New Roman" w:hAnsi="Times New Roman"/>
          <w:color w:val="000000" w:themeColor="text1"/>
          <w:sz w:val="24"/>
          <w:szCs w:val="24"/>
        </w:rPr>
        <w:t xml:space="preserve"> (OEHE) by analyzing and evaluating its reliability and validity.</w:t>
      </w:r>
      <w:bookmarkEnd w:id="92"/>
      <w:r w:rsidRPr="0032506F">
        <w:rPr>
          <w:rFonts w:ascii="Times New Roman" w:hAnsi="Times New Roman"/>
          <w:color w:val="000000" w:themeColor="text1"/>
          <w:sz w:val="24"/>
          <w:szCs w:val="24"/>
        </w:rPr>
        <w:t xml:space="preserve"> This chapter presents the empirical findings</w:t>
      </w:r>
      <w:r w:rsidR="00812FE9" w:rsidRPr="0032506F">
        <w:rPr>
          <w:rFonts w:ascii="Times New Roman" w:hAnsi="Times New Roman"/>
          <w:color w:val="000000" w:themeColor="text1"/>
          <w:sz w:val="24"/>
          <w:szCs w:val="24"/>
        </w:rPr>
        <w:t xml:space="preserve"> regarding </w:t>
      </w:r>
      <w:r w:rsidRPr="0032506F">
        <w:rPr>
          <w:rFonts w:ascii="Times New Roman" w:hAnsi="Times New Roman"/>
          <w:color w:val="000000" w:themeColor="text1"/>
          <w:sz w:val="24"/>
          <w:szCs w:val="24"/>
        </w:rPr>
        <w:t>confirmatory factor analysis, convergent, discriminant, and criterion validity, and internal consistency reliability of the OEHE instrument.</w:t>
      </w:r>
      <w:r w:rsidR="00812FE9"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For factorial validation, a</w:t>
      </w:r>
      <w:r w:rsidR="00B3240A" w:rsidRPr="0032506F">
        <w:rPr>
          <w:rFonts w:ascii="Times New Roman" w:hAnsi="Times New Roman"/>
          <w:color w:val="000000" w:themeColor="text1"/>
          <w:sz w:val="24"/>
          <w:szCs w:val="24"/>
        </w:rPr>
        <w:t xml:space="preserve"> series of</w:t>
      </w:r>
      <w:r w:rsidRPr="0032506F">
        <w:rPr>
          <w:rFonts w:ascii="Times New Roman" w:hAnsi="Times New Roman"/>
          <w:color w:val="000000" w:themeColor="text1"/>
          <w:sz w:val="24"/>
          <w:szCs w:val="24"/>
        </w:rPr>
        <w:t xml:space="preserve"> confirmatory factor analys</w:t>
      </w:r>
      <w:r w:rsidR="00B3240A" w:rsidRPr="0032506F">
        <w:rPr>
          <w:rFonts w:ascii="Times New Roman" w:hAnsi="Times New Roman"/>
          <w:color w:val="000000" w:themeColor="text1"/>
          <w:sz w:val="24"/>
          <w:szCs w:val="24"/>
        </w:rPr>
        <w:t>es</w:t>
      </w:r>
      <w:r w:rsidRPr="0032506F">
        <w:rPr>
          <w:rFonts w:ascii="Times New Roman" w:hAnsi="Times New Roman"/>
          <w:color w:val="000000" w:themeColor="text1"/>
          <w:sz w:val="24"/>
          <w:szCs w:val="24"/>
        </w:rPr>
        <w:t xml:space="preserve"> (CFA</w:t>
      </w:r>
      <w:r w:rsidR="00B3240A" w:rsidRPr="0032506F">
        <w:rPr>
          <w:rFonts w:ascii="Times New Roman" w:hAnsi="Times New Roman"/>
          <w:color w:val="000000" w:themeColor="text1"/>
          <w:sz w:val="24"/>
          <w:szCs w:val="24"/>
        </w:rPr>
        <w:t>s</w:t>
      </w:r>
      <w:r w:rsidRPr="0032506F">
        <w:rPr>
          <w:rFonts w:ascii="Times New Roman" w:hAnsi="Times New Roman"/>
          <w:color w:val="000000" w:themeColor="text1"/>
          <w:sz w:val="24"/>
          <w:szCs w:val="24"/>
        </w:rPr>
        <w:t xml:space="preserve">) was carried out to test and confirm the a priori hypothesized measurement model of the OEHE. </w:t>
      </w:r>
      <w:r w:rsidR="007D10C1" w:rsidRPr="0032506F">
        <w:rPr>
          <w:rFonts w:ascii="Times New Roman" w:hAnsi="Times New Roman"/>
          <w:color w:val="000000" w:themeColor="text1"/>
          <w:sz w:val="24"/>
          <w:szCs w:val="24"/>
        </w:rPr>
        <w:t>Pearson c</w:t>
      </w:r>
      <w:r w:rsidRPr="0032506F">
        <w:rPr>
          <w:rFonts w:ascii="Times New Roman" w:hAnsi="Times New Roman"/>
          <w:color w:val="000000" w:themeColor="text1"/>
          <w:sz w:val="24"/>
          <w:szCs w:val="24"/>
        </w:rPr>
        <w:t xml:space="preserve">orrelations between the OEHE subscales and other validation measures were run to seek empirical evidence for convergent, discriminant, and criterion validity as other </w:t>
      </w:r>
      <w:r w:rsidR="00EA1B07" w:rsidRPr="0032506F">
        <w:rPr>
          <w:rFonts w:ascii="Times New Roman" w:hAnsi="Times New Roman"/>
          <w:color w:val="000000" w:themeColor="text1"/>
          <w:sz w:val="24"/>
          <w:szCs w:val="24"/>
        </w:rPr>
        <w:t>forms</w:t>
      </w:r>
      <w:r w:rsidRPr="0032506F">
        <w:rPr>
          <w:rFonts w:ascii="Times New Roman" w:hAnsi="Times New Roman"/>
          <w:color w:val="000000" w:themeColor="text1"/>
          <w:sz w:val="24"/>
          <w:szCs w:val="24"/>
        </w:rPr>
        <w:t xml:space="preserve"> of construct validation. Finally, Cronbach’s alpha statistics</w:t>
      </w:r>
      <w:r w:rsidR="00EA1B07"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were obtained to assess and evaluate the internal consistency reliability of the OEHE instrument. </w:t>
      </w:r>
      <w:r w:rsidR="00EA1B07" w:rsidRPr="0032506F">
        <w:rPr>
          <w:rFonts w:ascii="Times New Roman" w:hAnsi="Times New Roman"/>
          <w:color w:val="000000" w:themeColor="text1"/>
          <w:sz w:val="24"/>
          <w:szCs w:val="24"/>
        </w:rPr>
        <w:t xml:space="preserve">The findings indicated that the hypothesized three-factor structure of engagement based on Fredricks et al.’s (2004) three core dimensions of student engagement was adequately confirmed in the context of online learning. Pearson correlations also provided reasonable evidence for convergent and criterion-related validity and strong evidence for discriminant validity. Finally, the Cronbach’s alpha findings provided adequate to very good internal consistency reliability for the subscales of the OEHE and for the OEHE </w:t>
      </w:r>
      <w:proofErr w:type="gramStart"/>
      <w:r w:rsidR="00EA1B07" w:rsidRPr="0032506F">
        <w:rPr>
          <w:rFonts w:ascii="Times New Roman" w:hAnsi="Times New Roman"/>
          <w:color w:val="000000" w:themeColor="text1"/>
          <w:sz w:val="24"/>
          <w:szCs w:val="24"/>
        </w:rPr>
        <w:t>instrument as a whole</w:t>
      </w:r>
      <w:proofErr w:type="gramEnd"/>
      <w:r w:rsidR="00EA1B07"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 </w:t>
      </w:r>
    </w:p>
    <w:p w14:paraId="29DEE429" w14:textId="77777777" w:rsidR="007E1C2B" w:rsidRPr="0032506F" w:rsidRDefault="007E1C2B" w:rsidP="007E1C2B">
      <w:pPr>
        <w:keepNext/>
        <w:keepLines/>
        <w:spacing w:after="0" w:line="480" w:lineRule="auto"/>
        <w:outlineLvl w:val="1"/>
        <w:rPr>
          <w:rFonts w:ascii="Times New Roman" w:eastAsiaTheme="majorEastAsia" w:hAnsi="Times New Roman" w:cs="Times New Roman"/>
          <w:b/>
          <w:bCs/>
          <w:sz w:val="24"/>
          <w:szCs w:val="24"/>
        </w:rPr>
      </w:pPr>
      <w:bookmarkStart w:id="93" w:name="_Toc102489463"/>
      <w:r w:rsidRPr="0032506F">
        <w:rPr>
          <w:rFonts w:ascii="Times New Roman" w:eastAsiaTheme="majorEastAsia" w:hAnsi="Times New Roman" w:cs="Times New Roman"/>
          <w:b/>
          <w:bCs/>
          <w:sz w:val="24"/>
          <w:szCs w:val="24"/>
        </w:rPr>
        <w:t>Confirmatory Factor Analysis (CFA)</w:t>
      </w:r>
      <w:bookmarkEnd w:id="93"/>
    </w:p>
    <w:p w14:paraId="66E3BB35" w14:textId="54687B05" w:rsidR="007E1C2B" w:rsidRPr="0032506F" w:rsidRDefault="007E1C2B" w:rsidP="007E1C2B">
      <w:pPr>
        <w:spacing w:after="0" w:line="480" w:lineRule="auto"/>
        <w:rPr>
          <w:rFonts w:ascii="Times New Roman" w:hAnsi="Times New Roman"/>
          <w:i/>
          <w:iCs/>
          <w:color w:val="000000" w:themeColor="text1"/>
          <w:sz w:val="24"/>
          <w:szCs w:val="24"/>
        </w:rPr>
      </w:pPr>
      <w:r w:rsidRPr="0032506F">
        <w:rPr>
          <w:rFonts w:ascii="Times New Roman" w:hAnsi="Times New Roman" w:cs="Times New Roman"/>
          <w:sz w:val="24"/>
          <w:szCs w:val="24"/>
        </w:rPr>
        <w:tab/>
      </w:r>
      <w:bookmarkStart w:id="94" w:name="_Hlk90988987"/>
      <w:r w:rsidR="002338D5" w:rsidRPr="0032506F">
        <w:rPr>
          <w:rFonts w:ascii="Times New Roman" w:hAnsi="Times New Roman" w:cs="Times New Roman"/>
          <w:sz w:val="24"/>
          <w:szCs w:val="24"/>
        </w:rPr>
        <w:t>The</w:t>
      </w:r>
      <w:r w:rsidRPr="0032506F">
        <w:rPr>
          <w:rFonts w:ascii="Times New Roman" w:hAnsi="Times New Roman" w:cs="Times New Roman"/>
          <w:sz w:val="24"/>
          <w:szCs w:val="24"/>
        </w:rPr>
        <w:t xml:space="preserve"> first research question </w:t>
      </w:r>
      <w:bookmarkEnd w:id="94"/>
      <w:r w:rsidRPr="0032506F">
        <w:rPr>
          <w:rFonts w:ascii="Times New Roman" w:hAnsi="Times New Roman" w:cs="Times New Roman"/>
          <w:i/>
          <w:iCs/>
          <w:sz w:val="24"/>
          <w:szCs w:val="24"/>
        </w:rPr>
        <w:t>RQ1: Can a three-factor hypothesized model of online student engagement based on theory and prior research be confirmed in a validation sample?</w:t>
      </w:r>
      <w:r w:rsidR="002D308A" w:rsidRPr="0032506F">
        <w:rPr>
          <w:rFonts w:ascii="Times New Roman" w:hAnsi="Times New Roman" w:cs="Times New Roman"/>
          <w:i/>
          <w:iCs/>
          <w:sz w:val="24"/>
          <w:szCs w:val="24"/>
        </w:rPr>
        <w:t xml:space="preserve"> </w:t>
      </w:r>
      <w:r w:rsidR="002D308A" w:rsidRPr="0032506F">
        <w:rPr>
          <w:rFonts w:ascii="Times New Roman" w:hAnsi="Times New Roman" w:cs="Times New Roman"/>
          <w:sz w:val="24"/>
          <w:szCs w:val="24"/>
        </w:rPr>
        <w:t xml:space="preserve">was answered </w:t>
      </w:r>
      <w:r w:rsidR="00EF67D4" w:rsidRPr="0032506F">
        <w:rPr>
          <w:rFonts w:ascii="Times New Roman" w:hAnsi="Times New Roman" w:cs="Times New Roman"/>
          <w:sz w:val="24"/>
          <w:szCs w:val="24"/>
        </w:rPr>
        <w:t xml:space="preserve">satisfactorily as the hypothesized three-factor structure of student engagement in online learning environments was adequately confirmed through a series of CFA. </w:t>
      </w:r>
      <w:r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lastRenderedPageBreak/>
        <w:t xml:space="preserve">measurement model to be tested in this study postulated a priori that online student engagement is a three-factor structure involving online behavioral engagement (OBE), online emotional engagement (OEE), and online cognitive engagement (OCE). In the initial CFA model drawn up in the Amos graphics (see </w:t>
      </w:r>
      <w:hyperlink w:anchor="_Appendix_R_Approval" w:history="1">
        <w:r w:rsidR="00EF67D4" w:rsidRPr="0032506F">
          <w:rPr>
            <w:rStyle w:val="Hyperlink"/>
            <w:rFonts w:ascii="Times New Roman" w:hAnsi="Times New Roman"/>
            <w:sz w:val="24"/>
            <w:szCs w:val="24"/>
          </w:rPr>
          <w:t xml:space="preserve">Appendix </w:t>
        </w:r>
        <w:r w:rsidR="00E02E56">
          <w:rPr>
            <w:rStyle w:val="Hyperlink"/>
            <w:rFonts w:ascii="Times New Roman" w:hAnsi="Times New Roman"/>
            <w:sz w:val="24"/>
            <w:szCs w:val="24"/>
          </w:rPr>
          <w:t>L</w:t>
        </w:r>
      </w:hyperlink>
      <w:r w:rsidRPr="0032506F">
        <w:rPr>
          <w:rFonts w:ascii="Times New Roman" w:hAnsi="Times New Roman"/>
          <w:color w:val="000000" w:themeColor="text1"/>
          <w:sz w:val="24"/>
          <w:szCs w:val="24"/>
        </w:rPr>
        <w:t xml:space="preserve">) after the cleaning of the poor items at the initial item screening process, there was a total of </w:t>
      </w:r>
      <w:r w:rsidR="00EF67D4" w:rsidRPr="0032506F">
        <w:rPr>
          <w:rFonts w:ascii="Times New Roman" w:hAnsi="Times New Roman"/>
          <w:color w:val="000000" w:themeColor="text1"/>
          <w:sz w:val="24"/>
          <w:szCs w:val="24"/>
        </w:rPr>
        <w:t>31</w:t>
      </w:r>
      <w:r w:rsidRPr="0032506F">
        <w:rPr>
          <w:rFonts w:ascii="Times New Roman" w:hAnsi="Times New Roman"/>
          <w:color w:val="000000" w:themeColor="text1"/>
          <w:sz w:val="24"/>
          <w:szCs w:val="24"/>
        </w:rPr>
        <w:t xml:space="preserve"> observed indicator variables, with each representing a particular facet of online student engagement only. In this CFA model, nine items were hypothesized to load only on the OBE factor; twelve items were hypothesized to load only on the OEE factor, and ten items were hypothesized to load only on the OCE factor. In this hypothesized model to be tested through CFA procedures, OBE, OEE, and OCE as three distinct factors of online student engagement were assumed, based on theory and research, to be intercorrelated. On the other hand, error terms associated with each indicator variable were assumed to be uncorrelated in this initially specified model. This specified CFA model hypothesized a priori that the responses to the OEHE instrument could be explained by three factors, namely OBE, OEE, and OCE; that each indicator variable would have a nonzero loading on the target factor that it was theoretically expected to load on and would have a zero loading on all the other factors; the three factors were correlated with one another, as consistent with theory and prior research (Fredricks et al., 2004; Kucuk &amp; Richardson, 2019); and error variances associated with each indicator variable were uncorrelated with one another (Byrne, 2016). </w:t>
      </w:r>
    </w:p>
    <w:p w14:paraId="0AD41EF9" w14:textId="07F1DB2B" w:rsidR="007E1C2B" w:rsidRPr="0032506F" w:rsidRDefault="007E1C2B" w:rsidP="00CB3BBD">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t xml:space="preserve">Next, the CFA data set (N = 247) </w:t>
      </w:r>
      <w:r w:rsidR="00CB3BBD" w:rsidRPr="0032506F">
        <w:rPr>
          <w:rFonts w:ascii="Times New Roman" w:hAnsi="Times New Roman" w:cs="Times New Roman"/>
          <w:sz w:val="24"/>
          <w:szCs w:val="24"/>
        </w:rPr>
        <w:t xml:space="preserve">was entered </w:t>
      </w:r>
      <w:r w:rsidRPr="0032506F">
        <w:rPr>
          <w:rFonts w:ascii="Times New Roman" w:hAnsi="Times New Roman" w:cs="Times New Roman"/>
          <w:sz w:val="24"/>
          <w:szCs w:val="24"/>
        </w:rPr>
        <w:t>into this initial model</w:t>
      </w:r>
      <w:r w:rsidR="00342C4D" w:rsidRPr="0032506F">
        <w:rPr>
          <w:rFonts w:ascii="Times New Roman" w:hAnsi="Times New Roman" w:cs="Times New Roman"/>
          <w:sz w:val="24"/>
          <w:szCs w:val="24"/>
        </w:rPr>
        <w:t xml:space="preserve"> with 31 items</w:t>
      </w:r>
      <w:r w:rsidRPr="0032506F">
        <w:rPr>
          <w:rFonts w:ascii="Times New Roman" w:hAnsi="Times New Roman" w:cs="Times New Roman"/>
          <w:sz w:val="24"/>
          <w:szCs w:val="24"/>
        </w:rPr>
        <w:t xml:space="preserve"> and maximum likelihood (ML) estimation method </w:t>
      </w:r>
      <w:r w:rsidR="00CB3BBD" w:rsidRPr="0032506F">
        <w:rPr>
          <w:rFonts w:ascii="Times New Roman" w:hAnsi="Times New Roman" w:cs="Times New Roman"/>
          <w:sz w:val="24"/>
          <w:szCs w:val="24"/>
        </w:rPr>
        <w:t xml:space="preserve">was </w:t>
      </w:r>
      <w:r w:rsidRPr="0032506F">
        <w:rPr>
          <w:rFonts w:ascii="Times New Roman" w:hAnsi="Times New Roman" w:cs="Times New Roman"/>
          <w:sz w:val="24"/>
          <w:szCs w:val="24"/>
        </w:rPr>
        <w:t xml:space="preserve">used as the default option in Amos. </w:t>
      </w:r>
      <w:r w:rsidR="00CB3BBD" w:rsidRPr="0032506F">
        <w:rPr>
          <w:rFonts w:ascii="Times New Roman" w:hAnsi="Times New Roman" w:cs="Times New Roman"/>
          <w:sz w:val="24"/>
          <w:szCs w:val="24"/>
        </w:rPr>
        <w:t>A</w:t>
      </w:r>
      <w:r w:rsidRPr="0032506F">
        <w:rPr>
          <w:rFonts w:ascii="Times New Roman" w:hAnsi="Times New Roman" w:cs="Times New Roman"/>
          <w:sz w:val="24"/>
          <w:szCs w:val="24"/>
        </w:rPr>
        <w:t xml:space="preserve">ssessment of normality </w:t>
      </w:r>
      <w:r w:rsidR="00CB3BBD" w:rsidRPr="0032506F">
        <w:rPr>
          <w:rFonts w:ascii="Times New Roman" w:hAnsi="Times New Roman" w:cs="Times New Roman"/>
          <w:sz w:val="24"/>
          <w:szCs w:val="24"/>
        </w:rPr>
        <w:t xml:space="preserve">was also requested </w:t>
      </w:r>
      <w:r w:rsidRPr="0032506F">
        <w:rPr>
          <w:rFonts w:ascii="Times New Roman" w:hAnsi="Times New Roman" w:cs="Times New Roman"/>
          <w:sz w:val="24"/>
          <w:szCs w:val="24"/>
        </w:rPr>
        <w:t xml:space="preserve">since ML estimation assumes multivariate normality and this assumption </w:t>
      </w:r>
      <w:proofErr w:type="gramStart"/>
      <w:r w:rsidRPr="0032506F">
        <w:rPr>
          <w:rFonts w:ascii="Times New Roman" w:hAnsi="Times New Roman" w:cs="Times New Roman"/>
          <w:sz w:val="24"/>
          <w:szCs w:val="24"/>
        </w:rPr>
        <w:t>has to</w:t>
      </w:r>
      <w:proofErr w:type="gramEnd"/>
      <w:r w:rsidRPr="0032506F">
        <w:rPr>
          <w:rFonts w:ascii="Times New Roman" w:hAnsi="Times New Roman" w:cs="Times New Roman"/>
          <w:sz w:val="24"/>
          <w:szCs w:val="24"/>
        </w:rPr>
        <w:t xml:space="preserve"> be analyzed before undertaking any </w:t>
      </w:r>
      <w:r w:rsidR="00CB3BBD" w:rsidRPr="0032506F">
        <w:rPr>
          <w:rFonts w:ascii="Times New Roman" w:hAnsi="Times New Roman" w:cs="Times New Roman"/>
          <w:sz w:val="24"/>
          <w:szCs w:val="24"/>
        </w:rPr>
        <w:t xml:space="preserve">further </w:t>
      </w:r>
      <w:r w:rsidRPr="0032506F">
        <w:rPr>
          <w:rFonts w:ascii="Times New Roman" w:hAnsi="Times New Roman" w:cs="Times New Roman"/>
          <w:sz w:val="24"/>
          <w:szCs w:val="24"/>
        </w:rPr>
        <w:t>CFA analyses or making any interpretations (Byrne, 2016).</w:t>
      </w:r>
      <w:r w:rsidR="00342C4D" w:rsidRPr="0032506F">
        <w:rPr>
          <w:rFonts w:ascii="Times New Roman" w:hAnsi="Times New Roman" w:cs="Times New Roman"/>
          <w:sz w:val="24"/>
          <w:szCs w:val="24"/>
        </w:rPr>
        <w:t xml:space="preserve"> </w:t>
      </w:r>
      <w:r w:rsidRPr="0032506F">
        <w:rPr>
          <w:rFonts w:ascii="Times New Roman" w:hAnsi="Times New Roman" w:cs="Times New Roman"/>
          <w:sz w:val="24"/>
          <w:szCs w:val="24"/>
        </w:rPr>
        <w:t xml:space="preserve">When the initial specified CFA model for the hypothesized </w:t>
      </w:r>
      <w:r w:rsidRPr="0032506F">
        <w:rPr>
          <w:rFonts w:ascii="Times New Roman" w:hAnsi="Times New Roman" w:cs="Times New Roman"/>
          <w:sz w:val="24"/>
          <w:szCs w:val="24"/>
        </w:rPr>
        <w:lastRenderedPageBreak/>
        <w:t>three-factor structure of online student engagement</w:t>
      </w:r>
      <w:r w:rsidR="00CB3BBD" w:rsidRPr="0032506F">
        <w:rPr>
          <w:rFonts w:ascii="Times New Roman" w:hAnsi="Times New Roman" w:cs="Times New Roman"/>
          <w:sz w:val="24"/>
          <w:szCs w:val="24"/>
        </w:rPr>
        <w:t xml:space="preserve"> was estimated</w:t>
      </w:r>
      <w:r w:rsidRPr="0032506F">
        <w:rPr>
          <w:rFonts w:ascii="Times New Roman" w:hAnsi="Times New Roman" w:cs="Times New Roman"/>
          <w:sz w:val="24"/>
          <w:szCs w:val="24"/>
        </w:rPr>
        <w:t>,</w:t>
      </w:r>
      <w:r w:rsidR="00CB3BBD" w:rsidRPr="0032506F">
        <w:rPr>
          <w:rFonts w:ascii="Times New Roman" w:hAnsi="Times New Roman" w:cs="Times New Roman"/>
          <w:sz w:val="24"/>
          <w:szCs w:val="24"/>
        </w:rPr>
        <w:t xml:space="preserve"> it produced</w:t>
      </w:r>
      <w:r w:rsidRPr="0032506F">
        <w:rPr>
          <w:rFonts w:ascii="Times New Roman" w:hAnsi="Times New Roman" w:cs="Times New Roman"/>
          <w:sz w:val="24"/>
          <w:szCs w:val="24"/>
        </w:rPr>
        <w:t xml:space="preserve"> a chi-square value of 1309.613</w:t>
      </w:r>
      <w:r w:rsidR="00CB3BBD" w:rsidRPr="0032506F">
        <w:rPr>
          <w:rFonts w:ascii="Times New Roman" w:hAnsi="Times New Roman" w:cs="Times New Roman"/>
          <w:sz w:val="24"/>
          <w:szCs w:val="24"/>
        </w:rPr>
        <w:t xml:space="preserve"> with 431 degrees of freedom</w:t>
      </w:r>
      <w:r w:rsidRPr="0032506F">
        <w:rPr>
          <w:rFonts w:ascii="Times New Roman" w:hAnsi="Times New Roman" w:cs="Times New Roman"/>
          <w:sz w:val="24"/>
          <w:szCs w:val="24"/>
        </w:rPr>
        <w:t xml:space="preserve"> and the probability level of .000 (</w:t>
      </w:r>
      <w:r w:rsidRPr="0032506F">
        <w:rPr>
          <w:rFonts w:ascii="Times New Roman" w:hAnsi="Times New Roman" w:cs="Times New Roman"/>
          <w:i/>
          <w:sz w:val="24"/>
          <w:szCs w:val="24"/>
        </w:rPr>
        <w:t>p &lt;.</w:t>
      </w:r>
      <w:r w:rsidRPr="0032506F">
        <w:rPr>
          <w:rFonts w:ascii="Times New Roman" w:hAnsi="Times New Roman" w:cs="Times New Roman"/>
          <w:sz w:val="24"/>
          <w:szCs w:val="24"/>
        </w:rPr>
        <w:t>001)</w:t>
      </w:r>
      <w:r w:rsidR="00CB3BBD" w:rsidRPr="0032506F">
        <w:rPr>
          <w:rFonts w:ascii="Times New Roman" w:hAnsi="Times New Roman" w:cs="Times New Roman"/>
          <w:sz w:val="24"/>
          <w:szCs w:val="24"/>
        </w:rPr>
        <w:t xml:space="preserve">, indicating a poor model fit.  </w:t>
      </w:r>
      <w:r w:rsidRPr="0032506F">
        <w:rPr>
          <w:rFonts w:ascii="Times New Roman" w:hAnsi="Times New Roman" w:cs="Times New Roman"/>
          <w:sz w:val="24"/>
          <w:szCs w:val="24"/>
        </w:rPr>
        <w:t xml:space="preserve">In terms of assessment of normality, multivariate normality is the major assumption to be met in SEM-based CFA applications using maximum likelihood (ML) as the estimation method (Arbuckle, 2020; Byrne, 2010, 2016). In addition to the preliminary analyses </w:t>
      </w:r>
      <w:r w:rsidR="00F760DB" w:rsidRPr="0032506F">
        <w:rPr>
          <w:rFonts w:ascii="Times New Roman" w:hAnsi="Times New Roman" w:cs="Times New Roman"/>
          <w:sz w:val="24"/>
          <w:szCs w:val="24"/>
        </w:rPr>
        <w:t xml:space="preserve">where </w:t>
      </w:r>
      <w:r w:rsidRPr="0032506F">
        <w:rPr>
          <w:rFonts w:ascii="Times New Roman" w:hAnsi="Times New Roman" w:cs="Times New Roman"/>
          <w:sz w:val="24"/>
          <w:szCs w:val="24"/>
        </w:rPr>
        <w:t xml:space="preserve">the data </w:t>
      </w:r>
      <w:r w:rsidR="00F760DB" w:rsidRPr="0032506F">
        <w:rPr>
          <w:rFonts w:ascii="Times New Roman" w:hAnsi="Times New Roman" w:cs="Times New Roman"/>
          <w:sz w:val="24"/>
          <w:szCs w:val="24"/>
        </w:rPr>
        <w:t xml:space="preserve">were screened </w:t>
      </w:r>
      <w:r w:rsidRPr="0032506F">
        <w:rPr>
          <w:rFonts w:ascii="Times New Roman" w:hAnsi="Times New Roman" w:cs="Times New Roman"/>
          <w:sz w:val="24"/>
          <w:szCs w:val="24"/>
        </w:rPr>
        <w:t xml:space="preserve">for univariate normality through an inspection of skewness and kurtosis indices of the indicator variables and their box plots and histograms as well as eliminating univariate and multivariate outliers, the indices of univariate skewness and univariate kurtosis </w:t>
      </w:r>
      <w:r w:rsidR="00F760DB" w:rsidRPr="0032506F">
        <w:rPr>
          <w:rFonts w:ascii="Times New Roman" w:hAnsi="Times New Roman" w:cs="Times New Roman"/>
          <w:sz w:val="24"/>
          <w:szCs w:val="24"/>
        </w:rPr>
        <w:t xml:space="preserve">were screened </w:t>
      </w:r>
      <w:r w:rsidRPr="0032506F">
        <w:rPr>
          <w:rFonts w:ascii="Times New Roman" w:hAnsi="Times New Roman" w:cs="Times New Roman"/>
          <w:sz w:val="24"/>
          <w:szCs w:val="24"/>
        </w:rPr>
        <w:t xml:space="preserve">in the Amos output as well to </w:t>
      </w:r>
      <w:r w:rsidR="00F760DB" w:rsidRPr="0032506F">
        <w:rPr>
          <w:rFonts w:ascii="Times New Roman" w:hAnsi="Times New Roman" w:cs="Times New Roman"/>
          <w:sz w:val="24"/>
          <w:szCs w:val="24"/>
        </w:rPr>
        <w:t xml:space="preserve">examine </w:t>
      </w:r>
      <w:r w:rsidRPr="0032506F">
        <w:rPr>
          <w:rFonts w:ascii="Times New Roman" w:hAnsi="Times New Roman" w:cs="Times New Roman"/>
          <w:sz w:val="24"/>
          <w:szCs w:val="24"/>
        </w:rPr>
        <w:t>the CFA data for univariate normality first as a prerequisite for multivariate normality before evaluating and interpreting any model fit parameters or indices (Byrne, 2016). According to Kline (2016), skewness values greater than 3 indicate more severely skewed data,</w:t>
      </w:r>
      <w:r w:rsidRPr="0032506F">
        <w:rPr>
          <w:rFonts w:ascii="Times New Roman" w:hAnsi="Times New Roman"/>
          <w:color w:val="000000" w:themeColor="text1"/>
          <w:sz w:val="24"/>
          <w:szCs w:val="24"/>
        </w:rPr>
        <w:t xml:space="preserve"> w</w:t>
      </w:r>
      <w:r w:rsidRPr="0032506F">
        <w:rPr>
          <w:rFonts w:ascii="Times New Roman" w:hAnsi="Times New Roman" w:cs="Times New Roman"/>
          <w:sz w:val="24"/>
          <w:szCs w:val="24"/>
        </w:rPr>
        <w:t xml:space="preserve">hile skewness values falling in between -2 and +2 </w:t>
      </w:r>
      <w:proofErr w:type="gramStart"/>
      <w:r w:rsidRPr="0032506F">
        <w:rPr>
          <w:rFonts w:ascii="Times New Roman" w:hAnsi="Times New Roman" w:cs="Times New Roman"/>
          <w:sz w:val="24"/>
          <w:szCs w:val="24"/>
        </w:rPr>
        <w:t>are considered to be</w:t>
      </w:r>
      <w:proofErr w:type="gramEnd"/>
      <w:r w:rsidRPr="0032506F">
        <w:rPr>
          <w:rFonts w:ascii="Times New Roman" w:hAnsi="Times New Roman" w:cs="Times New Roman"/>
          <w:sz w:val="24"/>
          <w:szCs w:val="24"/>
        </w:rPr>
        <w:t xml:space="preserve"> reasonably consistent with univariate normality (Lomax &amp; Hahs-Vaughn, 2012). Taking both rules of thumb into consideration, none of </w:t>
      </w:r>
      <w:r w:rsidR="00F760DB" w:rsidRPr="0032506F">
        <w:rPr>
          <w:rFonts w:ascii="Times New Roman" w:hAnsi="Times New Roman" w:cs="Times New Roman"/>
          <w:sz w:val="24"/>
          <w:szCs w:val="24"/>
        </w:rPr>
        <w:t>the</w:t>
      </w:r>
      <w:r w:rsidRPr="0032506F">
        <w:rPr>
          <w:rFonts w:ascii="Times New Roman" w:hAnsi="Times New Roman" w:cs="Times New Roman"/>
          <w:sz w:val="24"/>
          <w:szCs w:val="24"/>
        </w:rPr>
        <w:t xml:space="preserve"> OEHE items </w:t>
      </w:r>
      <w:r w:rsidR="00F760DB" w:rsidRPr="0032506F">
        <w:rPr>
          <w:rFonts w:ascii="Times New Roman" w:hAnsi="Times New Roman" w:cs="Times New Roman"/>
          <w:sz w:val="24"/>
          <w:szCs w:val="24"/>
        </w:rPr>
        <w:t xml:space="preserve">were found </w:t>
      </w:r>
      <w:r w:rsidRPr="0032506F">
        <w:rPr>
          <w:rFonts w:ascii="Times New Roman" w:hAnsi="Times New Roman" w:cs="Times New Roman"/>
          <w:sz w:val="24"/>
          <w:szCs w:val="24"/>
        </w:rPr>
        <w:t xml:space="preserve">to have a skew index </w:t>
      </w:r>
      <w:proofErr w:type="gramStart"/>
      <w:r w:rsidRPr="0032506F">
        <w:rPr>
          <w:rFonts w:ascii="Times New Roman" w:hAnsi="Times New Roman" w:cs="Times New Roman"/>
          <w:sz w:val="24"/>
          <w:szCs w:val="24"/>
        </w:rPr>
        <w:t>in excess of</w:t>
      </w:r>
      <w:proofErr w:type="gramEnd"/>
      <w:r w:rsidRPr="0032506F">
        <w:rPr>
          <w:rFonts w:ascii="Times New Roman" w:hAnsi="Times New Roman" w:cs="Times New Roman"/>
          <w:sz w:val="24"/>
          <w:szCs w:val="24"/>
        </w:rPr>
        <w:t xml:space="preserve"> 2 in absolute value, with all the 31 items having skewness values between -2 and +2, indicating reasonable consistency with univariate normality and no severe skewness, although the twenty-nine indicator variables were negatively skewed with negative skew values ranging from -.241 to -1.651 and the two indicator variables were positively skewed with values of .164 and .229. </w:t>
      </w:r>
    </w:p>
    <w:p w14:paraId="6895C3EE" w14:textId="5C38A6A0" w:rsidR="007E1C2B" w:rsidRPr="0032506F" w:rsidRDefault="007E1C2B" w:rsidP="000C7D57">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 xml:space="preserve">Given that CFA procedures in the context of SEM are based on covariance matrices, kurtosis, and more specifically multivariate kurtosis which can be quite detrimental to the robustness of the CFA findings, is particularly more important in CFA analyses (Byrne, 2010. 2016). First, the univariate kurtosis values given for each of the OEHE items </w:t>
      </w:r>
      <w:r w:rsidR="00F760DB" w:rsidRPr="0032506F">
        <w:rPr>
          <w:rFonts w:ascii="Times New Roman" w:hAnsi="Times New Roman" w:cs="Times New Roman"/>
          <w:sz w:val="24"/>
          <w:szCs w:val="24"/>
        </w:rPr>
        <w:t xml:space="preserve">were screened </w:t>
      </w:r>
      <w:r w:rsidRPr="0032506F">
        <w:rPr>
          <w:rFonts w:ascii="Times New Roman" w:hAnsi="Times New Roman" w:cs="Times New Roman"/>
          <w:sz w:val="24"/>
          <w:szCs w:val="24"/>
        </w:rPr>
        <w:t xml:space="preserve">in </w:t>
      </w:r>
      <w:r w:rsidRPr="0032506F">
        <w:rPr>
          <w:rFonts w:ascii="Times New Roman" w:hAnsi="Times New Roman" w:cs="Times New Roman"/>
          <w:sz w:val="24"/>
          <w:szCs w:val="24"/>
        </w:rPr>
        <w:lastRenderedPageBreak/>
        <w:t xml:space="preserve">the assessment of normality output produced by Amos. There is no clear agreement on the size of univariate kurtosis indices to make conclusions of extreme kurtosis about the data (Byrne, 2010, 2016; Kline, 2016). Lomax and Hahs-Vaughn (2012) suggest that univariate kurtosis values between -2 and +2 are consistent with univariate normality, although Byrne (2010) recommends interpreting the univariate kurtosis values “equal to or greater than 7 to be indicative of early departure from normality” (p. 103). </w:t>
      </w:r>
      <w:r w:rsidR="00F760DB" w:rsidRPr="0032506F">
        <w:rPr>
          <w:rFonts w:ascii="Times New Roman" w:hAnsi="Times New Roman" w:cs="Times New Roman"/>
          <w:sz w:val="24"/>
          <w:szCs w:val="24"/>
        </w:rPr>
        <w:t>N</w:t>
      </w:r>
      <w:r w:rsidRPr="0032506F">
        <w:rPr>
          <w:rFonts w:ascii="Times New Roman" w:hAnsi="Times New Roman" w:cs="Times New Roman"/>
          <w:sz w:val="24"/>
          <w:szCs w:val="24"/>
        </w:rPr>
        <w:t xml:space="preserve">one of </w:t>
      </w:r>
      <w:r w:rsidR="00F760DB" w:rsidRPr="0032506F">
        <w:rPr>
          <w:rFonts w:ascii="Times New Roman" w:hAnsi="Times New Roman" w:cs="Times New Roman"/>
          <w:sz w:val="24"/>
          <w:szCs w:val="24"/>
        </w:rPr>
        <w:t>the</w:t>
      </w:r>
      <w:r w:rsidRPr="0032506F">
        <w:rPr>
          <w:rFonts w:ascii="Times New Roman" w:hAnsi="Times New Roman" w:cs="Times New Roman"/>
          <w:sz w:val="24"/>
          <w:szCs w:val="24"/>
        </w:rPr>
        <w:t xml:space="preserve"> OEHE items</w:t>
      </w:r>
      <w:r w:rsidR="00F760DB" w:rsidRPr="0032506F">
        <w:rPr>
          <w:rFonts w:ascii="Times New Roman" w:hAnsi="Times New Roman" w:cs="Times New Roman"/>
          <w:sz w:val="24"/>
          <w:szCs w:val="24"/>
        </w:rPr>
        <w:t xml:space="preserve"> were found</w:t>
      </w:r>
      <w:r w:rsidRPr="0032506F">
        <w:rPr>
          <w:rFonts w:ascii="Times New Roman" w:hAnsi="Times New Roman" w:cs="Times New Roman"/>
          <w:sz w:val="24"/>
          <w:szCs w:val="24"/>
        </w:rPr>
        <w:t xml:space="preserve"> to be severely kurtotic, with the positive kurtosis values ranging from .009 to 2.143 and the negative kurtosis values ranging from -.048 to -1.191. Overall, the univariate skewness and kurtosis values did not indicate any major issues with univariate non-normality on the thirty-one OEHE variables</w:t>
      </w:r>
      <w:r w:rsidR="000C7D57" w:rsidRPr="0032506F">
        <w:rPr>
          <w:rFonts w:ascii="Times New Roman" w:hAnsi="Times New Roman" w:cs="Times New Roman"/>
          <w:sz w:val="24"/>
          <w:szCs w:val="24"/>
        </w:rPr>
        <w:t>. T</w:t>
      </w:r>
      <w:r w:rsidRPr="0032506F">
        <w:rPr>
          <w:rFonts w:ascii="Times New Roman" w:hAnsi="Times New Roman" w:cs="Times New Roman"/>
          <w:sz w:val="24"/>
          <w:szCs w:val="24"/>
        </w:rPr>
        <w:t xml:space="preserve">he index of multivariate kurtosis </w:t>
      </w:r>
      <w:r w:rsidR="000C7D57" w:rsidRPr="0032506F">
        <w:rPr>
          <w:rFonts w:ascii="Times New Roman" w:hAnsi="Times New Roman" w:cs="Times New Roman"/>
          <w:sz w:val="24"/>
          <w:szCs w:val="24"/>
        </w:rPr>
        <w:t xml:space="preserve">was found </w:t>
      </w:r>
      <w:r w:rsidRPr="0032506F">
        <w:rPr>
          <w:rFonts w:ascii="Times New Roman" w:hAnsi="Times New Roman" w:cs="Times New Roman"/>
          <w:sz w:val="24"/>
          <w:szCs w:val="24"/>
        </w:rPr>
        <w:t>to be 144.009, which clearly indicated departure from multivariate normality. The critical ratio was z=25.018, which also indicated that the multivariate kurtosis significantly departed from multivariate normal distribution</w:t>
      </w:r>
      <w:r w:rsidR="000C7D57" w:rsidRPr="0032506F">
        <w:rPr>
          <w:rFonts w:ascii="Times New Roman" w:hAnsi="Times New Roman" w:cs="Times New Roman"/>
          <w:sz w:val="24"/>
          <w:szCs w:val="24"/>
        </w:rPr>
        <w:t xml:space="preserve">. </w:t>
      </w:r>
    </w:p>
    <w:p w14:paraId="63EFEA89" w14:textId="5CC2A832" w:rsidR="007E1C2B" w:rsidRPr="0032506F" w:rsidRDefault="007E1C2B" w:rsidP="00344EC5">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In terms of the detection of multivariate outliers, the squared Mahalanobis distance (</w:t>
      </w:r>
      <w:bookmarkStart w:id="95" w:name="_Hlk90645263"/>
      <w:r w:rsidRPr="0032506F">
        <w:rPr>
          <w:rFonts w:ascii="Times New Roman" w:hAnsi="Times New Roman" w:cs="Times New Roman"/>
          <w:sz w:val="24"/>
          <w:szCs w:val="24"/>
        </w:rPr>
        <w:t>D</w:t>
      </w:r>
      <w:r w:rsidRPr="0032506F">
        <w:rPr>
          <w:rFonts w:ascii="Times New Roman" w:hAnsi="Times New Roman" w:cs="Times New Roman"/>
          <w:sz w:val="24"/>
          <w:szCs w:val="24"/>
          <w:vertAlign w:val="superscript"/>
        </w:rPr>
        <w:t>2</w:t>
      </w:r>
      <w:bookmarkEnd w:id="95"/>
      <w:r w:rsidRPr="0032506F">
        <w:rPr>
          <w:rFonts w:ascii="Times New Roman" w:hAnsi="Times New Roman" w:cs="Times New Roman"/>
          <w:sz w:val="24"/>
          <w:szCs w:val="24"/>
        </w:rPr>
        <w:t xml:space="preserve">) indices </w:t>
      </w:r>
      <w:r w:rsidR="000C7D57" w:rsidRPr="0032506F">
        <w:rPr>
          <w:rFonts w:ascii="Times New Roman" w:hAnsi="Times New Roman" w:cs="Times New Roman"/>
          <w:sz w:val="24"/>
          <w:szCs w:val="24"/>
        </w:rPr>
        <w:t xml:space="preserve">were inspected </w:t>
      </w:r>
      <w:r w:rsidRPr="0032506F">
        <w:rPr>
          <w:rFonts w:ascii="Times New Roman" w:hAnsi="Times New Roman" w:cs="Times New Roman"/>
          <w:sz w:val="24"/>
          <w:szCs w:val="24"/>
        </w:rPr>
        <w:t xml:space="preserve">for the cases in the AMOS output. Using a conservative significance criterion of </w:t>
      </w:r>
      <w:r w:rsidRPr="0032506F">
        <w:rPr>
          <w:rFonts w:ascii="Times New Roman" w:hAnsi="Times New Roman" w:cs="Times New Roman"/>
          <w:i/>
          <w:sz w:val="24"/>
          <w:szCs w:val="24"/>
        </w:rPr>
        <w:t>p=</w:t>
      </w:r>
      <w:r w:rsidRPr="0032506F">
        <w:rPr>
          <w:rFonts w:ascii="Times New Roman" w:hAnsi="Times New Roman" w:cs="Times New Roman"/>
          <w:sz w:val="24"/>
          <w:szCs w:val="24"/>
        </w:rPr>
        <w:t>.001 for detecting potential multivariate outliers (Kline, 2016; Tabachnick &amp; Fidell, 2013) and checking the p1 column in the Amos output, serious multivariate outliers</w:t>
      </w:r>
      <w:r w:rsidR="000C7D57" w:rsidRPr="0032506F">
        <w:rPr>
          <w:rFonts w:ascii="Times New Roman" w:hAnsi="Times New Roman" w:cs="Times New Roman"/>
          <w:sz w:val="24"/>
          <w:szCs w:val="24"/>
        </w:rPr>
        <w:t xml:space="preserve"> were screened</w:t>
      </w:r>
      <w:r w:rsidRPr="0032506F">
        <w:rPr>
          <w:rFonts w:ascii="Times New Roman" w:hAnsi="Times New Roman" w:cs="Times New Roman"/>
          <w:sz w:val="24"/>
          <w:szCs w:val="24"/>
        </w:rPr>
        <w:t xml:space="preserve"> in the dataset (Byrne, 2010; Kline, 2016; Pituch &amp; Stevens 2016; Tabachnick &amp; Fidell 2013). Accordingly, </w:t>
      </w:r>
      <w:r w:rsidR="000C7D57" w:rsidRPr="0032506F">
        <w:rPr>
          <w:rFonts w:ascii="Times New Roman" w:hAnsi="Times New Roman" w:cs="Times New Roman"/>
          <w:sz w:val="24"/>
          <w:szCs w:val="24"/>
        </w:rPr>
        <w:t xml:space="preserve">a total of </w:t>
      </w:r>
      <w:r w:rsidRPr="0032506F">
        <w:rPr>
          <w:rFonts w:ascii="Times New Roman" w:hAnsi="Times New Roman" w:cs="Times New Roman"/>
          <w:sz w:val="24"/>
          <w:szCs w:val="24"/>
        </w:rPr>
        <w:t>12 potential multivariate outliers</w:t>
      </w:r>
      <w:r w:rsidR="000C7D57" w:rsidRPr="0032506F">
        <w:rPr>
          <w:rFonts w:ascii="Times New Roman" w:hAnsi="Times New Roman" w:cs="Times New Roman"/>
          <w:sz w:val="24"/>
          <w:szCs w:val="24"/>
        </w:rPr>
        <w:t xml:space="preserve"> was removed</w:t>
      </w:r>
      <w:r w:rsidRPr="0032506F">
        <w:rPr>
          <w:rFonts w:ascii="Times New Roman" w:hAnsi="Times New Roman" w:cs="Times New Roman"/>
          <w:sz w:val="24"/>
          <w:szCs w:val="24"/>
        </w:rPr>
        <w:t xml:space="preserve">, resulting in the final CFA dataset of 235 cases. </w:t>
      </w:r>
      <w:r w:rsidR="000C7D57" w:rsidRPr="0032506F">
        <w:rPr>
          <w:rFonts w:ascii="Times New Roman" w:hAnsi="Times New Roman" w:cs="Times New Roman"/>
          <w:sz w:val="24"/>
          <w:szCs w:val="24"/>
        </w:rPr>
        <w:t>T</w:t>
      </w:r>
      <w:r w:rsidRPr="0032506F">
        <w:rPr>
          <w:rFonts w:ascii="Times New Roman" w:hAnsi="Times New Roman" w:cs="Times New Roman"/>
          <w:sz w:val="24"/>
          <w:szCs w:val="24"/>
        </w:rPr>
        <w:t>he multivariate kurtosis dropped from 144.009 to 98.299 and the critical ratio value dropped from 25.018 to 16.657, indicating a reasonable departure from multivariate normality given that maximum likelihood estimation is known to be quite robust against the violation of the normality assumption (Schermelleh-Engel et al., 2003) and that</w:t>
      </w:r>
      <w:r w:rsidRPr="0032506F">
        <w:rPr>
          <w:rFonts w:ascii="Times New Roman" w:hAnsi="Times New Roman"/>
          <w:color w:val="000000" w:themeColor="text1"/>
          <w:sz w:val="24"/>
          <w:szCs w:val="24"/>
        </w:rPr>
        <w:t xml:space="preserve"> </w:t>
      </w:r>
      <w:r w:rsidRPr="0032506F">
        <w:rPr>
          <w:rFonts w:ascii="Times New Roman" w:hAnsi="Times New Roman" w:cs="Times New Roman"/>
          <w:sz w:val="24"/>
          <w:szCs w:val="24"/>
        </w:rPr>
        <w:t xml:space="preserve">the </w:t>
      </w:r>
      <w:r w:rsidRPr="0032506F">
        <w:rPr>
          <w:rFonts w:ascii="Times New Roman" w:hAnsi="Times New Roman" w:cs="Times New Roman"/>
          <w:sz w:val="24"/>
          <w:szCs w:val="24"/>
        </w:rPr>
        <w:lastRenderedPageBreak/>
        <w:t xml:space="preserve">ML estimation method may still perform well when the data mildly depart from multivariate normality (Jackson et al., 2009). </w:t>
      </w:r>
      <w:r w:rsidR="000C7D57" w:rsidRPr="0032506F">
        <w:rPr>
          <w:rFonts w:ascii="Times New Roman" w:hAnsi="Times New Roman" w:cs="Times New Roman"/>
          <w:sz w:val="24"/>
          <w:szCs w:val="24"/>
        </w:rPr>
        <w:t xml:space="preserve">To address multivariate nonnormality, </w:t>
      </w:r>
      <w:r w:rsidRPr="0032506F">
        <w:rPr>
          <w:rFonts w:ascii="Times New Roman" w:hAnsi="Times New Roman" w:cs="Times New Roman"/>
          <w:sz w:val="24"/>
          <w:szCs w:val="24"/>
        </w:rPr>
        <w:t xml:space="preserve">bootstrapping procedure </w:t>
      </w:r>
      <w:r w:rsidR="000C7D57" w:rsidRPr="0032506F">
        <w:rPr>
          <w:rFonts w:ascii="Times New Roman" w:hAnsi="Times New Roman" w:cs="Times New Roman"/>
          <w:sz w:val="24"/>
          <w:szCs w:val="24"/>
        </w:rPr>
        <w:t xml:space="preserve">was used to </w:t>
      </w:r>
      <w:r w:rsidRPr="0032506F">
        <w:rPr>
          <w:rFonts w:ascii="Times New Roman" w:hAnsi="Times New Roman" w:cs="Times New Roman"/>
          <w:sz w:val="24"/>
          <w:szCs w:val="24"/>
        </w:rPr>
        <w:t>obtai</w:t>
      </w:r>
      <w:r w:rsidR="000C7D57" w:rsidRPr="0032506F">
        <w:rPr>
          <w:rFonts w:ascii="Times New Roman" w:hAnsi="Times New Roman" w:cs="Times New Roman"/>
          <w:sz w:val="24"/>
          <w:szCs w:val="24"/>
        </w:rPr>
        <w:t>n</w:t>
      </w:r>
      <w:r w:rsidRPr="0032506F">
        <w:rPr>
          <w:rFonts w:ascii="Times New Roman" w:hAnsi="Times New Roman" w:cs="Times New Roman"/>
          <w:sz w:val="24"/>
          <w:szCs w:val="24"/>
        </w:rPr>
        <w:t xml:space="preserve"> bias-corrected confidence intervals around the estimates. </w:t>
      </w:r>
      <w:bookmarkStart w:id="96" w:name="_Hlk92203616"/>
      <w:r w:rsidRPr="0032506F">
        <w:rPr>
          <w:rFonts w:ascii="Times New Roman" w:hAnsi="Times New Roman" w:cs="Times New Roman"/>
          <w:sz w:val="24"/>
          <w:szCs w:val="24"/>
        </w:rPr>
        <w:t>As it is given as the most reasonable procedure to use in the face of multivariate nonnormal data while using the Amos program (Byrne, 2010, 2016), the Bootstrap ML and Bollen-Stine bootstrap procedures</w:t>
      </w:r>
      <w:r w:rsidR="003A4EA6" w:rsidRPr="0032506F">
        <w:rPr>
          <w:rFonts w:ascii="Times New Roman" w:hAnsi="Times New Roman" w:cs="Times New Roman"/>
          <w:sz w:val="24"/>
          <w:szCs w:val="24"/>
        </w:rPr>
        <w:t xml:space="preserve"> were requested</w:t>
      </w:r>
      <w:r w:rsidRPr="0032506F">
        <w:rPr>
          <w:rFonts w:ascii="Times New Roman" w:hAnsi="Times New Roman" w:cs="Times New Roman"/>
          <w:sz w:val="24"/>
          <w:szCs w:val="24"/>
        </w:rPr>
        <w:t>, asking the Amos program to perform bootstrapping based on 2000 samples with bias-corrected 95 % confidence intervals. After performing bootstrapping, minimum was achieved with the chi-square value of 1236.138 and 431 degrees of freedom with the probability level of .000. When the Bollen-Stine bootstrap output</w:t>
      </w:r>
      <w:r w:rsidR="003A4EA6" w:rsidRPr="0032506F">
        <w:rPr>
          <w:rFonts w:ascii="Times New Roman" w:hAnsi="Times New Roman" w:cs="Times New Roman"/>
          <w:sz w:val="24"/>
          <w:szCs w:val="24"/>
        </w:rPr>
        <w:t xml:space="preserve"> was examined</w:t>
      </w:r>
      <w:r w:rsidRPr="0032506F">
        <w:rPr>
          <w:rFonts w:ascii="Times New Roman" w:hAnsi="Times New Roman" w:cs="Times New Roman"/>
          <w:sz w:val="24"/>
          <w:szCs w:val="24"/>
        </w:rPr>
        <w:t>, the model fit better in 2000 bootstrap samples than it did in the original sample. Testing the null hypothesis that the model is correct, the bootstrap result</w:t>
      </w:r>
      <w:r w:rsidR="003A4EA6" w:rsidRPr="0032506F">
        <w:rPr>
          <w:rFonts w:ascii="Times New Roman" w:hAnsi="Times New Roman" w:cs="Times New Roman"/>
          <w:sz w:val="24"/>
          <w:szCs w:val="24"/>
        </w:rPr>
        <w:t xml:space="preserve">s </w:t>
      </w:r>
      <w:r w:rsidRPr="0032506F">
        <w:rPr>
          <w:rFonts w:ascii="Times New Roman" w:hAnsi="Times New Roman" w:cs="Times New Roman"/>
          <w:sz w:val="24"/>
          <w:szCs w:val="24"/>
        </w:rPr>
        <w:t>indicat</w:t>
      </w:r>
      <w:r w:rsidR="003A4EA6" w:rsidRPr="0032506F">
        <w:rPr>
          <w:rFonts w:ascii="Times New Roman" w:hAnsi="Times New Roman" w:cs="Times New Roman"/>
          <w:sz w:val="24"/>
          <w:szCs w:val="24"/>
        </w:rPr>
        <w:t>ed</w:t>
      </w:r>
      <w:r w:rsidRPr="0032506F">
        <w:rPr>
          <w:rFonts w:ascii="Times New Roman" w:hAnsi="Times New Roman" w:cs="Times New Roman"/>
          <w:sz w:val="24"/>
          <w:szCs w:val="24"/>
        </w:rPr>
        <w:t xml:space="preserve"> a poor fit to the data. In addition, the global model fit indices also indicated a poor fit of the initial hypothesized model to the data (e.g., </w:t>
      </w:r>
      <w:r w:rsidR="003A4EA6" w:rsidRPr="0032506F">
        <w:rPr>
          <w:rFonts w:ascii="Times New Roman" w:hAnsi="Times New Roman" w:cs="Times New Roman"/>
          <w:sz w:val="24"/>
          <w:szCs w:val="24"/>
        </w:rPr>
        <w:t>GFI=.723, , CFI=.803, TLI=.788, RMSEA=.089</w:t>
      </w:r>
      <w:r w:rsidRPr="0032506F">
        <w:rPr>
          <w:rFonts w:ascii="Times New Roman" w:hAnsi="Times New Roman" w:cs="Times New Roman"/>
          <w:sz w:val="24"/>
          <w:szCs w:val="24"/>
        </w:rPr>
        <w:t xml:space="preserve">). </w:t>
      </w:r>
      <w:r w:rsidR="00344EC5" w:rsidRPr="0032506F">
        <w:rPr>
          <w:rFonts w:ascii="Times New Roman" w:hAnsi="Times New Roman" w:cs="Times New Roman"/>
          <w:sz w:val="24"/>
          <w:szCs w:val="24"/>
        </w:rPr>
        <w:t xml:space="preserve">It was concluded that the initial model with 31 items was far from indicating at least an acceptable fitting model. </w:t>
      </w:r>
      <w:bookmarkStart w:id="97" w:name="_Hlk92203864"/>
      <w:bookmarkEnd w:id="96"/>
      <w:r w:rsidR="00344EC5" w:rsidRPr="0032506F">
        <w:rPr>
          <w:rFonts w:ascii="Times New Roman" w:hAnsi="Times New Roman" w:cs="Times New Roman"/>
          <w:sz w:val="24"/>
          <w:szCs w:val="24"/>
        </w:rPr>
        <w:t>A</w:t>
      </w:r>
      <w:r w:rsidRPr="0032506F">
        <w:rPr>
          <w:rFonts w:ascii="Times New Roman" w:hAnsi="Times New Roman" w:cs="Times New Roman"/>
          <w:sz w:val="24"/>
          <w:szCs w:val="24"/>
        </w:rPr>
        <w:t xml:space="preserve">ll the </w:t>
      </w:r>
      <w:r w:rsidR="00344EC5" w:rsidRPr="0032506F">
        <w:rPr>
          <w:rFonts w:ascii="Times New Roman" w:hAnsi="Times New Roman" w:cs="Times New Roman"/>
          <w:sz w:val="24"/>
          <w:szCs w:val="24"/>
        </w:rPr>
        <w:t xml:space="preserve">factor loadings were </w:t>
      </w:r>
      <w:r w:rsidRPr="0032506F">
        <w:rPr>
          <w:rFonts w:ascii="Times New Roman" w:hAnsi="Times New Roman" w:cs="Times New Roman"/>
          <w:sz w:val="24"/>
          <w:szCs w:val="24"/>
        </w:rPr>
        <w:t xml:space="preserve">statistically significant. </w:t>
      </w:r>
      <w:bookmarkEnd w:id="97"/>
      <w:r w:rsidRPr="0032506F">
        <w:rPr>
          <w:rFonts w:ascii="Times New Roman" w:hAnsi="Times New Roman" w:cs="Times New Roman"/>
          <w:sz w:val="24"/>
          <w:szCs w:val="24"/>
        </w:rPr>
        <w:t xml:space="preserve">However, in terms of the magnitude of the factor loadings, </w:t>
      </w:r>
      <w:r w:rsidR="00344EC5" w:rsidRPr="0032506F">
        <w:rPr>
          <w:rFonts w:ascii="Times New Roman" w:hAnsi="Times New Roman" w:cs="Times New Roman"/>
          <w:sz w:val="24"/>
          <w:szCs w:val="24"/>
        </w:rPr>
        <w:t xml:space="preserve">the </w:t>
      </w:r>
      <w:r w:rsidRPr="0032506F">
        <w:rPr>
          <w:rFonts w:ascii="Times New Roman" w:hAnsi="Times New Roman" w:cs="Times New Roman"/>
          <w:sz w:val="24"/>
          <w:szCs w:val="24"/>
        </w:rPr>
        <w:t>standardized regression weights</w:t>
      </w:r>
      <w:r w:rsidR="00344EC5" w:rsidRPr="0032506F">
        <w:rPr>
          <w:rFonts w:ascii="Times New Roman" w:hAnsi="Times New Roman" w:cs="Times New Roman"/>
          <w:sz w:val="24"/>
          <w:szCs w:val="24"/>
        </w:rPr>
        <w:t xml:space="preserve"> were examined</w:t>
      </w:r>
      <w:r w:rsidR="002454FA" w:rsidRPr="0032506F">
        <w:rPr>
          <w:rFonts w:ascii="Times New Roman" w:hAnsi="Times New Roman" w:cs="Times New Roman"/>
          <w:sz w:val="24"/>
          <w:szCs w:val="24"/>
        </w:rPr>
        <w:t>,</w:t>
      </w:r>
      <w:r w:rsidRPr="0032506F">
        <w:rPr>
          <w:rFonts w:ascii="Times New Roman" w:hAnsi="Times New Roman" w:cs="Times New Roman"/>
          <w:sz w:val="24"/>
          <w:szCs w:val="24"/>
        </w:rPr>
        <w:t xml:space="preserve"> and </w:t>
      </w:r>
      <w:r w:rsidR="002454FA" w:rsidRPr="0032506F">
        <w:rPr>
          <w:rFonts w:ascii="Times New Roman" w:hAnsi="Times New Roman" w:cs="Times New Roman"/>
          <w:sz w:val="24"/>
          <w:szCs w:val="24"/>
        </w:rPr>
        <w:t xml:space="preserve">accordingly </w:t>
      </w:r>
      <w:r w:rsidR="00344EC5" w:rsidRPr="0032506F">
        <w:rPr>
          <w:rFonts w:ascii="Times New Roman" w:hAnsi="Times New Roman" w:cs="Times New Roman"/>
          <w:sz w:val="24"/>
          <w:szCs w:val="24"/>
        </w:rPr>
        <w:t>five online behavioral engagement (OBE) items were removed</w:t>
      </w:r>
      <w:r w:rsidRPr="0032506F">
        <w:rPr>
          <w:rFonts w:ascii="Times New Roman" w:hAnsi="Times New Roman" w:cs="Times New Roman"/>
          <w:sz w:val="24"/>
          <w:szCs w:val="24"/>
        </w:rPr>
        <w:t xml:space="preserve"> </w:t>
      </w:r>
      <w:r w:rsidR="00344EC5" w:rsidRPr="0032506F">
        <w:rPr>
          <w:rFonts w:ascii="Times New Roman" w:hAnsi="Times New Roman" w:cs="Times New Roman"/>
          <w:sz w:val="24"/>
          <w:szCs w:val="24"/>
        </w:rPr>
        <w:t xml:space="preserve">due to their </w:t>
      </w:r>
      <w:r w:rsidRPr="0032506F">
        <w:rPr>
          <w:rFonts w:ascii="Times New Roman" w:hAnsi="Times New Roman" w:cs="Times New Roman"/>
          <w:sz w:val="24"/>
          <w:szCs w:val="24"/>
        </w:rPr>
        <w:t>relatively weaker factor loadings on the OBE Factor</w:t>
      </w:r>
      <w:r w:rsidR="002454FA" w:rsidRPr="0032506F">
        <w:rPr>
          <w:rFonts w:ascii="Times New Roman" w:hAnsi="Times New Roman" w:cs="Times New Roman"/>
          <w:sz w:val="24"/>
          <w:szCs w:val="24"/>
        </w:rPr>
        <w:t xml:space="preserve"> (</w:t>
      </w:r>
      <w:r w:rsidRPr="0032506F">
        <w:rPr>
          <w:rFonts w:ascii="Times New Roman" w:hAnsi="Times New Roman" w:cs="Times New Roman"/>
          <w:sz w:val="24"/>
          <w:szCs w:val="24"/>
        </w:rPr>
        <w:t>below .50</w:t>
      </w:r>
      <w:r w:rsidR="002454FA" w:rsidRPr="0032506F">
        <w:rPr>
          <w:rFonts w:ascii="Times New Roman" w:hAnsi="Times New Roman" w:cs="Times New Roman"/>
          <w:sz w:val="24"/>
          <w:szCs w:val="24"/>
        </w:rPr>
        <w:t>)</w:t>
      </w:r>
      <w:r w:rsidRPr="0032506F">
        <w:rPr>
          <w:rFonts w:ascii="Times New Roman" w:hAnsi="Times New Roman" w:cs="Times New Roman"/>
          <w:sz w:val="24"/>
          <w:szCs w:val="24"/>
        </w:rPr>
        <w:t xml:space="preserve"> damaging the convergent validity of the OBE factor (Caskurlu, 2018). After the removal of the </w:t>
      </w:r>
      <w:r w:rsidR="00884199" w:rsidRPr="0032506F">
        <w:rPr>
          <w:rFonts w:ascii="Times New Roman" w:hAnsi="Times New Roman" w:cs="Times New Roman"/>
          <w:sz w:val="24"/>
          <w:szCs w:val="24"/>
        </w:rPr>
        <w:t>five</w:t>
      </w:r>
      <w:r w:rsidRPr="0032506F">
        <w:rPr>
          <w:rFonts w:ascii="Times New Roman" w:hAnsi="Times New Roman" w:cs="Times New Roman"/>
          <w:sz w:val="24"/>
          <w:szCs w:val="24"/>
        </w:rPr>
        <w:t xml:space="preserve"> OBE items</w:t>
      </w:r>
      <w:r w:rsidR="00884199" w:rsidRPr="0032506F">
        <w:rPr>
          <w:rFonts w:ascii="Times New Roman" w:hAnsi="Times New Roman" w:cs="Times New Roman"/>
          <w:sz w:val="24"/>
          <w:szCs w:val="24"/>
        </w:rPr>
        <w:t xml:space="preserve"> (OBE8, OBE15, OBE5, OBE10, OBE20)</w:t>
      </w:r>
      <w:r w:rsidRPr="0032506F">
        <w:rPr>
          <w:rFonts w:ascii="Times New Roman" w:hAnsi="Times New Roman" w:cs="Times New Roman"/>
          <w:sz w:val="24"/>
          <w:szCs w:val="24"/>
        </w:rPr>
        <w:t xml:space="preserve">, all the items in the model had a standardized factor loading greater than .50, indicating strong factor loading and high convergent validity of each factor (Caskurlu, 2018). </w:t>
      </w:r>
      <w:hyperlink w:anchor="Table41" w:history="1">
        <w:r w:rsidRPr="00346C84">
          <w:rPr>
            <w:rStyle w:val="Hyperlink"/>
            <w:rFonts w:ascii="Times New Roman" w:hAnsi="Times New Roman" w:cs="Times New Roman"/>
            <w:sz w:val="24"/>
            <w:szCs w:val="24"/>
          </w:rPr>
          <w:t>Table 4.</w:t>
        </w:r>
        <w:r w:rsidR="00346C84" w:rsidRPr="00346C84">
          <w:rPr>
            <w:rStyle w:val="Hyperlink"/>
            <w:rFonts w:ascii="Times New Roman" w:hAnsi="Times New Roman" w:cs="Times New Roman"/>
            <w:sz w:val="24"/>
            <w:szCs w:val="24"/>
          </w:rPr>
          <w:t>1</w:t>
        </w:r>
      </w:hyperlink>
      <w:r w:rsidRPr="0032506F">
        <w:rPr>
          <w:rFonts w:ascii="Times New Roman" w:hAnsi="Times New Roman" w:cs="Times New Roman"/>
          <w:sz w:val="24"/>
          <w:szCs w:val="24"/>
        </w:rPr>
        <w:t xml:space="preserve"> presents the normal-theory ML unstandardized factor loadings, standard errors, critical ratios, statistical significance, and standardized factor loadings of the 26 indicator variables</w:t>
      </w:r>
      <w:r w:rsidR="00884199" w:rsidRPr="0032506F">
        <w:rPr>
          <w:rFonts w:ascii="Times New Roman" w:hAnsi="Times New Roman" w:cs="Times New Roman"/>
          <w:sz w:val="24"/>
          <w:szCs w:val="24"/>
        </w:rPr>
        <w:t xml:space="preserve"> in the second model</w:t>
      </w:r>
      <w:r w:rsidR="00F00658" w:rsidRPr="0032506F">
        <w:rPr>
          <w:rFonts w:ascii="Times New Roman" w:hAnsi="Times New Roman" w:cs="Times New Roman"/>
          <w:sz w:val="24"/>
          <w:szCs w:val="24"/>
        </w:rPr>
        <w:t xml:space="preserve">, Model 2 (see </w:t>
      </w:r>
      <w:hyperlink w:anchor="_Appendix_M_Model" w:history="1">
        <w:r w:rsidR="00F00658" w:rsidRPr="0032506F">
          <w:rPr>
            <w:rStyle w:val="Hyperlink"/>
            <w:rFonts w:ascii="Times New Roman" w:hAnsi="Times New Roman" w:cs="Times New Roman"/>
            <w:sz w:val="24"/>
            <w:szCs w:val="24"/>
          </w:rPr>
          <w:t xml:space="preserve">Appendix </w:t>
        </w:r>
        <w:r w:rsidR="00E02E56">
          <w:rPr>
            <w:rStyle w:val="Hyperlink"/>
            <w:rFonts w:ascii="Times New Roman" w:hAnsi="Times New Roman" w:cs="Times New Roman"/>
            <w:sz w:val="24"/>
            <w:szCs w:val="24"/>
          </w:rPr>
          <w:t>M</w:t>
        </w:r>
      </w:hyperlink>
      <w:r w:rsidR="00F00658" w:rsidRPr="0032506F">
        <w:rPr>
          <w:rFonts w:ascii="Times New Roman" w:hAnsi="Times New Roman" w:cs="Times New Roman"/>
          <w:sz w:val="24"/>
          <w:szCs w:val="24"/>
        </w:rPr>
        <w:t xml:space="preserve">) </w:t>
      </w:r>
      <w:r w:rsidRPr="0032506F">
        <w:rPr>
          <w:rFonts w:ascii="Times New Roman" w:hAnsi="Times New Roman" w:cs="Times New Roman"/>
          <w:sz w:val="24"/>
          <w:szCs w:val="24"/>
        </w:rPr>
        <w:t xml:space="preserve">. </w:t>
      </w:r>
      <w:bookmarkStart w:id="98" w:name="_Hlk92207473"/>
      <w:r w:rsidRPr="0032506F">
        <w:rPr>
          <w:rFonts w:ascii="Times New Roman" w:hAnsi="Times New Roman" w:cs="Times New Roman"/>
          <w:sz w:val="24"/>
          <w:szCs w:val="24"/>
        </w:rPr>
        <w:fldChar w:fldCharType="begin"/>
      </w:r>
      <w:r w:rsidR="00346C84">
        <w:rPr>
          <w:rFonts w:ascii="Times New Roman" w:hAnsi="Times New Roman" w:cs="Times New Roman"/>
          <w:sz w:val="24"/>
          <w:szCs w:val="24"/>
        </w:rPr>
        <w:instrText>HYPERLINK  \l "Table42"</w:instrText>
      </w:r>
      <w:r w:rsidRPr="0032506F">
        <w:rPr>
          <w:rFonts w:ascii="Times New Roman" w:hAnsi="Times New Roman" w:cs="Times New Roman"/>
          <w:sz w:val="24"/>
          <w:szCs w:val="24"/>
        </w:rPr>
        <w:fldChar w:fldCharType="separate"/>
      </w:r>
      <w:r w:rsidRPr="0032506F">
        <w:rPr>
          <w:rFonts w:ascii="Times New Roman" w:hAnsi="Times New Roman" w:cs="Times New Roman"/>
          <w:color w:val="0563C1" w:themeColor="hyperlink"/>
          <w:sz w:val="24"/>
          <w:szCs w:val="24"/>
          <w:u w:val="single"/>
        </w:rPr>
        <w:t>Table 4.</w:t>
      </w:r>
      <w:r w:rsidR="00346C84">
        <w:rPr>
          <w:rFonts w:ascii="Times New Roman" w:hAnsi="Times New Roman" w:cs="Times New Roman"/>
          <w:color w:val="0563C1" w:themeColor="hyperlink"/>
          <w:sz w:val="24"/>
          <w:szCs w:val="24"/>
          <w:u w:val="single"/>
        </w:rPr>
        <w:t>2</w:t>
      </w:r>
      <w:r w:rsidRPr="0032506F">
        <w:rPr>
          <w:rFonts w:ascii="Times New Roman" w:hAnsi="Times New Roman" w:cs="Times New Roman"/>
          <w:sz w:val="24"/>
          <w:szCs w:val="24"/>
        </w:rPr>
        <w:fldChar w:fldCharType="end"/>
      </w:r>
      <w:r w:rsidRPr="0032506F">
        <w:rPr>
          <w:rFonts w:ascii="Times New Roman" w:hAnsi="Times New Roman" w:cs="Times New Roman"/>
          <w:sz w:val="24"/>
          <w:szCs w:val="24"/>
        </w:rPr>
        <w:t xml:space="preserve"> presents the unstandardized factor loadings with bias-corrected 95% confidence intervals and </w:t>
      </w:r>
      <w:hyperlink w:anchor="Table43" w:history="1">
        <w:r w:rsidRPr="0032506F">
          <w:rPr>
            <w:rFonts w:ascii="Times New Roman" w:hAnsi="Times New Roman" w:cs="Times New Roman"/>
            <w:color w:val="0563C1" w:themeColor="hyperlink"/>
            <w:sz w:val="24"/>
            <w:szCs w:val="24"/>
            <w:u w:val="single"/>
          </w:rPr>
          <w:t>Table 4.</w:t>
        </w:r>
        <w:r w:rsidR="00346C84">
          <w:rPr>
            <w:rFonts w:ascii="Times New Roman" w:hAnsi="Times New Roman" w:cs="Times New Roman"/>
            <w:color w:val="0563C1" w:themeColor="hyperlink"/>
            <w:sz w:val="24"/>
            <w:szCs w:val="24"/>
            <w:u w:val="single"/>
          </w:rPr>
          <w:t>3</w:t>
        </w:r>
      </w:hyperlink>
      <w:r w:rsidRPr="0032506F">
        <w:rPr>
          <w:rFonts w:ascii="Times New Roman" w:hAnsi="Times New Roman" w:cs="Times New Roman"/>
          <w:sz w:val="24"/>
          <w:szCs w:val="24"/>
        </w:rPr>
        <w:t xml:space="preserve"> presents the standardized factor loadings with bias-corrected 95% confidence intervals. </w:t>
      </w:r>
      <w:bookmarkEnd w:id="98"/>
      <w:r w:rsidR="00884199" w:rsidRPr="0032506F">
        <w:rPr>
          <w:rFonts w:ascii="Times New Roman" w:hAnsi="Times New Roman" w:cs="Times New Roman"/>
          <w:sz w:val="24"/>
          <w:szCs w:val="24"/>
        </w:rPr>
        <w:t>A</w:t>
      </w:r>
      <w:r w:rsidRPr="0032506F">
        <w:rPr>
          <w:rFonts w:ascii="Times New Roman" w:hAnsi="Times New Roman" w:cs="Times New Roman"/>
          <w:sz w:val="24"/>
          <w:szCs w:val="24"/>
        </w:rPr>
        <w:t xml:space="preserve">ll the standardized factor loadings </w:t>
      </w:r>
      <w:r w:rsidR="00884199" w:rsidRPr="0032506F">
        <w:rPr>
          <w:rFonts w:ascii="Times New Roman" w:hAnsi="Times New Roman" w:cs="Times New Roman"/>
          <w:sz w:val="24"/>
          <w:szCs w:val="24"/>
        </w:rPr>
        <w:t xml:space="preserve">were </w:t>
      </w:r>
      <w:r w:rsidRPr="0032506F">
        <w:rPr>
          <w:rFonts w:ascii="Times New Roman" w:hAnsi="Times New Roman" w:cs="Times New Roman"/>
          <w:sz w:val="24"/>
          <w:szCs w:val="24"/>
        </w:rPr>
        <w:t>strong (&gt;.50) and statistically significant (</w:t>
      </w:r>
      <w:r w:rsidRPr="0032506F">
        <w:rPr>
          <w:rFonts w:ascii="Times New Roman" w:hAnsi="Times New Roman" w:cs="Times New Roman"/>
          <w:i/>
          <w:sz w:val="24"/>
          <w:szCs w:val="24"/>
        </w:rPr>
        <w:t>p &lt;</w:t>
      </w:r>
      <w:r w:rsidRPr="0032506F">
        <w:rPr>
          <w:rFonts w:ascii="Times New Roman" w:hAnsi="Times New Roman" w:cs="Times New Roman"/>
          <w:sz w:val="24"/>
          <w:szCs w:val="24"/>
        </w:rPr>
        <w:t xml:space="preserve"> .01), thereby indicating a reasonably good local model fit. However, the global model fit indices were still far from indicating </w:t>
      </w:r>
      <w:r w:rsidR="00884199" w:rsidRPr="0032506F">
        <w:rPr>
          <w:rFonts w:ascii="Times New Roman" w:hAnsi="Times New Roman" w:cs="Times New Roman"/>
          <w:sz w:val="24"/>
          <w:szCs w:val="24"/>
        </w:rPr>
        <w:t xml:space="preserve">at least </w:t>
      </w:r>
      <w:r w:rsidRPr="0032506F">
        <w:rPr>
          <w:rFonts w:ascii="Times New Roman" w:hAnsi="Times New Roman" w:cs="Times New Roman"/>
          <w:sz w:val="24"/>
          <w:szCs w:val="24"/>
        </w:rPr>
        <w:t xml:space="preserve">an acceptable model fit (e.g., CMIN=918.990, DF=296, CMIN/DF=3.105, P=.000; CFI=.835, TLI=.818, IFI=.836; RMSEA=.095). </w:t>
      </w:r>
    </w:p>
    <w:p w14:paraId="06057B11" w14:textId="676D8E39" w:rsidR="007E1C2B" w:rsidRPr="0032506F" w:rsidRDefault="007E1C2B" w:rsidP="007E1C2B">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t>There were positive and moderate to strong correlations among the three factors of online student engagement</w:t>
      </w:r>
      <w:r w:rsidR="00F00658" w:rsidRPr="0032506F">
        <w:rPr>
          <w:rFonts w:ascii="Times New Roman" w:hAnsi="Times New Roman" w:cs="Times New Roman"/>
          <w:sz w:val="24"/>
          <w:szCs w:val="24"/>
        </w:rPr>
        <w:t xml:space="preserve"> (see </w:t>
      </w:r>
      <w:hyperlink w:anchor="_Appendix_S_IRB-Approved" w:history="1">
        <w:r w:rsidR="00F00658" w:rsidRPr="0032506F">
          <w:rPr>
            <w:rStyle w:val="Hyperlink"/>
            <w:rFonts w:ascii="Times New Roman" w:hAnsi="Times New Roman" w:cs="Times New Roman"/>
            <w:sz w:val="24"/>
            <w:szCs w:val="24"/>
          </w:rPr>
          <w:t xml:space="preserve">Appendix </w:t>
        </w:r>
        <w:r w:rsidR="00E02E56">
          <w:rPr>
            <w:rStyle w:val="Hyperlink"/>
            <w:rFonts w:ascii="Times New Roman" w:hAnsi="Times New Roman" w:cs="Times New Roman"/>
            <w:sz w:val="24"/>
            <w:szCs w:val="24"/>
          </w:rPr>
          <w:t>M</w:t>
        </w:r>
      </w:hyperlink>
      <w:r w:rsidR="00F00658" w:rsidRPr="0032506F">
        <w:rPr>
          <w:rFonts w:ascii="Times New Roman" w:hAnsi="Times New Roman" w:cs="Times New Roman"/>
          <w:sz w:val="24"/>
          <w:szCs w:val="24"/>
        </w:rPr>
        <w:t>)</w:t>
      </w:r>
      <w:r w:rsidRPr="0032506F">
        <w:rPr>
          <w:rFonts w:ascii="Times New Roman" w:hAnsi="Times New Roman" w:cs="Times New Roman"/>
          <w:sz w:val="24"/>
          <w:szCs w:val="24"/>
        </w:rPr>
        <w:t>, as theoretically expected. The correlation between OBE Factor and OCE Factor was .406 (</w:t>
      </w:r>
      <w:r w:rsidRPr="0032506F">
        <w:rPr>
          <w:rFonts w:ascii="Times New Roman" w:hAnsi="Times New Roman" w:cs="Times New Roman"/>
          <w:i/>
          <w:sz w:val="24"/>
          <w:szCs w:val="24"/>
        </w:rPr>
        <w:t>p&lt;.</w:t>
      </w:r>
      <w:r w:rsidRPr="0032506F">
        <w:rPr>
          <w:rFonts w:ascii="Times New Roman" w:hAnsi="Times New Roman" w:cs="Times New Roman"/>
          <w:sz w:val="24"/>
          <w:szCs w:val="24"/>
        </w:rPr>
        <w:t>001), the correlation between OBE Factor and OEE Factor was .659 (</w:t>
      </w:r>
      <w:r w:rsidRPr="0032506F">
        <w:rPr>
          <w:rFonts w:ascii="Times New Roman" w:hAnsi="Times New Roman" w:cs="Times New Roman"/>
          <w:i/>
          <w:sz w:val="24"/>
          <w:szCs w:val="24"/>
        </w:rPr>
        <w:t>p&lt;.</w:t>
      </w:r>
      <w:r w:rsidRPr="0032506F">
        <w:rPr>
          <w:rFonts w:ascii="Times New Roman" w:hAnsi="Times New Roman" w:cs="Times New Roman"/>
          <w:sz w:val="24"/>
          <w:szCs w:val="24"/>
        </w:rPr>
        <w:t>001) and the correlation between OEE Factor and OCE Factor was .483 (</w:t>
      </w:r>
      <w:r w:rsidRPr="0032506F">
        <w:rPr>
          <w:rFonts w:ascii="Times New Roman" w:hAnsi="Times New Roman" w:cs="Times New Roman"/>
          <w:i/>
          <w:sz w:val="24"/>
          <w:szCs w:val="24"/>
        </w:rPr>
        <w:t>p=</w:t>
      </w:r>
      <w:r w:rsidRPr="0032506F">
        <w:rPr>
          <w:rFonts w:ascii="Times New Roman" w:hAnsi="Times New Roman" w:cs="Times New Roman"/>
          <w:sz w:val="24"/>
          <w:szCs w:val="24"/>
        </w:rPr>
        <w:t xml:space="preserve">.001). All these moderate to strong factor correlations between the three engagement dimensions were consistent with the student engagement theory (Fredricks et al., 2004, 2005) and prior research of online engagement (e.g., Kucuk &amp; Richardson, 2019; Park &amp; Yun, 2019; Sun &amp; Rueda, 2012).   </w:t>
      </w:r>
    </w:p>
    <w:p w14:paraId="776E1963" w14:textId="2F9CB7B9" w:rsidR="00222176" w:rsidRPr="0032506F" w:rsidRDefault="00222176" w:rsidP="00222176">
      <w:pPr>
        <w:spacing w:after="0" w:line="480" w:lineRule="auto"/>
        <w:rPr>
          <w:rFonts w:ascii="Times New Roman" w:hAnsi="Times New Roman"/>
          <w:color w:val="000000" w:themeColor="text1"/>
          <w:sz w:val="24"/>
          <w:szCs w:val="24"/>
        </w:rPr>
      </w:pPr>
      <w:bookmarkStart w:id="99" w:name="_Hlk92049376"/>
      <w:bookmarkStart w:id="100" w:name="_Hlk92204037"/>
      <w:r w:rsidRPr="0032506F">
        <w:rPr>
          <w:rFonts w:ascii="Times New Roman" w:eastAsiaTheme="majorEastAsia" w:hAnsi="Times New Roman" w:cs="Times New Roman"/>
          <w:b/>
          <w:bCs/>
          <w:i/>
          <w:iCs/>
          <w:sz w:val="24"/>
          <w:szCs w:val="24"/>
        </w:rPr>
        <w:tab/>
        <w:t>Post Hoc Model Modifications.</w:t>
      </w:r>
      <w:r w:rsidRPr="0032506F">
        <w:rPr>
          <w:rFonts w:ascii="Times New Roman" w:hAnsi="Times New Roman"/>
          <w:color w:val="000000" w:themeColor="text1"/>
          <w:sz w:val="24"/>
          <w:szCs w:val="24"/>
        </w:rPr>
        <w:t xml:space="preserve"> Due to the still inadequate global fit of the hypothesized model to the sample data, it was reasonable to move into an exploratory mode and try to modify the hypothesized model in a logical and meaningful manner (Byrne, 2016). It should be noted that CFA as a factor analysis technique is “not strictly confirmatory” (Kline, 2016, p. 197) because it is not uncommon for many initially hypothesized CFA models to not fit the data, which leads the CFA researcher to specify a revised model and tests the revised model again with the same data (Kline, 2016). </w:t>
      </w:r>
    </w:p>
    <w:p w14:paraId="1B4EE0DE" w14:textId="23D1C69A" w:rsidR="00222176" w:rsidRPr="0032506F" w:rsidRDefault="00222176" w:rsidP="007E1C2B">
      <w:pPr>
        <w:spacing w:after="0" w:line="480" w:lineRule="auto"/>
        <w:rPr>
          <w:rFonts w:ascii="Times New Roman" w:eastAsia="SimSun" w:hAnsi="Times New Roman" w:cs="Times New Roman"/>
          <w:b/>
          <w:bCs/>
          <w:sz w:val="24"/>
          <w:szCs w:val="24"/>
        </w:rPr>
        <w:sectPr w:rsidR="00222176" w:rsidRPr="0032506F" w:rsidSect="009C07A6">
          <w:pgSz w:w="12240" w:h="15840"/>
          <w:pgMar w:top="1440" w:right="1440" w:bottom="1440" w:left="1440" w:header="720" w:footer="720" w:gutter="0"/>
          <w:cols w:space="720"/>
          <w:docGrid w:linePitch="360"/>
        </w:sectPr>
      </w:pPr>
    </w:p>
    <w:p w14:paraId="3C156623" w14:textId="70B9A2A2" w:rsidR="007E1C2B" w:rsidRPr="0032506F" w:rsidRDefault="007E1C2B" w:rsidP="007E1C2B">
      <w:pPr>
        <w:spacing w:after="0" w:line="480" w:lineRule="auto"/>
        <w:rPr>
          <w:rFonts w:ascii="Times New Roman" w:eastAsia="SimSun" w:hAnsi="Times New Roman" w:cs="Times New Roman"/>
          <w:b/>
          <w:bCs/>
          <w:sz w:val="24"/>
          <w:szCs w:val="24"/>
        </w:rPr>
      </w:pPr>
      <w:bookmarkStart w:id="101" w:name="Table413"/>
      <w:bookmarkStart w:id="102" w:name="Table41"/>
      <w:r w:rsidRPr="0032506F">
        <w:rPr>
          <w:rFonts w:ascii="Times New Roman" w:eastAsia="SimSun" w:hAnsi="Times New Roman" w:cs="Times New Roman"/>
          <w:b/>
          <w:bCs/>
          <w:sz w:val="24"/>
          <w:szCs w:val="24"/>
        </w:rPr>
        <w:lastRenderedPageBreak/>
        <w:t>Table 4.1</w:t>
      </w:r>
    </w:p>
    <w:bookmarkEnd w:id="101"/>
    <w:bookmarkEnd w:id="102"/>
    <w:p w14:paraId="1BFC1D1E" w14:textId="0E2C5572"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ML Unstandardized and Standardized Factor Loadings of the 26 Indicator Variables (N=235)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1989"/>
        <w:gridCol w:w="1428"/>
        <w:gridCol w:w="1106"/>
        <w:gridCol w:w="1106"/>
        <w:gridCol w:w="1179"/>
        <w:gridCol w:w="1179"/>
      </w:tblGrid>
      <w:tr w:rsidR="007E1C2B" w:rsidRPr="0032506F" w14:paraId="63CBB933" w14:textId="77777777" w:rsidTr="00791EF5">
        <w:trPr>
          <w:trHeight w:val="300"/>
        </w:trPr>
        <w:tc>
          <w:tcPr>
            <w:tcW w:w="733" w:type="pct"/>
            <w:tcBorders>
              <w:top w:val="single" w:sz="4" w:space="0" w:color="auto"/>
              <w:left w:val="nil"/>
              <w:bottom w:val="single" w:sz="4" w:space="0" w:color="auto"/>
              <w:right w:val="nil"/>
            </w:tcBorders>
            <w:shd w:val="clear" w:color="auto" w:fill="auto"/>
            <w:vAlign w:val="center"/>
            <w:hideMark/>
          </w:tcPr>
          <w:p w14:paraId="31F5B78E"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062" w:type="pct"/>
            <w:tcBorders>
              <w:top w:val="single" w:sz="4" w:space="0" w:color="auto"/>
              <w:left w:val="nil"/>
              <w:bottom w:val="single" w:sz="4" w:space="0" w:color="auto"/>
              <w:right w:val="nil"/>
            </w:tcBorders>
            <w:shd w:val="clear" w:color="auto" w:fill="auto"/>
            <w:vAlign w:val="center"/>
            <w:hideMark/>
          </w:tcPr>
          <w:p w14:paraId="3A8F8A25"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763" w:type="pct"/>
            <w:tcBorders>
              <w:top w:val="single" w:sz="4" w:space="0" w:color="auto"/>
              <w:left w:val="nil"/>
              <w:bottom w:val="single" w:sz="4" w:space="0" w:color="auto"/>
              <w:right w:val="nil"/>
            </w:tcBorders>
            <w:shd w:val="clear" w:color="auto" w:fill="auto"/>
            <w:vAlign w:val="center"/>
            <w:hideMark/>
          </w:tcPr>
          <w:p w14:paraId="2FB372D4"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B</w:t>
            </w:r>
          </w:p>
        </w:tc>
        <w:tc>
          <w:tcPr>
            <w:tcW w:w="591" w:type="pct"/>
            <w:tcBorders>
              <w:top w:val="single" w:sz="4" w:space="0" w:color="auto"/>
              <w:left w:val="nil"/>
              <w:bottom w:val="single" w:sz="4" w:space="0" w:color="auto"/>
              <w:right w:val="nil"/>
            </w:tcBorders>
            <w:shd w:val="clear" w:color="auto" w:fill="auto"/>
            <w:vAlign w:val="center"/>
            <w:hideMark/>
          </w:tcPr>
          <w:p w14:paraId="1248EA23"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S.E.</w:t>
            </w:r>
          </w:p>
        </w:tc>
        <w:tc>
          <w:tcPr>
            <w:tcW w:w="591" w:type="pct"/>
            <w:tcBorders>
              <w:top w:val="single" w:sz="4" w:space="0" w:color="auto"/>
              <w:left w:val="nil"/>
              <w:bottom w:val="single" w:sz="4" w:space="0" w:color="auto"/>
              <w:right w:val="nil"/>
            </w:tcBorders>
            <w:shd w:val="clear" w:color="auto" w:fill="auto"/>
            <w:vAlign w:val="center"/>
            <w:hideMark/>
          </w:tcPr>
          <w:p w14:paraId="124B0042"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C.R.</w:t>
            </w:r>
          </w:p>
        </w:tc>
        <w:tc>
          <w:tcPr>
            <w:tcW w:w="630" w:type="pct"/>
            <w:tcBorders>
              <w:top w:val="single" w:sz="4" w:space="0" w:color="auto"/>
              <w:left w:val="nil"/>
              <w:bottom w:val="single" w:sz="4" w:space="0" w:color="auto"/>
              <w:right w:val="nil"/>
            </w:tcBorders>
            <w:shd w:val="clear" w:color="auto" w:fill="auto"/>
            <w:vAlign w:val="center"/>
            <w:hideMark/>
          </w:tcPr>
          <w:p w14:paraId="625598A6"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sz w:val="24"/>
                <w:szCs w:val="24"/>
                <w:lang w:eastAsia="tr-TR"/>
              </w:rPr>
              <w:t xml:space="preserve">    </w:t>
            </w:r>
            <w:r w:rsidRPr="0032506F">
              <w:rPr>
                <w:rFonts w:ascii="Times New Roman" w:eastAsia="Times New Roman" w:hAnsi="Times New Roman" w:cs="Times New Roman"/>
                <w:i/>
                <w:sz w:val="24"/>
                <w:szCs w:val="24"/>
                <w:lang w:eastAsia="tr-TR"/>
              </w:rPr>
              <w:t>P</w:t>
            </w:r>
          </w:p>
        </w:tc>
        <w:tc>
          <w:tcPr>
            <w:tcW w:w="630" w:type="pct"/>
            <w:tcBorders>
              <w:top w:val="single" w:sz="4" w:space="0" w:color="auto"/>
              <w:left w:val="nil"/>
              <w:bottom w:val="single" w:sz="4" w:space="0" w:color="auto"/>
              <w:right w:val="nil"/>
            </w:tcBorders>
          </w:tcPr>
          <w:p w14:paraId="08CE0CBF"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β</w:t>
            </w:r>
          </w:p>
        </w:tc>
      </w:tr>
      <w:tr w:rsidR="007E1C2B" w:rsidRPr="0032506F" w14:paraId="3C971583" w14:textId="77777777" w:rsidTr="00791EF5">
        <w:trPr>
          <w:trHeight w:val="233"/>
        </w:trPr>
        <w:tc>
          <w:tcPr>
            <w:tcW w:w="733" w:type="pct"/>
            <w:tcBorders>
              <w:top w:val="single" w:sz="4" w:space="0" w:color="auto"/>
              <w:left w:val="nil"/>
              <w:bottom w:val="nil"/>
              <w:right w:val="nil"/>
            </w:tcBorders>
            <w:shd w:val="clear" w:color="auto" w:fill="auto"/>
            <w:vAlign w:val="center"/>
          </w:tcPr>
          <w:p w14:paraId="198CD41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062" w:type="pct"/>
            <w:tcBorders>
              <w:top w:val="single" w:sz="4" w:space="0" w:color="auto"/>
              <w:left w:val="nil"/>
              <w:bottom w:val="nil"/>
              <w:right w:val="nil"/>
            </w:tcBorders>
            <w:shd w:val="clear" w:color="auto" w:fill="auto"/>
            <w:vAlign w:val="center"/>
          </w:tcPr>
          <w:p w14:paraId="4AB2164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single" w:sz="4" w:space="0" w:color="auto"/>
              <w:left w:val="nil"/>
              <w:bottom w:val="nil"/>
              <w:right w:val="nil"/>
            </w:tcBorders>
            <w:shd w:val="clear" w:color="auto" w:fill="auto"/>
          </w:tcPr>
          <w:p w14:paraId="2D0E89E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single" w:sz="4" w:space="0" w:color="auto"/>
              <w:left w:val="nil"/>
              <w:bottom w:val="nil"/>
              <w:right w:val="nil"/>
            </w:tcBorders>
            <w:shd w:val="clear" w:color="auto" w:fill="auto"/>
          </w:tcPr>
          <w:p w14:paraId="21CD150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single" w:sz="4" w:space="0" w:color="auto"/>
              <w:left w:val="nil"/>
              <w:bottom w:val="nil"/>
              <w:right w:val="nil"/>
            </w:tcBorders>
            <w:shd w:val="clear" w:color="auto" w:fill="auto"/>
            <w:vAlign w:val="bottom"/>
          </w:tcPr>
          <w:p w14:paraId="53AD34B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single" w:sz="4" w:space="0" w:color="auto"/>
              <w:left w:val="nil"/>
              <w:bottom w:val="nil"/>
              <w:right w:val="nil"/>
            </w:tcBorders>
            <w:shd w:val="clear" w:color="auto" w:fill="auto"/>
            <w:vAlign w:val="center"/>
          </w:tcPr>
          <w:p w14:paraId="36CB412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single" w:sz="4" w:space="0" w:color="auto"/>
              <w:left w:val="nil"/>
              <w:bottom w:val="nil"/>
              <w:right w:val="nil"/>
            </w:tcBorders>
          </w:tcPr>
          <w:p w14:paraId="2E8EEFE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.619</w:t>
            </w:r>
          </w:p>
        </w:tc>
      </w:tr>
      <w:tr w:rsidR="007E1C2B" w:rsidRPr="0032506F" w14:paraId="09B30C8B" w14:textId="77777777" w:rsidTr="00791EF5">
        <w:trPr>
          <w:trHeight w:val="170"/>
        </w:trPr>
        <w:tc>
          <w:tcPr>
            <w:tcW w:w="733" w:type="pct"/>
            <w:tcBorders>
              <w:top w:val="nil"/>
              <w:left w:val="nil"/>
              <w:bottom w:val="nil"/>
              <w:right w:val="nil"/>
            </w:tcBorders>
            <w:shd w:val="clear" w:color="auto" w:fill="auto"/>
          </w:tcPr>
          <w:p w14:paraId="0B21283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062" w:type="pct"/>
            <w:tcBorders>
              <w:top w:val="nil"/>
              <w:left w:val="nil"/>
              <w:bottom w:val="nil"/>
              <w:right w:val="nil"/>
            </w:tcBorders>
            <w:shd w:val="clear" w:color="auto" w:fill="auto"/>
            <w:vAlign w:val="center"/>
          </w:tcPr>
          <w:p w14:paraId="120FC55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02120614"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1.394</w:t>
            </w:r>
          </w:p>
        </w:tc>
        <w:tc>
          <w:tcPr>
            <w:tcW w:w="591" w:type="pct"/>
            <w:tcBorders>
              <w:top w:val="nil"/>
              <w:left w:val="nil"/>
              <w:bottom w:val="nil"/>
              <w:right w:val="nil"/>
            </w:tcBorders>
            <w:shd w:val="clear" w:color="auto" w:fill="auto"/>
          </w:tcPr>
          <w:p w14:paraId="087FE99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.221</w:t>
            </w:r>
          </w:p>
        </w:tc>
        <w:tc>
          <w:tcPr>
            <w:tcW w:w="591" w:type="pct"/>
            <w:tcBorders>
              <w:top w:val="nil"/>
              <w:left w:val="nil"/>
              <w:bottom w:val="nil"/>
              <w:right w:val="nil"/>
            </w:tcBorders>
            <w:shd w:val="clear" w:color="auto" w:fill="auto"/>
            <w:vAlign w:val="bottom"/>
          </w:tcPr>
          <w:p w14:paraId="2E30DB7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6.299</w:t>
            </w:r>
          </w:p>
        </w:tc>
        <w:tc>
          <w:tcPr>
            <w:tcW w:w="630" w:type="pct"/>
            <w:tcBorders>
              <w:top w:val="nil"/>
              <w:left w:val="nil"/>
              <w:bottom w:val="nil"/>
              <w:right w:val="nil"/>
            </w:tcBorders>
            <w:shd w:val="clear" w:color="auto" w:fill="auto"/>
            <w:noWrap/>
            <w:vAlign w:val="bottom"/>
          </w:tcPr>
          <w:p w14:paraId="235F2E2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157A239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.538</w:t>
            </w:r>
          </w:p>
        </w:tc>
      </w:tr>
      <w:tr w:rsidR="007E1C2B" w:rsidRPr="0032506F" w14:paraId="42A10B8F" w14:textId="77777777" w:rsidTr="00791EF5">
        <w:trPr>
          <w:trHeight w:val="296"/>
        </w:trPr>
        <w:tc>
          <w:tcPr>
            <w:tcW w:w="733" w:type="pct"/>
            <w:tcBorders>
              <w:top w:val="nil"/>
              <w:left w:val="nil"/>
              <w:bottom w:val="nil"/>
              <w:right w:val="nil"/>
            </w:tcBorders>
            <w:shd w:val="clear" w:color="auto" w:fill="auto"/>
          </w:tcPr>
          <w:p w14:paraId="34F4D55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062" w:type="pct"/>
            <w:tcBorders>
              <w:top w:val="nil"/>
              <w:left w:val="nil"/>
              <w:bottom w:val="nil"/>
              <w:right w:val="nil"/>
            </w:tcBorders>
            <w:shd w:val="clear" w:color="auto" w:fill="auto"/>
            <w:vAlign w:val="center"/>
          </w:tcPr>
          <w:p w14:paraId="2FA8A26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736B82C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1.685</w:t>
            </w:r>
          </w:p>
        </w:tc>
        <w:tc>
          <w:tcPr>
            <w:tcW w:w="591" w:type="pct"/>
            <w:tcBorders>
              <w:top w:val="nil"/>
              <w:left w:val="nil"/>
              <w:bottom w:val="nil"/>
              <w:right w:val="nil"/>
            </w:tcBorders>
            <w:shd w:val="clear" w:color="auto" w:fill="auto"/>
          </w:tcPr>
          <w:p w14:paraId="7E83F7D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.232</w:t>
            </w:r>
          </w:p>
        </w:tc>
        <w:tc>
          <w:tcPr>
            <w:tcW w:w="591" w:type="pct"/>
            <w:tcBorders>
              <w:top w:val="nil"/>
              <w:left w:val="nil"/>
              <w:bottom w:val="nil"/>
              <w:right w:val="nil"/>
            </w:tcBorders>
            <w:shd w:val="clear" w:color="auto" w:fill="auto"/>
            <w:vAlign w:val="bottom"/>
          </w:tcPr>
          <w:p w14:paraId="27C7237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7.262</w:t>
            </w:r>
          </w:p>
        </w:tc>
        <w:tc>
          <w:tcPr>
            <w:tcW w:w="630" w:type="pct"/>
            <w:tcBorders>
              <w:top w:val="nil"/>
              <w:left w:val="nil"/>
              <w:bottom w:val="nil"/>
              <w:right w:val="nil"/>
            </w:tcBorders>
            <w:shd w:val="clear" w:color="auto" w:fill="auto"/>
            <w:hideMark/>
          </w:tcPr>
          <w:p w14:paraId="1DA8163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54685C1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.668</w:t>
            </w:r>
          </w:p>
        </w:tc>
      </w:tr>
      <w:tr w:rsidR="007E1C2B" w:rsidRPr="0032506F" w14:paraId="1FC3EDE1" w14:textId="77777777" w:rsidTr="00791EF5">
        <w:trPr>
          <w:trHeight w:val="242"/>
        </w:trPr>
        <w:tc>
          <w:tcPr>
            <w:tcW w:w="733" w:type="pct"/>
            <w:tcBorders>
              <w:top w:val="nil"/>
              <w:left w:val="nil"/>
              <w:bottom w:val="nil"/>
              <w:right w:val="nil"/>
            </w:tcBorders>
            <w:shd w:val="clear" w:color="auto" w:fill="auto"/>
          </w:tcPr>
          <w:p w14:paraId="374551C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062" w:type="pct"/>
            <w:tcBorders>
              <w:top w:val="nil"/>
              <w:left w:val="nil"/>
              <w:bottom w:val="nil"/>
              <w:right w:val="nil"/>
            </w:tcBorders>
            <w:shd w:val="clear" w:color="auto" w:fill="auto"/>
            <w:vAlign w:val="center"/>
          </w:tcPr>
          <w:p w14:paraId="7960120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75A1116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1.224</w:t>
            </w:r>
          </w:p>
        </w:tc>
        <w:tc>
          <w:tcPr>
            <w:tcW w:w="591" w:type="pct"/>
            <w:tcBorders>
              <w:top w:val="nil"/>
              <w:left w:val="nil"/>
              <w:bottom w:val="nil"/>
              <w:right w:val="nil"/>
            </w:tcBorders>
            <w:shd w:val="clear" w:color="auto" w:fill="auto"/>
          </w:tcPr>
          <w:p w14:paraId="3F257B5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.175</w:t>
            </w:r>
          </w:p>
        </w:tc>
        <w:tc>
          <w:tcPr>
            <w:tcW w:w="591" w:type="pct"/>
            <w:tcBorders>
              <w:top w:val="nil"/>
              <w:left w:val="nil"/>
              <w:bottom w:val="nil"/>
              <w:right w:val="nil"/>
            </w:tcBorders>
            <w:shd w:val="clear" w:color="auto" w:fill="auto"/>
            <w:vAlign w:val="bottom"/>
          </w:tcPr>
          <w:p w14:paraId="1BFA0A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6.995</w:t>
            </w:r>
          </w:p>
        </w:tc>
        <w:tc>
          <w:tcPr>
            <w:tcW w:w="630" w:type="pct"/>
            <w:tcBorders>
              <w:top w:val="nil"/>
              <w:left w:val="nil"/>
              <w:bottom w:val="nil"/>
              <w:right w:val="nil"/>
            </w:tcBorders>
            <w:shd w:val="clear" w:color="auto" w:fill="auto"/>
            <w:hideMark/>
          </w:tcPr>
          <w:p w14:paraId="6282212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353DD29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.626</w:t>
            </w:r>
          </w:p>
        </w:tc>
      </w:tr>
      <w:tr w:rsidR="007E1C2B" w:rsidRPr="0032506F" w14:paraId="06411A00" w14:textId="77777777" w:rsidTr="00791EF5">
        <w:trPr>
          <w:trHeight w:val="233"/>
        </w:trPr>
        <w:tc>
          <w:tcPr>
            <w:tcW w:w="733" w:type="pct"/>
            <w:tcBorders>
              <w:top w:val="nil"/>
              <w:left w:val="nil"/>
              <w:bottom w:val="nil"/>
              <w:right w:val="nil"/>
            </w:tcBorders>
            <w:shd w:val="clear" w:color="auto" w:fill="auto"/>
          </w:tcPr>
          <w:p w14:paraId="3A89851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062" w:type="pct"/>
            <w:tcBorders>
              <w:top w:val="nil"/>
              <w:left w:val="nil"/>
              <w:bottom w:val="nil"/>
              <w:right w:val="nil"/>
            </w:tcBorders>
            <w:shd w:val="clear" w:color="auto" w:fill="auto"/>
            <w:vAlign w:val="center"/>
          </w:tcPr>
          <w:p w14:paraId="48C4821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tcPr>
          <w:p w14:paraId="35BFEDB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nil"/>
              <w:left w:val="nil"/>
              <w:bottom w:val="nil"/>
              <w:right w:val="nil"/>
            </w:tcBorders>
            <w:shd w:val="clear" w:color="auto" w:fill="auto"/>
          </w:tcPr>
          <w:p w14:paraId="1F108B1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nil"/>
              <w:left w:val="nil"/>
              <w:bottom w:val="nil"/>
              <w:right w:val="nil"/>
            </w:tcBorders>
            <w:shd w:val="clear" w:color="auto" w:fill="auto"/>
            <w:vAlign w:val="bottom"/>
          </w:tcPr>
          <w:p w14:paraId="58B5790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shd w:val="clear" w:color="auto" w:fill="auto"/>
            <w:hideMark/>
          </w:tcPr>
          <w:p w14:paraId="44F0E2C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tcPr>
          <w:p w14:paraId="6839A37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.815</w:t>
            </w:r>
          </w:p>
        </w:tc>
      </w:tr>
      <w:tr w:rsidR="007E1C2B" w:rsidRPr="0032506F" w14:paraId="3CB6B7A4" w14:textId="77777777" w:rsidTr="00791EF5">
        <w:trPr>
          <w:trHeight w:val="206"/>
        </w:trPr>
        <w:tc>
          <w:tcPr>
            <w:tcW w:w="733" w:type="pct"/>
            <w:tcBorders>
              <w:top w:val="nil"/>
              <w:left w:val="nil"/>
              <w:bottom w:val="nil"/>
              <w:right w:val="nil"/>
            </w:tcBorders>
            <w:shd w:val="clear" w:color="auto" w:fill="auto"/>
            <w:vAlign w:val="center"/>
          </w:tcPr>
          <w:p w14:paraId="0A8F189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062" w:type="pct"/>
            <w:tcBorders>
              <w:top w:val="nil"/>
              <w:left w:val="nil"/>
              <w:bottom w:val="nil"/>
              <w:right w:val="nil"/>
            </w:tcBorders>
            <w:shd w:val="clear" w:color="auto" w:fill="auto"/>
            <w:vAlign w:val="center"/>
          </w:tcPr>
          <w:p w14:paraId="2EAF213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0F9AE67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1.005</w:t>
            </w:r>
          </w:p>
        </w:tc>
        <w:tc>
          <w:tcPr>
            <w:tcW w:w="591" w:type="pct"/>
            <w:tcBorders>
              <w:top w:val="nil"/>
              <w:left w:val="nil"/>
              <w:bottom w:val="nil"/>
              <w:right w:val="nil"/>
            </w:tcBorders>
            <w:shd w:val="clear" w:color="auto" w:fill="auto"/>
          </w:tcPr>
          <w:p w14:paraId="4488641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.068</w:t>
            </w:r>
          </w:p>
        </w:tc>
        <w:tc>
          <w:tcPr>
            <w:tcW w:w="591" w:type="pct"/>
            <w:tcBorders>
              <w:top w:val="nil"/>
              <w:left w:val="nil"/>
              <w:bottom w:val="nil"/>
              <w:right w:val="nil"/>
            </w:tcBorders>
            <w:shd w:val="clear" w:color="auto" w:fill="auto"/>
            <w:vAlign w:val="bottom"/>
          </w:tcPr>
          <w:p w14:paraId="3F7549D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14.713</w:t>
            </w:r>
          </w:p>
        </w:tc>
        <w:tc>
          <w:tcPr>
            <w:tcW w:w="630" w:type="pct"/>
            <w:tcBorders>
              <w:top w:val="nil"/>
              <w:left w:val="nil"/>
              <w:bottom w:val="nil"/>
              <w:right w:val="nil"/>
            </w:tcBorders>
            <w:shd w:val="clear" w:color="auto" w:fill="auto"/>
            <w:noWrap/>
            <w:hideMark/>
          </w:tcPr>
          <w:p w14:paraId="119E4B0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00B1B69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.816</w:t>
            </w:r>
          </w:p>
        </w:tc>
      </w:tr>
      <w:tr w:rsidR="007E1C2B" w:rsidRPr="0032506F" w14:paraId="2EE16E60" w14:textId="77777777" w:rsidTr="00791EF5">
        <w:trPr>
          <w:trHeight w:val="161"/>
        </w:trPr>
        <w:tc>
          <w:tcPr>
            <w:tcW w:w="733" w:type="pct"/>
            <w:tcBorders>
              <w:top w:val="nil"/>
              <w:left w:val="nil"/>
              <w:bottom w:val="nil"/>
              <w:right w:val="nil"/>
            </w:tcBorders>
            <w:shd w:val="clear" w:color="auto" w:fill="auto"/>
          </w:tcPr>
          <w:p w14:paraId="48AFE0E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062" w:type="pct"/>
            <w:tcBorders>
              <w:top w:val="nil"/>
              <w:left w:val="nil"/>
              <w:bottom w:val="nil"/>
              <w:right w:val="nil"/>
            </w:tcBorders>
            <w:shd w:val="clear" w:color="auto" w:fill="auto"/>
            <w:vAlign w:val="center"/>
            <w:hideMark/>
          </w:tcPr>
          <w:p w14:paraId="1E54BAF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3394770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.874</w:t>
            </w:r>
          </w:p>
        </w:tc>
        <w:tc>
          <w:tcPr>
            <w:tcW w:w="591" w:type="pct"/>
            <w:tcBorders>
              <w:top w:val="nil"/>
              <w:left w:val="nil"/>
              <w:bottom w:val="nil"/>
              <w:right w:val="nil"/>
            </w:tcBorders>
            <w:shd w:val="clear" w:color="auto" w:fill="auto"/>
          </w:tcPr>
          <w:p w14:paraId="61A752A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.071</w:t>
            </w:r>
          </w:p>
        </w:tc>
        <w:tc>
          <w:tcPr>
            <w:tcW w:w="591" w:type="pct"/>
            <w:tcBorders>
              <w:top w:val="nil"/>
              <w:left w:val="nil"/>
              <w:bottom w:val="nil"/>
              <w:right w:val="nil"/>
            </w:tcBorders>
            <w:shd w:val="clear" w:color="auto" w:fill="auto"/>
            <w:vAlign w:val="bottom"/>
          </w:tcPr>
          <w:p w14:paraId="6B1BE92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12.281</w:t>
            </w:r>
          </w:p>
        </w:tc>
        <w:tc>
          <w:tcPr>
            <w:tcW w:w="630" w:type="pct"/>
            <w:tcBorders>
              <w:top w:val="nil"/>
              <w:left w:val="nil"/>
              <w:bottom w:val="nil"/>
              <w:right w:val="nil"/>
            </w:tcBorders>
            <w:shd w:val="clear" w:color="auto" w:fill="auto"/>
            <w:noWrap/>
            <w:hideMark/>
          </w:tcPr>
          <w:p w14:paraId="28CD48E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6671980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.716</w:t>
            </w:r>
          </w:p>
        </w:tc>
      </w:tr>
      <w:tr w:rsidR="007E1C2B" w:rsidRPr="0032506F" w14:paraId="158BFD09" w14:textId="77777777" w:rsidTr="00791EF5">
        <w:trPr>
          <w:trHeight w:val="278"/>
        </w:trPr>
        <w:tc>
          <w:tcPr>
            <w:tcW w:w="733" w:type="pct"/>
            <w:tcBorders>
              <w:top w:val="nil"/>
              <w:left w:val="nil"/>
              <w:bottom w:val="nil"/>
              <w:right w:val="nil"/>
            </w:tcBorders>
            <w:shd w:val="clear" w:color="auto" w:fill="auto"/>
          </w:tcPr>
          <w:p w14:paraId="1954371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062" w:type="pct"/>
            <w:tcBorders>
              <w:top w:val="nil"/>
              <w:left w:val="nil"/>
              <w:bottom w:val="nil"/>
              <w:right w:val="nil"/>
            </w:tcBorders>
            <w:shd w:val="clear" w:color="auto" w:fill="auto"/>
            <w:vAlign w:val="center"/>
            <w:hideMark/>
          </w:tcPr>
          <w:p w14:paraId="4ED120A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47DE773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.994</w:t>
            </w:r>
          </w:p>
        </w:tc>
        <w:tc>
          <w:tcPr>
            <w:tcW w:w="591" w:type="pct"/>
            <w:tcBorders>
              <w:top w:val="nil"/>
              <w:left w:val="nil"/>
              <w:bottom w:val="nil"/>
              <w:right w:val="nil"/>
            </w:tcBorders>
            <w:shd w:val="clear" w:color="auto" w:fill="auto"/>
          </w:tcPr>
          <w:p w14:paraId="3C905C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.064</w:t>
            </w:r>
          </w:p>
        </w:tc>
        <w:tc>
          <w:tcPr>
            <w:tcW w:w="591" w:type="pct"/>
            <w:tcBorders>
              <w:top w:val="nil"/>
              <w:left w:val="nil"/>
              <w:bottom w:val="nil"/>
              <w:right w:val="nil"/>
            </w:tcBorders>
            <w:shd w:val="clear" w:color="auto" w:fill="auto"/>
            <w:vAlign w:val="bottom"/>
          </w:tcPr>
          <w:p w14:paraId="094A228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15.451</w:t>
            </w:r>
          </w:p>
        </w:tc>
        <w:tc>
          <w:tcPr>
            <w:tcW w:w="630" w:type="pct"/>
            <w:tcBorders>
              <w:top w:val="nil"/>
              <w:left w:val="nil"/>
              <w:bottom w:val="nil"/>
              <w:right w:val="nil"/>
            </w:tcBorders>
            <w:shd w:val="clear" w:color="auto" w:fill="auto"/>
            <w:hideMark/>
          </w:tcPr>
          <w:p w14:paraId="7C1A74F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1E07351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.843</w:t>
            </w:r>
          </w:p>
        </w:tc>
      </w:tr>
      <w:tr w:rsidR="007E1C2B" w:rsidRPr="0032506F" w14:paraId="2010FE0D" w14:textId="77777777" w:rsidTr="00791EF5">
        <w:trPr>
          <w:trHeight w:val="314"/>
        </w:trPr>
        <w:tc>
          <w:tcPr>
            <w:tcW w:w="733" w:type="pct"/>
            <w:tcBorders>
              <w:top w:val="nil"/>
              <w:left w:val="nil"/>
              <w:bottom w:val="nil"/>
              <w:right w:val="nil"/>
            </w:tcBorders>
            <w:shd w:val="clear" w:color="auto" w:fill="auto"/>
          </w:tcPr>
          <w:p w14:paraId="367701A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062" w:type="pct"/>
            <w:tcBorders>
              <w:top w:val="nil"/>
              <w:left w:val="nil"/>
              <w:bottom w:val="nil"/>
              <w:right w:val="nil"/>
            </w:tcBorders>
            <w:shd w:val="clear" w:color="auto" w:fill="auto"/>
            <w:vAlign w:val="center"/>
            <w:hideMark/>
          </w:tcPr>
          <w:p w14:paraId="0E877D8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7EE6477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.915</w:t>
            </w:r>
          </w:p>
        </w:tc>
        <w:tc>
          <w:tcPr>
            <w:tcW w:w="591" w:type="pct"/>
            <w:tcBorders>
              <w:top w:val="nil"/>
              <w:left w:val="nil"/>
              <w:bottom w:val="nil"/>
              <w:right w:val="nil"/>
            </w:tcBorders>
            <w:shd w:val="clear" w:color="auto" w:fill="auto"/>
          </w:tcPr>
          <w:p w14:paraId="6350109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.064</w:t>
            </w:r>
          </w:p>
        </w:tc>
        <w:tc>
          <w:tcPr>
            <w:tcW w:w="591" w:type="pct"/>
            <w:tcBorders>
              <w:top w:val="nil"/>
              <w:left w:val="nil"/>
              <w:bottom w:val="nil"/>
              <w:right w:val="nil"/>
            </w:tcBorders>
            <w:shd w:val="clear" w:color="auto" w:fill="auto"/>
            <w:vAlign w:val="bottom"/>
          </w:tcPr>
          <w:p w14:paraId="11988C6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14.230</w:t>
            </w:r>
          </w:p>
        </w:tc>
        <w:tc>
          <w:tcPr>
            <w:tcW w:w="630" w:type="pct"/>
            <w:tcBorders>
              <w:top w:val="nil"/>
              <w:left w:val="nil"/>
              <w:bottom w:val="nil"/>
              <w:right w:val="nil"/>
            </w:tcBorders>
            <w:shd w:val="clear" w:color="auto" w:fill="auto"/>
            <w:hideMark/>
          </w:tcPr>
          <w:p w14:paraId="244E28D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6580FA5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.797</w:t>
            </w:r>
          </w:p>
        </w:tc>
      </w:tr>
      <w:tr w:rsidR="007E1C2B" w:rsidRPr="0032506F" w14:paraId="4BE8E337" w14:textId="77777777" w:rsidTr="00791EF5">
        <w:trPr>
          <w:trHeight w:val="251"/>
        </w:trPr>
        <w:tc>
          <w:tcPr>
            <w:tcW w:w="733" w:type="pct"/>
            <w:tcBorders>
              <w:top w:val="nil"/>
              <w:left w:val="nil"/>
              <w:bottom w:val="nil"/>
              <w:right w:val="nil"/>
            </w:tcBorders>
            <w:shd w:val="clear" w:color="auto" w:fill="auto"/>
          </w:tcPr>
          <w:p w14:paraId="46EF0AC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062" w:type="pct"/>
            <w:tcBorders>
              <w:top w:val="nil"/>
              <w:left w:val="nil"/>
              <w:bottom w:val="nil"/>
              <w:right w:val="nil"/>
            </w:tcBorders>
            <w:shd w:val="clear" w:color="auto" w:fill="auto"/>
            <w:vAlign w:val="center"/>
            <w:hideMark/>
          </w:tcPr>
          <w:p w14:paraId="5B7CFD6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65136B4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1.077</w:t>
            </w:r>
          </w:p>
        </w:tc>
        <w:tc>
          <w:tcPr>
            <w:tcW w:w="591" w:type="pct"/>
            <w:tcBorders>
              <w:top w:val="nil"/>
              <w:left w:val="nil"/>
              <w:bottom w:val="nil"/>
              <w:right w:val="nil"/>
            </w:tcBorders>
            <w:shd w:val="clear" w:color="auto" w:fill="auto"/>
          </w:tcPr>
          <w:p w14:paraId="3508835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.073</w:t>
            </w:r>
          </w:p>
        </w:tc>
        <w:tc>
          <w:tcPr>
            <w:tcW w:w="591" w:type="pct"/>
            <w:tcBorders>
              <w:top w:val="nil"/>
              <w:left w:val="nil"/>
              <w:bottom w:val="nil"/>
              <w:right w:val="nil"/>
            </w:tcBorders>
            <w:shd w:val="clear" w:color="auto" w:fill="auto"/>
            <w:vAlign w:val="bottom"/>
          </w:tcPr>
          <w:p w14:paraId="22A2E7E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14.789</w:t>
            </w:r>
          </w:p>
        </w:tc>
        <w:tc>
          <w:tcPr>
            <w:tcW w:w="630" w:type="pct"/>
            <w:tcBorders>
              <w:top w:val="nil"/>
              <w:left w:val="nil"/>
              <w:bottom w:val="nil"/>
              <w:right w:val="nil"/>
            </w:tcBorders>
            <w:shd w:val="clear" w:color="auto" w:fill="auto"/>
            <w:hideMark/>
          </w:tcPr>
          <w:p w14:paraId="5EA6B60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3CA2C83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.818</w:t>
            </w:r>
          </w:p>
        </w:tc>
      </w:tr>
      <w:tr w:rsidR="007E1C2B" w:rsidRPr="0032506F" w14:paraId="77D1B2D2" w14:textId="77777777" w:rsidTr="00791EF5">
        <w:trPr>
          <w:trHeight w:val="197"/>
        </w:trPr>
        <w:tc>
          <w:tcPr>
            <w:tcW w:w="733" w:type="pct"/>
            <w:tcBorders>
              <w:top w:val="nil"/>
              <w:left w:val="nil"/>
              <w:bottom w:val="nil"/>
              <w:right w:val="nil"/>
            </w:tcBorders>
            <w:shd w:val="clear" w:color="auto" w:fill="auto"/>
          </w:tcPr>
          <w:p w14:paraId="4061960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062" w:type="pct"/>
            <w:tcBorders>
              <w:top w:val="nil"/>
              <w:left w:val="nil"/>
              <w:bottom w:val="nil"/>
              <w:right w:val="nil"/>
            </w:tcBorders>
            <w:shd w:val="clear" w:color="auto" w:fill="auto"/>
            <w:vAlign w:val="center"/>
            <w:hideMark/>
          </w:tcPr>
          <w:p w14:paraId="7AC4D38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6BF46F4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.934</w:t>
            </w:r>
          </w:p>
        </w:tc>
        <w:tc>
          <w:tcPr>
            <w:tcW w:w="591" w:type="pct"/>
            <w:tcBorders>
              <w:top w:val="nil"/>
              <w:left w:val="nil"/>
              <w:bottom w:val="nil"/>
              <w:right w:val="nil"/>
            </w:tcBorders>
            <w:shd w:val="clear" w:color="auto" w:fill="auto"/>
          </w:tcPr>
          <w:p w14:paraId="1B5D293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.061</w:t>
            </w:r>
          </w:p>
        </w:tc>
        <w:tc>
          <w:tcPr>
            <w:tcW w:w="591" w:type="pct"/>
            <w:tcBorders>
              <w:top w:val="nil"/>
              <w:left w:val="nil"/>
              <w:bottom w:val="nil"/>
              <w:right w:val="nil"/>
            </w:tcBorders>
            <w:shd w:val="clear" w:color="auto" w:fill="auto"/>
            <w:vAlign w:val="bottom"/>
          </w:tcPr>
          <w:p w14:paraId="6004098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15.236</w:t>
            </w:r>
          </w:p>
        </w:tc>
        <w:tc>
          <w:tcPr>
            <w:tcW w:w="630" w:type="pct"/>
            <w:tcBorders>
              <w:top w:val="nil"/>
              <w:left w:val="nil"/>
              <w:bottom w:val="nil"/>
              <w:right w:val="nil"/>
            </w:tcBorders>
            <w:shd w:val="clear" w:color="auto" w:fill="auto"/>
            <w:hideMark/>
          </w:tcPr>
          <w:p w14:paraId="15EDC63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5DD963A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.835</w:t>
            </w:r>
          </w:p>
        </w:tc>
      </w:tr>
      <w:tr w:rsidR="007E1C2B" w:rsidRPr="0032506F" w14:paraId="31A90774" w14:textId="77777777" w:rsidTr="00791EF5">
        <w:trPr>
          <w:trHeight w:val="233"/>
        </w:trPr>
        <w:tc>
          <w:tcPr>
            <w:tcW w:w="733" w:type="pct"/>
            <w:tcBorders>
              <w:top w:val="nil"/>
              <w:left w:val="nil"/>
              <w:bottom w:val="nil"/>
              <w:right w:val="nil"/>
            </w:tcBorders>
            <w:shd w:val="clear" w:color="auto" w:fill="auto"/>
          </w:tcPr>
          <w:p w14:paraId="42C60D5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OEE9</w:t>
            </w:r>
          </w:p>
        </w:tc>
        <w:tc>
          <w:tcPr>
            <w:tcW w:w="1062" w:type="pct"/>
            <w:tcBorders>
              <w:top w:val="nil"/>
              <w:left w:val="nil"/>
              <w:bottom w:val="nil"/>
              <w:right w:val="nil"/>
            </w:tcBorders>
            <w:shd w:val="clear" w:color="auto" w:fill="auto"/>
            <w:vAlign w:val="center"/>
            <w:hideMark/>
          </w:tcPr>
          <w:p w14:paraId="42FB71F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4350E282"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.740</w:t>
            </w:r>
          </w:p>
        </w:tc>
        <w:tc>
          <w:tcPr>
            <w:tcW w:w="591" w:type="pct"/>
            <w:tcBorders>
              <w:top w:val="nil"/>
              <w:left w:val="nil"/>
              <w:bottom w:val="nil"/>
              <w:right w:val="nil"/>
            </w:tcBorders>
            <w:shd w:val="clear" w:color="auto" w:fill="auto"/>
          </w:tcPr>
          <w:p w14:paraId="110E68C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.063</w:t>
            </w:r>
          </w:p>
        </w:tc>
        <w:tc>
          <w:tcPr>
            <w:tcW w:w="591" w:type="pct"/>
            <w:tcBorders>
              <w:top w:val="nil"/>
              <w:left w:val="nil"/>
              <w:bottom w:val="nil"/>
              <w:right w:val="nil"/>
            </w:tcBorders>
            <w:shd w:val="clear" w:color="auto" w:fill="auto"/>
            <w:vAlign w:val="bottom"/>
          </w:tcPr>
          <w:p w14:paraId="70D63BB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11.790</w:t>
            </w:r>
          </w:p>
        </w:tc>
        <w:tc>
          <w:tcPr>
            <w:tcW w:w="630" w:type="pct"/>
            <w:tcBorders>
              <w:top w:val="nil"/>
              <w:left w:val="nil"/>
              <w:bottom w:val="nil"/>
              <w:right w:val="nil"/>
            </w:tcBorders>
            <w:shd w:val="clear" w:color="auto" w:fill="auto"/>
            <w:hideMark/>
          </w:tcPr>
          <w:p w14:paraId="65BD8F6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34335DF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.694</w:t>
            </w:r>
          </w:p>
        </w:tc>
      </w:tr>
      <w:tr w:rsidR="007E1C2B" w:rsidRPr="0032506F" w14:paraId="203E3635" w14:textId="77777777" w:rsidTr="00791EF5">
        <w:trPr>
          <w:trHeight w:val="260"/>
        </w:trPr>
        <w:tc>
          <w:tcPr>
            <w:tcW w:w="733" w:type="pct"/>
            <w:tcBorders>
              <w:top w:val="nil"/>
              <w:left w:val="nil"/>
              <w:bottom w:val="nil"/>
              <w:right w:val="nil"/>
            </w:tcBorders>
            <w:shd w:val="clear" w:color="auto" w:fill="auto"/>
            <w:vAlign w:val="center"/>
          </w:tcPr>
          <w:p w14:paraId="3C8FB97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OEE14</w:t>
            </w:r>
          </w:p>
        </w:tc>
        <w:tc>
          <w:tcPr>
            <w:tcW w:w="1062" w:type="pct"/>
            <w:tcBorders>
              <w:top w:val="nil"/>
              <w:left w:val="nil"/>
              <w:bottom w:val="nil"/>
              <w:right w:val="nil"/>
            </w:tcBorders>
            <w:shd w:val="clear" w:color="auto" w:fill="auto"/>
            <w:vAlign w:val="center"/>
            <w:hideMark/>
          </w:tcPr>
          <w:p w14:paraId="70CBF42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center"/>
          </w:tcPr>
          <w:p w14:paraId="5B61A2A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.705</w:t>
            </w:r>
          </w:p>
        </w:tc>
        <w:tc>
          <w:tcPr>
            <w:tcW w:w="591" w:type="pct"/>
            <w:tcBorders>
              <w:top w:val="nil"/>
              <w:left w:val="nil"/>
              <w:bottom w:val="nil"/>
              <w:right w:val="nil"/>
            </w:tcBorders>
            <w:shd w:val="clear" w:color="auto" w:fill="auto"/>
            <w:vAlign w:val="center"/>
          </w:tcPr>
          <w:p w14:paraId="4BA8D21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.068</w:t>
            </w:r>
          </w:p>
        </w:tc>
        <w:tc>
          <w:tcPr>
            <w:tcW w:w="591" w:type="pct"/>
            <w:tcBorders>
              <w:top w:val="nil"/>
              <w:left w:val="nil"/>
              <w:bottom w:val="nil"/>
              <w:right w:val="nil"/>
            </w:tcBorders>
            <w:shd w:val="clear" w:color="auto" w:fill="auto"/>
            <w:vAlign w:val="center"/>
          </w:tcPr>
          <w:p w14:paraId="2690301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10.379</w:t>
            </w:r>
          </w:p>
        </w:tc>
        <w:tc>
          <w:tcPr>
            <w:tcW w:w="630" w:type="pct"/>
            <w:tcBorders>
              <w:top w:val="nil"/>
              <w:left w:val="nil"/>
              <w:bottom w:val="nil"/>
              <w:right w:val="nil"/>
            </w:tcBorders>
            <w:shd w:val="clear" w:color="auto" w:fill="auto"/>
            <w:noWrap/>
            <w:hideMark/>
          </w:tcPr>
          <w:p w14:paraId="0490DE1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44A59B2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.628</w:t>
            </w:r>
          </w:p>
        </w:tc>
      </w:tr>
      <w:tr w:rsidR="007E1C2B" w:rsidRPr="0032506F" w14:paraId="3286BB58" w14:textId="77777777" w:rsidTr="00791EF5">
        <w:trPr>
          <w:trHeight w:val="287"/>
        </w:trPr>
        <w:tc>
          <w:tcPr>
            <w:tcW w:w="733" w:type="pct"/>
            <w:tcBorders>
              <w:top w:val="nil"/>
              <w:left w:val="nil"/>
              <w:bottom w:val="nil"/>
              <w:right w:val="nil"/>
            </w:tcBorders>
            <w:shd w:val="clear" w:color="auto" w:fill="auto"/>
          </w:tcPr>
          <w:p w14:paraId="0DB25F9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OEE15</w:t>
            </w:r>
          </w:p>
        </w:tc>
        <w:tc>
          <w:tcPr>
            <w:tcW w:w="1062" w:type="pct"/>
            <w:tcBorders>
              <w:top w:val="nil"/>
              <w:left w:val="nil"/>
              <w:bottom w:val="nil"/>
              <w:right w:val="nil"/>
            </w:tcBorders>
            <w:shd w:val="clear" w:color="auto" w:fill="auto"/>
            <w:vAlign w:val="center"/>
            <w:hideMark/>
          </w:tcPr>
          <w:p w14:paraId="0F097FD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7A79409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.738</w:t>
            </w:r>
          </w:p>
        </w:tc>
        <w:tc>
          <w:tcPr>
            <w:tcW w:w="591" w:type="pct"/>
            <w:tcBorders>
              <w:top w:val="nil"/>
              <w:left w:val="nil"/>
              <w:bottom w:val="nil"/>
              <w:right w:val="nil"/>
            </w:tcBorders>
            <w:shd w:val="clear" w:color="auto" w:fill="auto"/>
            <w:vAlign w:val="bottom"/>
          </w:tcPr>
          <w:p w14:paraId="18B03F5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.070</w:t>
            </w:r>
          </w:p>
        </w:tc>
        <w:tc>
          <w:tcPr>
            <w:tcW w:w="591" w:type="pct"/>
            <w:tcBorders>
              <w:top w:val="nil"/>
              <w:left w:val="nil"/>
              <w:bottom w:val="nil"/>
              <w:right w:val="nil"/>
            </w:tcBorders>
            <w:shd w:val="clear" w:color="auto" w:fill="auto"/>
            <w:vAlign w:val="bottom"/>
          </w:tcPr>
          <w:p w14:paraId="3C79EB8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10.545</w:t>
            </w:r>
          </w:p>
        </w:tc>
        <w:tc>
          <w:tcPr>
            <w:tcW w:w="630" w:type="pct"/>
            <w:tcBorders>
              <w:top w:val="nil"/>
              <w:left w:val="nil"/>
              <w:bottom w:val="nil"/>
              <w:right w:val="nil"/>
            </w:tcBorders>
            <w:shd w:val="clear" w:color="auto" w:fill="auto"/>
            <w:hideMark/>
          </w:tcPr>
          <w:p w14:paraId="2C4C8EF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1015E1D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.636</w:t>
            </w:r>
          </w:p>
        </w:tc>
      </w:tr>
      <w:tr w:rsidR="007E1C2B" w:rsidRPr="0032506F" w14:paraId="1407C062" w14:textId="77777777" w:rsidTr="00791EF5">
        <w:trPr>
          <w:trHeight w:val="242"/>
        </w:trPr>
        <w:tc>
          <w:tcPr>
            <w:tcW w:w="733" w:type="pct"/>
            <w:tcBorders>
              <w:top w:val="nil"/>
              <w:left w:val="nil"/>
              <w:bottom w:val="nil"/>
              <w:right w:val="nil"/>
            </w:tcBorders>
            <w:shd w:val="clear" w:color="auto" w:fill="auto"/>
          </w:tcPr>
          <w:p w14:paraId="75CDF38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OEE18</w:t>
            </w:r>
          </w:p>
        </w:tc>
        <w:tc>
          <w:tcPr>
            <w:tcW w:w="1062" w:type="pct"/>
            <w:tcBorders>
              <w:top w:val="nil"/>
              <w:left w:val="nil"/>
              <w:bottom w:val="nil"/>
              <w:right w:val="nil"/>
            </w:tcBorders>
            <w:shd w:val="clear" w:color="auto" w:fill="auto"/>
            <w:vAlign w:val="center"/>
          </w:tcPr>
          <w:p w14:paraId="7905B7E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6B6DC60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.917</w:t>
            </w:r>
          </w:p>
        </w:tc>
        <w:tc>
          <w:tcPr>
            <w:tcW w:w="591" w:type="pct"/>
            <w:tcBorders>
              <w:top w:val="nil"/>
              <w:left w:val="nil"/>
              <w:bottom w:val="nil"/>
              <w:right w:val="nil"/>
            </w:tcBorders>
            <w:shd w:val="clear" w:color="auto" w:fill="auto"/>
            <w:vAlign w:val="bottom"/>
          </w:tcPr>
          <w:p w14:paraId="6D53E186"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.078</w:t>
            </w:r>
          </w:p>
        </w:tc>
        <w:tc>
          <w:tcPr>
            <w:tcW w:w="591" w:type="pct"/>
            <w:tcBorders>
              <w:top w:val="nil"/>
              <w:left w:val="nil"/>
              <w:bottom w:val="nil"/>
              <w:right w:val="nil"/>
            </w:tcBorders>
            <w:shd w:val="clear" w:color="auto" w:fill="auto"/>
            <w:vAlign w:val="bottom"/>
          </w:tcPr>
          <w:p w14:paraId="45FFB4C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11.704</w:t>
            </w:r>
          </w:p>
        </w:tc>
        <w:tc>
          <w:tcPr>
            <w:tcW w:w="630" w:type="pct"/>
            <w:tcBorders>
              <w:top w:val="nil"/>
              <w:left w:val="nil"/>
              <w:bottom w:val="nil"/>
              <w:right w:val="nil"/>
            </w:tcBorders>
            <w:shd w:val="clear" w:color="auto" w:fill="auto"/>
          </w:tcPr>
          <w:p w14:paraId="7DC84F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088C939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.690</w:t>
            </w:r>
          </w:p>
        </w:tc>
      </w:tr>
      <w:tr w:rsidR="007E1C2B" w:rsidRPr="0032506F" w14:paraId="0CB7884D" w14:textId="77777777" w:rsidTr="00791EF5">
        <w:trPr>
          <w:trHeight w:val="269"/>
        </w:trPr>
        <w:tc>
          <w:tcPr>
            <w:tcW w:w="733" w:type="pct"/>
            <w:tcBorders>
              <w:top w:val="nil"/>
              <w:left w:val="nil"/>
              <w:bottom w:val="nil"/>
              <w:right w:val="nil"/>
            </w:tcBorders>
            <w:shd w:val="clear" w:color="auto" w:fill="auto"/>
          </w:tcPr>
          <w:p w14:paraId="086C3AF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OEE19</w:t>
            </w:r>
          </w:p>
        </w:tc>
        <w:tc>
          <w:tcPr>
            <w:tcW w:w="1062" w:type="pct"/>
            <w:tcBorders>
              <w:top w:val="nil"/>
              <w:left w:val="nil"/>
              <w:bottom w:val="nil"/>
              <w:right w:val="nil"/>
            </w:tcBorders>
            <w:shd w:val="clear" w:color="auto" w:fill="auto"/>
            <w:vAlign w:val="center"/>
            <w:hideMark/>
          </w:tcPr>
          <w:p w14:paraId="3B1F7EA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424BCEB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.706</w:t>
            </w:r>
          </w:p>
        </w:tc>
        <w:tc>
          <w:tcPr>
            <w:tcW w:w="591" w:type="pct"/>
            <w:tcBorders>
              <w:top w:val="nil"/>
              <w:left w:val="nil"/>
              <w:bottom w:val="nil"/>
              <w:right w:val="nil"/>
            </w:tcBorders>
            <w:shd w:val="clear" w:color="auto" w:fill="auto"/>
            <w:vAlign w:val="bottom"/>
          </w:tcPr>
          <w:p w14:paraId="71457BA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.066</w:t>
            </w:r>
          </w:p>
        </w:tc>
        <w:tc>
          <w:tcPr>
            <w:tcW w:w="591" w:type="pct"/>
            <w:tcBorders>
              <w:top w:val="nil"/>
              <w:left w:val="nil"/>
              <w:bottom w:val="nil"/>
              <w:right w:val="nil"/>
            </w:tcBorders>
            <w:shd w:val="clear" w:color="auto" w:fill="auto"/>
            <w:vAlign w:val="bottom"/>
          </w:tcPr>
          <w:p w14:paraId="11A65CB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10.736</w:t>
            </w:r>
          </w:p>
        </w:tc>
        <w:tc>
          <w:tcPr>
            <w:tcW w:w="630" w:type="pct"/>
            <w:tcBorders>
              <w:top w:val="nil"/>
              <w:left w:val="nil"/>
              <w:bottom w:val="nil"/>
              <w:right w:val="nil"/>
            </w:tcBorders>
            <w:shd w:val="clear" w:color="auto" w:fill="auto"/>
            <w:hideMark/>
          </w:tcPr>
          <w:p w14:paraId="36407DD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6327E63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.645</w:t>
            </w:r>
          </w:p>
        </w:tc>
      </w:tr>
      <w:tr w:rsidR="007E1C2B" w:rsidRPr="0032506F" w14:paraId="3ACA1349" w14:textId="77777777" w:rsidTr="00791EF5">
        <w:trPr>
          <w:trHeight w:val="206"/>
        </w:trPr>
        <w:tc>
          <w:tcPr>
            <w:tcW w:w="733" w:type="pct"/>
            <w:tcBorders>
              <w:top w:val="nil"/>
              <w:left w:val="nil"/>
              <w:bottom w:val="nil"/>
              <w:right w:val="nil"/>
            </w:tcBorders>
            <w:shd w:val="clear" w:color="auto" w:fill="auto"/>
          </w:tcPr>
          <w:p w14:paraId="77F4ADE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062" w:type="pct"/>
            <w:tcBorders>
              <w:top w:val="nil"/>
              <w:left w:val="nil"/>
              <w:bottom w:val="nil"/>
              <w:right w:val="nil"/>
            </w:tcBorders>
            <w:shd w:val="clear" w:color="auto" w:fill="auto"/>
            <w:vAlign w:val="center"/>
            <w:hideMark/>
          </w:tcPr>
          <w:p w14:paraId="00C0CFD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FF218E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nil"/>
              <w:left w:val="nil"/>
              <w:bottom w:val="nil"/>
              <w:right w:val="nil"/>
            </w:tcBorders>
            <w:shd w:val="clear" w:color="auto" w:fill="auto"/>
            <w:vAlign w:val="bottom"/>
          </w:tcPr>
          <w:p w14:paraId="05B195A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nil"/>
              <w:left w:val="nil"/>
              <w:bottom w:val="nil"/>
              <w:right w:val="nil"/>
            </w:tcBorders>
            <w:shd w:val="clear" w:color="auto" w:fill="auto"/>
            <w:vAlign w:val="bottom"/>
          </w:tcPr>
          <w:p w14:paraId="08C62CB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shd w:val="clear" w:color="auto" w:fill="auto"/>
            <w:hideMark/>
          </w:tcPr>
          <w:p w14:paraId="35AE192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tcPr>
          <w:p w14:paraId="7308FC7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.652</w:t>
            </w:r>
          </w:p>
        </w:tc>
      </w:tr>
      <w:tr w:rsidR="007E1C2B" w:rsidRPr="0032506F" w14:paraId="4F0FD147" w14:textId="77777777" w:rsidTr="00791EF5">
        <w:trPr>
          <w:trHeight w:val="242"/>
        </w:trPr>
        <w:tc>
          <w:tcPr>
            <w:tcW w:w="733" w:type="pct"/>
            <w:tcBorders>
              <w:top w:val="nil"/>
              <w:left w:val="nil"/>
              <w:bottom w:val="nil"/>
              <w:right w:val="nil"/>
            </w:tcBorders>
            <w:shd w:val="clear" w:color="auto" w:fill="auto"/>
          </w:tcPr>
          <w:p w14:paraId="755297E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062" w:type="pct"/>
            <w:tcBorders>
              <w:top w:val="nil"/>
              <w:left w:val="nil"/>
              <w:bottom w:val="nil"/>
              <w:right w:val="nil"/>
            </w:tcBorders>
            <w:shd w:val="clear" w:color="auto" w:fill="auto"/>
            <w:vAlign w:val="center"/>
            <w:hideMark/>
          </w:tcPr>
          <w:p w14:paraId="7C99941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2AD2176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.965</w:t>
            </w:r>
          </w:p>
        </w:tc>
        <w:tc>
          <w:tcPr>
            <w:tcW w:w="591" w:type="pct"/>
            <w:tcBorders>
              <w:top w:val="nil"/>
              <w:left w:val="nil"/>
              <w:bottom w:val="nil"/>
              <w:right w:val="nil"/>
            </w:tcBorders>
            <w:shd w:val="clear" w:color="auto" w:fill="auto"/>
            <w:vAlign w:val="bottom"/>
          </w:tcPr>
          <w:p w14:paraId="58D9CD4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.096</w:t>
            </w:r>
          </w:p>
        </w:tc>
        <w:tc>
          <w:tcPr>
            <w:tcW w:w="591" w:type="pct"/>
            <w:tcBorders>
              <w:top w:val="nil"/>
              <w:left w:val="nil"/>
              <w:bottom w:val="nil"/>
              <w:right w:val="nil"/>
            </w:tcBorders>
            <w:shd w:val="clear" w:color="auto" w:fill="auto"/>
            <w:vAlign w:val="bottom"/>
          </w:tcPr>
          <w:p w14:paraId="36A4C90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10.054</w:t>
            </w:r>
          </w:p>
        </w:tc>
        <w:tc>
          <w:tcPr>
            <w:tcW w:w="630" w:type="pct"/>
            <w:tcBorders>
              <w:top w:val="nil"/>
              <w:left w:val="nil"/>
              <w:bottom w:val="nil"/>
              <w:right w:val="nil"/>
            </w:tcBorders>
            <w:shd w:val="clear" w:color="auto" w:fill="auto"/>
            <w:hideMark/>
          </w:tcPr>
          <w:p w14:paraId="6ABFE54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5ECBE4A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.755</w:t>
            </w:r>
          </w:p>
        </w:tc>
      </w:tr>
      <w:tr w:rsidR="007E1C2B" w:rsidRPr="0032506F" w14:paraId="635666A4" w14:textId="77777777" w:rsidTr="00791EF5">
        <w:trPr>
          <w:trHeight w:val="278"/>
        </w:trPr>
        <w:tc>
          <w:tcPr>
            <w:tcW w:w="733" w:type="pct"/>
            <w:tcBorders>
              <w:top w:val="nil"/>
              <w:left w:val="nil"/>
              <w:bottom w:val="nil"/>
              <w:right w:val="nil"/>
            </w:tcBorders>
            <w:shd w:val="clear" w:color="auto" w:fill="auto"/>
          </w:tcPr>
          <w:p w14:paraId="2CDC7F3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bookmarkStart w:id="103" w:name="_Hlk92049020"/>
            <w:r w:rsidRPr="0032506F">
              <w:rPr>
                <w:rFonts w:ascii="Times New Roman" w:eastAsia="SimSun" w:hAnsi="Times New Roman" w:cs="Times New Roman"/>
                <w:sz w:val="24"/>
                <w:szCs w:val="24"/>
              </w:rPr>
              <w:t>OCE8</w:t>
            </w:r>
          </w:p>
        </w:tc>
        <w:tc>
          <w:tcPr>
            <w:tcW w:w="1062" w:type="pct"/>
            <w:tcBorders>
              <w:top w:val="nil"/>
              <w:left w:val="nil"/>
              <w:bottom w:val="nil"/>
              <w:right w:val="nil"/>
            </w:tcBorders>
            <w:shd w:val="clear" w:color="auto" w:fill="auto"/>
            <w:vAlign w:val="center"/>
            <w:hideMark/>
          </w:tcPr>
          <w:p w14:paraId="220A16F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81FA000"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.880</w:t>
            </w:r>
          </w:p>
        </w:tc>
        <w:tc>
          <w:tcPr>
            <w:tcW w:w="591" w:type="pct"/>
            <w:tcBorders>
              <w:top w:val="nil"/>
              <w:left w:val="nil"/>
              <w:bottom w:val="nil"/>
              <w:right w:val="nil"/>
            </w:tcBorders>
            <w:shd w:val="clear" w:color="auto" w:fill="auto"/>
            <w:vAlign w:val="bottom"/>
          </w:tcPr>
          <w:p w14:paraId="704A088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.096</w:t>
            </w:r>
          </w:p>
        </w:tc>
        <w:tc>
          <w:tcPr>
            <w:tcW w:w="591" w:type="pct"/>
            <w:tcBorders>
              <w:top w:val="nil"/>
              <w:left w:val="nil"/>
              <w:bottom w:val="nil"/>
              <w:right w:val="nil"/>
            </w:tcBorders>
            <w:shd w:val="clear" w:color="auto" w:fill="auto"/>
            <w:vAlign w:val="bottom"/>
          </w:tcPr>
          <w:p w14:paraId="6335E58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9.150</w:t>
            </w:r>
          </w:p>
        </w:tc>
        <w:tc>
          <w:tcPr>
            <w:tcW w:w="630" w:type="pct"/>
            <w:tcBorders>
              <w:top w:val="nil"/>
              <w:left w:val="nil"/>
              <w:bottom w:val="nil"/>
              <w:right w:val="nil"/>
            </w:tcBorders>
            <w:shd w:val="clear" w:color="auto" w:fill="auto"/>
            <w:hideMark/>
          </w:tcPr>
          <w:p w14:paraId="25B2643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47BAC64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.675</w:t>
            </w:r>
          </w:p>
        </w:tc>
      </w:tr>
      <w:bookmarkEnd w:id="103"/>
      <w:tr w:rsidR="007E1C2B" w:rsidRPr="0032506F" w14:paraId="55D9944F" w14:textId="77777777" w:rsidTr="00791EF5">
        <w:trPr>
          <w:trHeight w:val="278"/>
        </w:trPr>
        <w:tc>
          <w:tcPr>
            <w:tcW w:w="733" w:type="pct"/>
            <w:tcBorders>
              <w:top w:val="nil"/>
              <w:left w:val="nil"/>
              <w:bottom w:val="nil"/>
              <w:right w:val="nil"/>
            </w:tcBorders>
            <w:shd w:val="clear" w:color="auto" w:fill="auto"/>
          </w:tcPr>
          <w:p w14:paraId="04AC8649"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OCE10</w:t>
            </w:r>
          </w:p>
        </w:tc>
        <w:tc>
          <w:tcPr>
            <w:tcW w:w="1062" w:type="pct"/>
            <w:tcBorders>
              <w:top w:val="nil"/>
              <w:left w:val="nil"/>
              <w:bottom w:val="nil"/>
              <w:right w:val="nil"/>
            </w:tcBorders>
            <w:shd w:val="clear" w:color="auto" w:fill="auto"/>
            <w:vAlign w:val="center"/>
          </w:tcPr>
          <w:p w14:paraId="69A856C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A166D07"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1.294</w:t>
            </w:r>
          </w:p>
        </w:tc>
        <w:tc>
          <w:tcPr>
            <w:tcW w:w="591" w:type="pct"/>
            <w:tcBorders>
              <w:top w:val="nil"/>
              <w:left w:val="nil"/>
              <w:bottom w:val="nil"/>
              <w:right w:val="nil"/>
            </w:tcBorders>
            <w:shd w:val="clear" w:color="auto" w:fill="auto"/>
            <w:vAlign w:val="bottom"/>
          </w:tcPr>
          <w:p w14:paraId="4961AA17"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.128</w:t>
            </w:r>
          </w:p>
        </w:tc>
        <w:tc>
          <w:tcPr>
            <w:tcW w:w="591" w:type="pct"/>
            <w:tcBorders>
              <w:top w:val="nil"/>
              <w:left w:val="nil"/>
              <w:bottom w:val="nil"/>
              <w:right w:val="nil"/>
            </w:tcBorders>
            <w:shd w:val="clear" w:color="auto" w:fill="auto"/>
            <w:vAlign w:val="bottom"/>
          </w:tcPr>
          <w:p w14:paraId="42C71AA2"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10.075</w:t>
            </w:r>
          </w:p>
        </w:tc>
        <w:tc>
          <w:tcPr>
            <w:tcW w:w="630" w:type="pct"/>
            <w:tcBorders>
              <w:top w:val="nil"/>
              <w:left w:val="nil"/>
              <w:bottom w:val="nil"/>
              <w:right w:val="nil"/>
            </w:tcBorders>
            <w:shd w:val="clear" w:color="auto" w:fill="auto"/>
          </w:tcPr>
          <w:p w14:paraId="6B55905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4C9045F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.757</w:t>
            </w:r>
          </w:p>
        </w:tc>
      </w:tr>
      <w:tr w:rsidR="007E1C2B" w:rsidRPr="0032506F" w14:paraId="1989A6FD" w14:textId="77777777" w:rsidTr="00791EF5">
        <w:trPr>
          <w:trHeight w:val="278"/>
        </w:trPr>
        <w:tc>
          <w:tcPr>
            <w:tcW w:w="733" w:type="pct"/>
            <w:tcBorders>
              <w:top w:val="nil"/>
              <w:left w:val="nil"/>
              <w:bottom w:val="nil"/>
              <w:right w:val="nil"/>
            </w:tcBorders>
            <w:shd w:val="clear" w:color="auto" w:fill="auto"/>
          </w:tcPr>
          <w:p w14:paraId="171B8AA5"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062" w:type="pct"/>
            <w:tcBorders>
              <w:top w:val="nil"/>
              <w:left w:val="nil"/>
              <w:bottom w:val="nil"/>
              <w:right w:val="nil"/>
            </w:tcBorders>
            <w:shd w:val="clear" w:color="auto" w:fill="auto"/>
            <w:vAlign w:val="center"/>
          </w:tcPr>
          <w:p w14:paraId="16A29DA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786F4F8"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1.126</w:t>
            </w:r>
          </w:p>
        </w:tc>
        <w:tc>
          <w:tcPr>
            <w:tcW w:w="591" w:type="pct"/>
            <w:tcBorders>
              <w:top w:val="nil"/>
              <w:left w:val="nil"/>
              <w:bottom w:val="nil"/>
              <w:right w:val="nil"/>
            </w:tcBorders>
            <w:shd w:val="clear" w:color="auto" w:fill="auto"/>
            <w:vAlign w:val="bottom"/>
          </w:tcPr>
          <w:p w14:paraId="0F70BE1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.110</w:t>
            </w:r>
          </w:p>
        </w:tc>
        <w:tc>
          <w:tcPr>
            <w:tcW w:w="591" w:type="pct"/>
            <w:tcBorders>
              <w:top w:val="nil"/>
              <w:left w:val="nil"/>
              <w:bottom w:val="nil"/>
              <w:right w:val="nil"/>
            </w:tcBorders>
            <w:shd w:val="clear" w:color="auto" w:fill="auto"/>
            <w:vAlign w:val="bottom"/>
          </w:tcPr>
          <w:p w14:paraId="733A274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10.192</w:t>
            </w:r>
          </w:p>
        </w:tc>
        <w:tc>
          <w:tcPr>
            <w:tcW w:w="630" w:type="pct"/>
            <w:tcBorders>
              <w:top w:val="nil"/>
              <w:left w:val="nil"/>
              <w:bottom w:val="nil"/>
              <w:right w:val="nil"/>
            </w:tcBorders>
            <w:shd w:val="clear" w:color="auto" w:fill="auto"/>
          </w:tcPr>
          <w:p w14:paraId="19022A0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0313615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.768</w:t>
            </w:r>
          </w:p>
        </w:tc>
      </w:tr>
      <w:tr w:rsidR="007E1C2B" w:rsidRPr="0032506F" w14:paraId="77DF0575" w14:textId="77777777" w:rsidTr="00791EF5">
        <w:trPr>
          <w:trHeight w:val="278"/>
        </w:trPr>
        <w:tc>
          <w:tcPr>
            <w:tcW w:w="733" w:type="pct"/>
            <w:tcBorders>
              <w:top w:val="nil"/>
              <w:left w:val="nil"/>
              <w:bottom w:val="nil"/>
              <w:right w:val="nil"/>
            </w:tcBorders>
            <w:shd w:val="clear" w:color="auto" w:fill="auto"/>
          </w:tcPr>
          <w:p w14:paraId="50D7F8BA"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062" w:type="pct"/>
            <w:tcBorders>
              <w:top w:val="nil"/>
              <w:left w:val="nil"/>
              <w:bottom w:val="nil"/>
              <w:right w:val="nil"/>
            </w:tcBorders>
            <w:shd w:val="clear" w:color="auto" w:fill="auto"/>
            <w:vAlign w:val="center"/>
          </w:tcPr>
          <w:p w14:paraId="086DC6A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6698D70"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.836</w:t>
            </w:r>
          </w:p>
        </w:tc>
        <w:tc>
          <w:tcPr>
            <w:tcW w:w="591" w:type="pct"/>
            <w:tcBorders>
              <w:top w:val="nil"/>
              <w:left w:val="nil"/>
              <w:bottom w:val="nil"/>
              <w:right w:val="nil"/>
            </w:tcBorders>
            <w:shd w:val="clear" w:color="auto" w:fill="auto"/>
            <w:vAlign w:val="bottom"/>
          </w:tcPr>
          <w:p w14:paraId="4A63ED0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.086</w:t>
            </w:r>
          </w:p>
        </w:tc>
        <w:tc>
          <w:tcPr>
            <w:tcW w:w="591" w:type="pct"/>
            <w:tcBorders>
              <w:top w:val="nil"/>
              <w:left w:val="nil"/>
              <w:bottom w:val="nil"/>
              <w:right w:val="nil"/>
            </w:tcBorders>
            <w:shd w:val="clear" w:color="auto" w:fill="auto"/>
            <w:vAlign w:val="bottom"/>
          </w:tcPr>
          <w:p w14:paraId="768A3D86"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9.757</w:t>
            </w:r>
          </w:p>
        </w:tc>
        <w:tc>
          <w:tcPr>
            <w:tcW w:w="630" w:type="pct"/>
            <w:tcBorders>
              <w:top w:val="nil"/>
              <w:left w:val="nil"/>
              <w:bottom w:val="nil"/>
              <w:right w:val="nil"/>
            </w:tcBorders>
            <w:shd w:val="clear" w:color="auto" w:fill="auto"/>
          </w:tcPr>
          <w:p w14:paraId="30673F2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03EEB694"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.728</w:t>
            </w:r>
          </w:p>
        </w:tc>
      </w:tr>
      <w:tr w:rsidR="007E1C2B" w:rsidRPr="0032506F" w14:paraId="1866DBCB" w14:textId="77777777" w:rsidTr="00791EF5">
        <w:trPr>
          <w:trHeight w:val="278"/>
        </w:trPr>
        <w:tc>
          <w:tcPr>
            <w:tcW w:w="733" w:type="pct"/>
            <w:tcBorders>
              <w:top w:val="nil"/>
              <w:left w:val="nil"/>
              <w:bottom w:val="nil"/>
              <w:right w:val="nil"/>
            </w:tcBorders>
            <w:shd w:val="clear" w:color="auto" w:fill="auto"/>
          </w:tcPr>
          <w:p w14:paraId="41E15476"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062" w:type="pct"/>
            <w:tcBorders>
              <w:top w:val="nil"/>
              <w:left w:val="nil"/>
              <w:bottom w:val="nil"/>
              <w:right w:val="nil"/>
            </w:tcBorders>
            <w:shd w:val="clear" w:color="auto" w:fill="auto"/>
            <w:vAlign w:val="center"/>
          </w:tcPr>
          <w:p w14:paraId="7C720F8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3ECB8883"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.880</w:t>
            </w:r>
          </w:p>
        </w:tc>
        <w:tc>
          <w:tcPr>
            <w:tcW w:w="591" w:type="pct"/>
            <w:tcBorders>
              <w:top w:val="nil"/>
              <w:left w:val="nil"/>
              <w:bottom w:val="nil"/>
              <w:right w:val="nil"/>
            </w:tcBorders>
            <w:shd w:val="clear" w:color="auto" w:fill="auto"/>
            <w:vAlign w:val="bottom"/>
          </w:tcPr>
          <w:p w14:paraId="2140DFD6"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.101</w:t>
            </w:r>
          </w:p>
        </w:tc>
        <w:tc>
          <w:tcPr>
            <w:tcW w:w="591" w:type="pct"/>
            <w:tcBorders>
              <w:top w:val="nil"/>
              <w:left w:val="nil"/>
              <w:bottom w:val="nil"/>
              <w:right w:val="nil"/>
            </w:tcBorders>
            <w:shd w:val="clear" w:color="auto" w:fill="auto"/>
            <w:vAlign w:val="bottom"/>
          </w:tcPr>
          <w:p w14:paraId="50D7CAD7"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8.667</w:t>
            </w:r>
          </w:p>
        </w:tc>
        <w:tc>
          <w:tcPr>
            <w:tcW w:w="630" w:type="pct"/>
            <w:tcBorders>
              <w:top w:val="nil"/>
              <w:left w:val="nil"/>
              <w:bottom w:val="nil"/>
              <w:right w:val="nil"/>
            </w:tcBorders>
            <w:shd w:val="clear" w:color="auto" w:fill="auto"/>
          </w:tcPr>
          <w:p w14:paraId="018D797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2B7A9304"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.633</w:t>
            </w:r>
          </w:p>
        </w:tc>
      </w:tr>
      <w:tr w:rsidR="007E1C2B" w:rsidRPr="0032506F" w14:paraId="58A3EAE6" w14:textId="77777777" w:rsidTr="00791EF5">
        <w:trPr>
          <w:trHeight w:val="278"/>
        </w:trPr>
        <w:tc>
          <w:tcPr>
            <w:tcW w:w="733" w:type="pct"/>
            <w:tcBorders>
              <w:top w:val="nil"/>
              <w:left w:val="nil"/>
              <w:bottom w:val="nil"/>
              <w:right w:val="nil"/>
            </w:tcBorders>
            <w:shd w:val="clear" w:color="auto" w:fill="auto"/>
          </w:tcPr>
          <w:p w14:paraId="3D0AC9D5"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062" w:type="pct"/>
            <w:tcBorders>
              <w:top w:val="nil"/>
              <w:left w:val="nil"/>
              <w:bottom w:val="nil"/>
              <w:right w:val="nil"/>
            </w:tcBorders>
            <w:shd w:val="clear" w:color="auto" w:fill="auto"/>
            <w:vAlign w:val="center"/>
          </w:tcPr>
          <w:p w14:paraId="61EDD2B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BB9D95F"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1.023</w:t>
            </w:r>
          </w:p>
        </w:tc>
        <w:tc>
          <w:tcPr>
            <w:tcW w:w="591" w:type="pct"/>
            <w:tcBorders>
              <w:top w:val="nil"/>
              <w:left w:val="nil"/>
              <w:bottom w:val="nil"/>
              <w:right w:val="nil"/>
            </w:tcBorders>
            <w:shd w:val="clear" w:color="auto" w:fill="auto"/>
            <w:vAlign w:val="bottom"/>
          </w:tcPr>
          <w:p w14:paraId="23D50D5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.094</w:t>
            </w:r>
          </w:p>
        </w:tc>
        <w:tc>
          <w:tcPr>
            <w:tcW w:w="591" w:type="pct"/>
            <w:tcBorders>
              <w:top w:val="nil"/>
              <w:left w:val="nil"/>
              <w:bottom w:val="nil"/>
              <w:right w:val="nil"/>
            </w:tcBorders>
            <w:shd w:val="clear" w:color="auto" w:fill="auto"/>
            <w:vAlign w:val="bottom"/>
          </w:tcPr>
          <w:p w14:paraId="3F6EB2B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10.932</w:t>
            </w:r>
          </w:p>
        </w:tc>
        <w:tc>
          <w:tcPr>
            <w:tcW w:w="630" w:type="pct"/>
            <w:tcBorders>
              <w:top w:val="nil"/>
              <w:left w:val="nil"/>
              <w:bottom w:val="nil"/>
              <w:right w:val="nil"/>
            </w:tcBorders>
            <w:shd w:val="clear" w:color="auto" w:fill="auto"/>
          </w:tcPr>
          <w:p w14:paraId="14CB72C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5BFECA4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.840</w:t>
            </w:r>
          </w:p>
        </w:tc>
      </w:tr>
      <w:tr w:rsidR="007E1C2B" w:rsidRPr="0032506F" w14:paraId="6CE20229" w14:textId="77777777" w:rsidTr="00791EF5">
        <w:trPr>
          <w:trHeight w:val="278"/>
        </w:trPr>
        <w:tc>
          <w:tcPr>
            <w:tcW w:w="733" w:type="pct"/>
            <w:tcBorders>
              <w:top w:val="nil"/>
              <w:left w:val="nil"/>
              <w:bottom w:val="nil"/>
              <w:right w:val="nil"/>
            </w:tcBorders>
            <w:shd w:val="clear" w:color="auto" w:fill="auto"/>
          </w:tcPr>
          <w:p w14:paraId="23776E38"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062" w:type="pct"/>
            <w:tcBorders>
              <w:top w:val="nil"/>
              <w:left w:val="nil"/>
              <w:bottom w:val="nil"/>
              <w:right w:val="nil"/>
            </w:tcBorders>
            <w:shd w:val="clear" w:color="auto" w:fill="auto"/>
            <w:vAlign w:val="center"/>
          </w:tcPr>
          <w:p w14:paraId="37CC2D1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2EE9AD09"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.956</w:t>
            </w:r>
          </w:p>
        </w:tc>
        <w:tc>
          <w:tcPr>
            <w:tcW w:w="591" w:type="pct"/>
            <w:tcBorders>
              <w:top w:val="nil"/>
              <w:left w:val="nil"/>
              <w:bottom w:val="nil"/>
              <w:right w:val="nil"/>
            </w:tcBorders>
            <w:shd w:val="clear" w:color="auto" w:fill="auto"/>
            <w:vAlign w:val="bottom"/>
          </w:tcPr>
          <w:p w14:paraId="559FED2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.108</w:t>
            </w:r>
          </w:p>
        </w:tc>
        <w:tc>
          <w:tcPr>
            <w:tcW w:w="591" w:type="pct"/>
            <w:tcBorders>
              <w:top w:val="nil"/>
              <w:left w:val="nil"/>
              <w:bottom w:val="nil"/>
              <w:right w:val="nil"/>
            </w:tcBorders>
            <w:shd w:val="clear" w:color="auto" w:fill="auto"/>
            <w:vAlign w:val="bottom"/>
          </w:tcPr>
          <w:p w14:paraId="735A3541"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8.842</w:t>
            </w:r>
          </w:p>
        </w:tc>
        <w:tc>
          <w:tcPr>
            <w:tcW w:w="630" w:type="pct"/>
            <w:tcBorders>
              <w:top w:val="nil"/>
              <w:left w:val="nil"/>
              <w:bottom w:val="nil"/>
              <w:right w:val="nil"/>
            </w:tcBorders>
            <w:shd w:val="clear" w:color="auto" w:fill="auto"/>
          </w:tcPr>
          <w:p w14:paraId="66B9E60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04B9F46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.648</w:t>
            </w:r>
          </w:p>
        </w:tc>
      </w:tr>
      <w:tr w:rsidR="007E1C2B" w:rsidRPr="0032506F" w14:paraId="0A95DCAF" w14:textId="77777777" w:rsidTr="00791EF5">
        <w:trPr>
          <w:trHeight w:val="278"/>
        </w:trPr>
        <w:tc>
          <w:tcPr>
            <w:tcW w:w="733" w:type="pct"/>
            <w:tcBorders>
              <w:top w:val="nil"/>
              <w:left w:val="nil"/>
              <w:bottom w:val="single" w:sz="4" w:space="0" w:color="auto"/>
              <w:right w:val="nil"/>
            </w:tcBorders>
            <w:shd w:val="clear" w:color="auto" w:fill="auto"/>
          </w:tcPr>
          <w:p w14:paraId="3579CA91"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062" w:type="pct"/>
            <w:tcBorders>
              <w:top w:val="nil"/>
              <w:left w:val="nil"/>
              <w:bottom w:val="single" w:sz="4" w:space="0" w:color="auto"/>
              <w:right w:val="nil"/>
            </w:tcBorders>
            <w:shd w:val="clear" w:color="auto" w:fill="auto"/>
            <w:vAlign w:val="center"/>
          </w:tcPr>
          <w:p w14:paraId="1C5CF74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single" w:sz="4" w:space="0" w:color="auto"/>
              <w:right w:val="nil"/>
            </w:tcBorders>
            <w:shd w:val="clear" w:color="auto" w:fill="auto"/>
            <w:vAlign w:val="bottom"/>
          </w:tcPr>
          <w:p w14:paraId="3586B655"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.941</w:t>
            </w:r>
          </w:p>
        </w:tc>
        <w:tc>
          <w:tcPr>
            <w:tcW w:w="591" w:type="pct"/>
            <w:tcBorders>
              <w:top w:val="nil"/>
              <w:left w:val="nil"/>
              <w:bottom w:val="single" w:sz="4" w:space="0" w:color="auto"/>
              <w:right w:val="nil"/>
            </w:tcBorders>
            <w:shd w:val="clear" w:color="auto" w:fill="auto"/>
            <w:vAlign w:val="bottom"/>
          </w:tcPr>
          <w:p w14:paraId="0C0DB16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.101</w:t>
            </w:r>
          </w:p>
        </w:tc>
        <w:tc>
          <w:tcPr>
            <w:tcW w:w="591" w:type="pct"/>
            <w:tcBorders>
              <w:top w:val="nil"/>
              <w:left w:val="nil"/>
              <w:bottom w:val="single" w:sz="4" w:space="0" w:color="auto"/>
              <w:right w:val="nil"/>
            </w:tcBorders>
            <w:shd w:val="clear" w:color="auto" w:fill="auto"/>
            <w:vAlign w:val="bottom"/>
          </w:tcPr>
          <w:p w14:paraId="045C4E36"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9.290</w:t>
            </w:r>
          </w:p>
        </w:tc>
        <w:tc>
          <w:tcPr>
            <w:tcW w:w="630" w:type="pct"/>
            <w:tcBorders>
              <w:top w:val="nil"/>
              <w:left w:val="nil"/>
              <w:bottom w:val="single" w:sz="4" w:space="0" w:color="auto"/>
              <w:right w:val="nil"/>
            </w:tcBorders>
            <w:shd w:val="clear" w:color="auto" w:fill="auto"/>
          </w:tcPr>
          <w:p w14:paraId="6431162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single" w:sz="4" w:space="0" w:color="auto"/>
              <w:right w:val="nil"/>
            </w:tcBorders>
          </w:tcPr>
          <w:p w14:paraId="4A2BBA4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.687</w:t>
            </w:r>
          </w:p>
        </w:tc>
      </w:tr>
    </w:tbl>
    <w:bookmarkEnd w:id="99"/>
    <w:p w14:paraId="323FE377" w14:textId="77777777" w:rsidR="007E1C2B" w:rsidRPr="0032506F" w:rsidRDefault="007E1C2B" w:rsidP="007E1C2B">
      <w:pPr>
        <w:spacing w:after="0" w:line="480" w:lineRule="auto"/>
        <w:rPr>
          <w:rFonts w:ascii="Times New Roman" w:hAnsi="Times New Roman" w:cs="Times New Roman"/>
          <w:sz w:val="24"/>
          <w:szCs w:val="24"/>
        </w:rPr>
      </w:pPr>
      <w:r w:rsidRPr="0032506F">
        <w:rPr>
          <w:rFonts w:ascii="Times New Roman" w:eastAsia="Times New Roman" w:hAnsi="Times New Roman" w:cs="Times New Roman"/>
          <w:i/>
          <w:sz w:val="24"/>
          <w:szCs w:val="24"/>
          <w:lang w:eastAsia="tr-TR"/>
        </w:rPr>
        <w:t xml:space="preserve">Note: </w:t>
      </w:r>
      <w:r w:rsidRPr="0032506F">
        <w:rPr>
          <w:rFonts w:ascii="Times New Roman" w:eastAsia="Times New Roman" w:hAnsi="Times New Roman" w:cs="Times New Roman"/>
          <w:sz w:val="24"/>
          <w:szCs w:val="24"/>
          <w:lang w:eastAsia="tr-TR"/>
        </w:rPr>
        <w:t>B=Unstandardized, S.E.=Standard Error, C.R.=Critical Ratio, β=Standardized</w:t>
      </w:r>
    </w:p>
    <w:p w14:paraId="5806276B" w14:textId="77777777" w:rsidR="007E1C2B" w:rsidRPr="0032506F" w:rsidRDefault="007E1C2B" w:rsidP="007E1C2B">
      <w:pPr>
        <w:spacing w:after="0" w:line="480" w:lineRule="auto"/>
        <w:rPr>
          <w:rFonts w:ascii="Times New Roman" w:eastAsia="SimSun" w:hAnsi="Times New Roman" w:cs="Times New Roman"/>
          <w:b/>
          <w:bCs/>
          <w:sz w:val="24"/>
          <w:szCs w:val="24"/>
        </w:rPr>
        <w:sectPr w:rsidR="007E1C2B" w:rsidRPr="0032506F" w:rsidSect="009C07A6">
          <w:pgSz w:w="12240" w:h="15840"/>
          <w:pgMar w:top="1440" w:right="1440" w:bottom="1440" w:left="1440" w:header="720" w:footer="720" w:gutter="0"/>
          <w:cols w:space="720"/>
          <w:docGrid w:linePitch="360"/>
        </w:sectPr>
      </w:pPr>
      <w:bookmarkStart w:id="104" w:name="_Hlk92205831"/>
      <w:bookmarkEnd w:id="100"/>
    </w:p>
    <w:p w14:paraId="7F230FE1" w14:textId="063AF4E7" w:rsidR="007E1C2B" w:rsidRPr="0032506F" w:rsidRDefault="007E1C2B" w:rsidP="007E1C2B">
      <w:pPr>
        <w:spacing w:after="0" w:line="480" w:lineRule="auto"/>
        <w:rPr>
          <w:rFonts w:ascii="Times New Roman" w:eastAsia="SimSun" w:hAnsi="Times New Roman" w:cs="Times New Roman"/>
          <w:b/>
          <w:bCs/>
          <w:sz w:val="24"/>
          <w:szCs w:val="24"/>
        </w:rPr>
      </w:pPr>
      <w:bookmarkStart w:id="105" w:name="Table414"/>
      <w:bookmarkStart w:id="106" w:name="Table42"/>
      <w:r w:rsidRPr="0032506F">
        <w:rPr>
          <w:rFonts w:ascii="Times New Roman" w:eastAsia="SimSun" w:hAnsi="Times New Roman" w:cs="Times New Roman"/>
          <w:b/>
          <w:bCs/>
          <w:sz w:val="24"/>
          <w:szCs w:val="24"/>
        </w:rPr>
        <w:lastRenderedPageBreak/>
        <w:t>Table 4.</w:t>
      </w:r>
      <w:r w:rsidR="00346C84">
        <w:rPr>
          <w:rFonts w:ascii="Times New Roman" w:eastAsia="SimSun" w:hAnsi="Times New Roman" w:cs="Times New Roman"/>
          <w:b/>
          <w:bCs/>
          <w:sz w:val="24"/>
          <w:szCs w:val="24"/>
        </w:rPr>
        <w:t>2</w:t>
      </w:r>
    </w:p>
    <w:bookmarkEnd w:id="105"/>
    <w:bookmarkEnd w:id="106"/>
    <w:p w14:paraId="7F252D09"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Unstandardized Factor Loadings with Bias-Corrected 95 % Confidence Intervals (N=235)</w:t>
      </w:r>
    </w:p>
    <w:tbl>
      <w:tblPr>
        <w:tblW w:w="4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6"/>
        <w:gridCol w:w="1995"/>
        <w:gridCol w:w="1433"/>
        <w:gridCol w:w="1110"/>
        <w:gridCol w:w="1110"/>
        <w:gridCol w:w="1183"/>
      </w:tblGrid>
      <w:tr w:rsidR="007E1C2B" w:rsidRPr="0032506F" w14:paraId="4AEEFF15" w14:textId="77777777" w:rsidTr="00791EF5">
        <w:trPr>
          <w:trHeight w:val="300"/>
        </w:trPr>
        <w:tc>
          <w:tcPr>
            <w:tcW w:w="838" w:type="pct"/>
            <w:tcBorders>
              <w:top w:val="single" w:sz="4" w:space="0" w:color="auto"/>
              <w:left w:val="nil"/>
              <w:bottom w:val="single" w:sz="4" w:space="0" w:color="auto"/>
              <w:right w:val="nil"/>
            </w:tcBorders>
            <w:shd w:val="clear" w:color="auto" w:fill="auto"/>
            <w:vAlign w:val="center"/>
            <w:hideMark/>
          </w:tcPr>
          <w:p w14:paraId="503DADAD"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215" w:type="pct"/>
            <w:tcBorders>
              <w:top w:val="single" w:sz="4" w:space="0" w:color="auto"/>
              <w:left w:val="nil"/>
              <w:bottom w:val="single" w:sz="4" w:space="0" w:color="auto"/>
              <w:right w:val="nil"/>
            </w:tcBorders>
            <w:shd w:val="clear" w:color="auto" w:fill="auto"/>
            <w:vAlign w:val="center"/>
            <w:hideMark/>
          </w:tcPr>
          <w:p w14:paraId="693CA5FA"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873" w:type="pct"/>
            <w:tcBorders>
              <w:top w:val="single" w:sz="4" w:space="0" w:color="auto"/>
              <w:left w:val="nil"/>
              <w:bottom w:val="single" w:sz="4" w:space="0" w:color="auto"/>
              <w:right w:val="nil"/>
            </w:tcBorders>
            <w:shd w:val="clear" w:color="auto" w:fill="auto"/>
            <w:vAlign w:val="center"/>
            <w:hideMark/>
          </w:tcPr>
          <w:p w14:paraId="56B869BF"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Estimate</w:t>
            </w:r>
          </w:p>
        </w:tc>
        <w:tc>
          <w:tcPr>
            <w:tcW w:w="676" w:type="pct"/>
            <w:tcBorders>
              <w:top w:val="single" w:sz="4" w:space="0" w:color="auto"/>
              <w:left w:val="nil"/>
              <w:bottom w:val="single" w:sz="4" w:space="0" w:color="auto"/>
              <w:right w:val="nil"/>
            </w:tcBorders>
            <w:shd w:val="clear" w:color="auto" w:fill="auto"/>
            <w:vAlign w:val="center"/>
            <w:hideMark/>
          </w:tcPr>
          <w:p w14:paraId="7BBD9CE0"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Lower</w:t>
            </w:r>
          </w:p>
        </w:tc>
        <w:tc>
          <w:tcPr>
            <w:tcW w:w="676" w:type="pct"/>
            <w:tcBorders>
              <w:top w:val="single" w:sz="4" w:space="0" w:color="auto"/>
              <w:left w:val="nil"/>
              <w:bottom w:val="single" w:sz="4" w:space="0" w:color="auto"/>
              <w:right w:val="nil"/>
            </w:tcBorders>
            <w:shd w:val="clear" w:color="auto" w:fill="auto"/>
            <w:vAlign w:val="center"/>
            <w:hideMark/>
          </w:tcPr>
          <w:p w14:paraId="34382B12"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Upper</w:t>
            </w:r>
          </w:p>
        </w:tc>
        <w:tc>
          <w:tcPr>
            <w:tcW w:w="721" w:type="pct"/>
            <w:tcBorders>
              <w:top w:val="single" w:sz="4" w:space="0" w:color="auto"/>
              <w:left w:val="nil"/>
              <w:bottom w:val="single" w:sz="4" w:space="0" w:color="auto"/>
              <w:right w:val="nil"/>
            </w:tcBorders>
            <w:shd w:val="clear" w:color="auto" w:fill="auto"/>
            <w:vAlign w:val="center"/>
            <w:hideMark/>
          </w:tcPr>
          <w:p w14:paraId="69D92861"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 xml:space="preserve">    P</w:t>
            </w:r>
          </w:p>
        </w:tc>
      </w:tr>
      <w:tr w:rsidR="007E1C2B" w:rsidRPr="0032506F" w14:paraId="416DFC84" w14:textId="77777777" w:rsidTr="00791EF5">
        <w:trPr>
          <w:trHeight w:val="233"/>
        </w:trPr>
        <w:tc>
          <w:tcPr>
            <w:tcW w:w="838" w:type="pct"/>
            <w:tcBorders>
              <w:top w:val="single" w:sz="4" w:space="0" w:color="auto"/>
              <w:left w:val="nil"/>
              <w:bottom w:val="nil"/>
              <w:right w:val="nil"/>
            </w:tcBorders>
            <w:shd w:val="clear" w:color="auto" w:fill="auto"/>
            <w:vAlign w:val="center"/>
          </w:tcPr>
          <w:p w14:paraId="4DBCAD6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215" w:type="pct"/>
            <w:tcBorders>
              <w:top w:val="single" w:sz="4" w:space="0" w:color="auto"/>
              <w:left w:val="nil"/>
              <w:bottom w:val="nil"/>
              <w:right w:val="nil"/>
            </w:tcBorders>
            <w:shd w:val="clear" w:color="auto" w:fill="auto"/>
            <w:vAlign w:val="center"/>
          </w:tcPr>
          <w:p w14:paraId="5A55546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single" w:sz="4" w:space="0" w:color="auto"/>
              <w:left w:val="nil"/>
              <w:bottom w:val="nil"/>
              <w:right w:val="nil"/>
            </w:tcBorders>
            <w:shd w:val="clear" w:color="auto" w:fill="auto"/>
          </w:tcPr>
          <w:p w14:paraId="1693192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single" w:sz="4" w:space="0" w:color="auto"/>
              <w:left w:val="nil"/>
              <w:bottom w:val="nil"/>
              <w:right w:val="nil"/>
            </w:tcBorders>
            <w:shd w:val="clear" w:color="auto" w:fill="auto"/>
          </w:tcPr>
          <w:p w14:paraId="2437E58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single" w:sz="4" w:space="0" w:color="auto"/>
              <w:left w:val="nil"/>
              <w:bottom w:val="nil"/>
              <w:right w:val="nil"/>
            </w:tcBorders>
            <w:shd w:val="clear" w:color="auto" w:fill="auto"/>
            <w:vAlign w:val="bottom"/>
          </w:tcPr>
          <w:p w14:paraId="0F6E0E8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single" w:sz="4" w:space="0" w:color="auto"/>
              <w:left w:val="nil"/>
              <w:bottom w:val="nil"/>
              <w:right w:val="nil"/>
            </w:tcBorders>
            <w:shd w:val="clear" w:color="auto" w:fill="auto"/>
            <w:vAlign w:val="center"/>
          </w:tcPr>
          <w:p w14:paraId="0C30A67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7E1C2B" w:rsidRPr="0032506F" w14:paraId="717AA52D" w14:textId="77777777" w:rsidTr="00791EF5">
        <w:trPr>
          <w:trHeight w:val="170"/>
        </w:trPr>
        <w:tc>
          <w:tcPr>
            <w:tcW w:w="838" w:type="pct"/>
            <w:tcBorders>
              <w:top w:val="nil"/>
              <w:left w:val="nil"/>
              <w:bottom w:val="nil"/>
              <w:right w:val="nil"/>
            </w:tcBorders>
            <w:shd w:val="clear" w:color="auto" w:fill="auto"/>
          </w:tcPr>
          <w:p w14:paraId="337D280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215" w:type="pct"/>
            <w:tcBorders>
              <w:top w:val="nil"/>
              <w:left w:val="nil"/>
              <w:bottom w:val="nil"/>
              <w:right w:val="nil"/>
            </w:tcBorders>
            <w:shd w:val="clear" w:color="auto" w:fill="auto"/>
            <w:vAlign w:val="center"/>
          </w:tcPr>
          <w:p w14:paraId="6375406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43386AE"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1.394</w:t>
            </w:r>
          </w:p>
        </w:tc>
        <w:tc>
          <w:tcPr>
            <w:tcW w:w="676" w:type="pct"/>
            <w:tcBorders>
              <w:top w:val="nil"/>
              <w:left w:val="nil"/>
              <w:bottom w:val="nil"/>
              <w:right w:val="nil"/>
            </w:tcBorders>
            <w:shd w:val="clear" w:color="auto" w:fill="auto"/>
          </w:tcPr>
          <w:p w14:paraId="67C298F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.677</w:t>
            </w:r>
          </w:p>
        </w:tc>
        <w:tc>
          <w:tcPr>
            <w:tcW w:w="676" w:type="pct"/>
            <w:tcBorders>
              <w:top w:val="nil"/>
              <w:left w:val="nil"/>
              <w:bottom w:val="nil"/>
              <w:right w:val="nil"/>
            </w:tcBorders>
            <w:shd w:val="clear" w:color="auto" w:fill="auto"/>
            <w:vAlign w:val="bottom"/>
          </w:tcPr>
          <w:p w14:paraId="2F72970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4.094</w:t>
            </w:r>
          </w:p>
        </w:tc>
        <w:tc>
          <w:tcPr>
            <w:tcW w:w="721" w:type="pct"/>
            <w:tcBorders>
              <w:top w:val="nil"/>
              <w:left w:val="nil"/>
              <w:bottom w:val="nil"/>
              <w:right w:val="nil"/>
            </w:tcBorders>
            <w:shd w:val="clear" w:color="auto" w:fill="auto"/>
            <w:noWrap/>
            <w:vAlign w:val="bottom"/>
          </w:tcPr>
          <w:p w14:paraId="5A184E24"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7E22C0E6" w14:textId="77777777" w:rsidTr="00791EF5">
        <w:trPr>
          <w:trHeight w:val="296"/>
        </w:trPr>
        <w:tc>
          <w:tcPr>
            <w:tcW w:w="838" w:type="pct"/>
            <w:tcBorders>
              <w:top w:val="nil"/>
              <w:left w:val="nil"/>
              <w:bottom w:val="nil"/>
              <w:right w:val="nil"/>
            </w:tcBorders>
            <w:shd w:val="clear" w:color="auto" w:fill="auto"/>
          </w:tcPr>
          <w:p w14:paraId="091F90F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215" w:type="pct"/>
            <w:tcBorders>
              <w:top w:val="nil"/>
              <w:left w:val="nil"/>
              <w:bottom w:val="nil"/>
              <w:right w:val="nil"/>
            </w:tcBorders>
            <w:shd w:val="clear" w:color="auto" w:fill="auto"/>
            <w:vAlign w:val="center"/>
          </w:tcPr>
          <w:p w14:paraId="1B09BAB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5F4D980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1.685</w:t>
            </w:r>
          </w:p>
        </w:tc>
        <w:tc>
          <w:tcPr>
            <w:tcW w:w="676" w:type="pct"/>
            <w:tcBorders>
              <w:top w:val="nil"/>
              <w:left w:val="nil"/>
              <w:bottom w:val="nil"/>
              <w:right w:val="nil"/>
            </w:tcBorders>
            <w:shd w:val="clear" w:color="auto" w:fill="auto"/>
          </w:tcPr>
          <w:p w14:paraId="3ECF688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.931</w:t>
            </w:r>
          </w:p>
        </w:tc>
        <w:tc>
          <w:tcPr>
            <w:tcW w:w="676" w:type="pct"/>
            <w:tcBorders>
              <w:top w:val="nil"/>
              <w:left w:val="nil"/>
              <w:bottom w:val="nil"/>
              <w:right w:val="nil"/>
            </w:tcBorders>
            <w:shd w:val="clear" w:color="auto" w:fill="auto"/>
            <w:vAlign w:val="bottom"/>
          </w:tcPr>
          <w:p w14:paraId="35E96D7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4.807</w:t>
            </w:r>
          </w:p>
        </w:tc>
        <w:tc>
          <w:tcPr>
            <w:tcW w:w="721" w:type="pct"/>
            <w:tcBorders>
              <w:top w:val="nil"/>
              <w:left w:val="nil"/>
              <w:bottom w:val="nil"/>
              <w:right w:val="nil"/>
            </w:tcBorders>
            <w:shd w:val="clear" w:color="auto" w:fill="auto"/>
            <w:hideMark/>
          </w:tcPr>
          <w:p w14:paraId="57193C1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429F54E4" w14:textId="77777777" w:rsidTr="00791EF5">
        <w:trPr>
          <w:trHeight w:val="242"/>
        </w:trPr>
        <w:tc>
          <w:tcPr>
            <w:tcW w:w="838" w:type="pct"/>
            <w:tcBorders>
              <w:top w:val="nil"/>
              <w:left w:val="nil"/>
              <w:bottom w:val="nil"/>
              <w:right w:val="nil"/>
            </w:tcBorders>
            <w:shd w:val="clear" w:color="auto" w:fill="auto"/>
          </w:tcPr>
          <w:p w14:paraId="164F3E8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215" w:type="pct"/>
            <w:tcBorders>
              <w:top w:val="nil"/>
              <w:left w:val="nil"/>
              <w:bottom w:val="nil"/>
              <w:right w:val="nil"/>
            </w:tcBorders>
            <w:shd w:val="clear" w:color="auto" w:fill="auto"/>
            <w:vAlign w:val="center"/>
          </w:tcPr>
          <w:p w14:paraId="791D939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7EB3A83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1.224</w:t>
            </w:r>
          </w:p>
        </w:tc>
        <w:tc>
          <w:tcPr>
            <w:tcW w:w="676" w:type="pct"/>
            <w:tcBorders>
              <w:top w:val="nil"/>
              <w:left w:val="nil"/>
              <w:bottom w:val="nil"/>
              <w:right w:val="nil"/>
            </w:tcBorders>
            <w:shd w:val="clear" w:color="auto" w:fill="auto"/>
          </w:tcPr>
          <w:p w14:paraId="4D497E8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.950</w:t>
            </w:r>
          </w:p>
        </w:tc>
        <w:tc>
          <w:tcPr>
            <w:tcW w:w="676" w:type="pct"/>
            <w:tcBorders>
              <w:top w:val="nil"/>
              <w:left w:val="nil"/>
              <w:bottom w:val="nil"/>
              <w:right w:val="nil"/>
            </w:tcBorders>
            <w:shd w:val="clear" w:color="auto" w:fill="auto"/>
            <w:vAlign w:val="bottom"/>
          </w:tcPr>
          <w:p w14:paraId="1787E99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1.606</w:t>
            </w:r>
          </w:p>
        </w:tc>
        <w:tc>
          <w:tcPr>
            <w:tcW w:w="721" w:type="pct"/>
            <w:tcBorders>
              <w:top w:val="nil"/>
              <w:left w:val="nil"/>
              <w:bottom w:val="nil"/>
              <w:right w:val="nil"/>
            </w:tcBorders>
            <w:shd w:val="clear" w:color="auto" w:fill="auto"/>
            <w:hideMark/>
          </w:tcPr>
          <w:p w14:paraId="5418486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.003</w:t>
            </w:r>
          </w:p>
        </w:tc>
      </w:tr>
      <w:tr w:rsidR="007E1C2B" w:rsidRPr="0032506F" w14:paraId="354195CA" w14:textId="77777777" w:rsidTr="00791EF5">
        <w:trPr>
          <w:trHeight w:val="233"/>
        </w:trPr>
        <w:tc>
          <w:tcPr>
            <w:tcW w:w="838" w:type="pct"/>
            <w:tcBorders>
              <w:top w:val="nil"/>
              <w:left w:val="nil"/>
              <w:bottom w:val="nil"/>
              <w:right w:val="nil"/>
            </w:tcBorders>
            <w:shd w:val="clear" w:color="auto" w:fill="auto"/>
          </w:tcPr>
          <w:p w14:paraId="758879C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215" w:type="pct"/>
            <w:tcBorders>
              <w:top w:val="nil"/>
              <w:left w:val="nil"/>
              <w:bottom w:val="nil"/>
              <w:right w:val="nil"/>
            </w:tcBorders>
            <w:shd w:val="clear" w:color="auto" w:fill="auto"/>
            <w:vAlign w:val="center"/>
          </w:tcPr>
          <w:p w14:paraId="0FB3D38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tcPr>
          <w:p w14:paraId="00C6C9F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676" w:type="pct"/>
            <w:tcBorders>
              <w:top w:val="nil"/>
              <w:left w:val="nil"/>
              <w:bottom w:val="nil"/>
              <w:right w:val="nil"/>
            </w:tcBorders>
            <w:shd w:val="clear" w:color="auto" w:fill="auto"/>
          </w:tcPr>
          <w:p w14:paraId="653F067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nil"/>
              <w:left w:val="nil"/>
              <w:bottom w:val="nil"/>
              <w:right w:val="nil"/>
            </w:tcBorders>
            <w:shd w:val="clear" w:color="auto" w:fill="auto"/>
            <w:vAlign w:val="bottom"/>
          </w:tcPr>
          <w:p w14:paraId="3DE7AEC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nil"/>
              <w:left w:val="nil"/>
              <w:bottom w:val="nil"/>
              <w:right w:val="nil"/>
            </w:tcBorders>
            <w:shd w:val="clear" w:color="auto" w:fill="auto"/>
            <w:hideMark/>
          </w:tcPr>
          <w:p w14:paraId="7C28689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7E1C2B" w:rsidRPr="0032506F" w14:paraId="61CA8F99" w14:textId="77777777" w:rsidTr="00791EF5">
        <w:trPr>
          <w:trHeight w:val="206"/>
        </w:trPr>
        <w:tc>
          <w:tcPr>
            <w:tcW w:w="838" w:type="pct"/>
            <w:tcBorders>
              <w:top w:val="nil"/>
              <w:left w:val="nil"/>
              <w:bottom w:val="nil"/>
              <w:right w:val="nil"/>
            </w:tcBorders>
            <w:shd w:val="clear" w:color="auto" w:fill="auto"/>
            <w:vAlign w:val="center"/>
          </w:tcPr>
          <w:p w14:paraId="301C48E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215" w:type="pct"/>
            <w:tcBorders>
              <w:top w:val="nil"/>
              <w:left w:val="nil"/>
              <w:bottom w:val="nil"/>
              <w:right w:val="nil"/>
            </w:tcBorders>
            <w:shd w:val="clear" w:color="auto" w:fill="auto"/>
            <w:vAlign w:val="center"/>
          </w:tcPr>
          <w:p w14:paraId="48260D6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6DC09F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1.005</w:t>
            </w:r>
          </w:p>
        </w:tc>
        <w:tc>
          <w:tcPr>
            <w:tcW w:w="676" w:type="pct"/>
            <w:tcBorders>
              <w:top w:val="nil"/>
              <w:left w:val="nil"/>
              <w:bottom w:val="nil"/>
              <w:right w:val="nil"/>
            </w:tcBorders>
            <w:shd w:val="clear" w:color="auto" w:fill="auto"/>
          </w:tcPr>
          <w:p w14:paraId="72765C3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.894</w:t>
            </w:r>
          </w:p>
        </w:tc>
        <w:tc>
          <w:tcPr>
            <w:tcW w:w="676" w:type="pct"/>
            <w:tcBorders>
              <w:top w:val="nil"/>
              <w:left w:val="nil"/>
              <w:bottom w:val="nil"/>
              <w:right w:val="nil"/>
            </w:tcBorders>
            <w:shd w:val="clear" w:color="auto" w:fill="auto"/>
            <w:vAlign w:val="bottom"/>
          </w:tcPr>
          <w:p w14:paraId="41BD430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1.142</w:t>
            </w:r>
          </w:p>
        </w:tc>
        <w:tc>
          <w:tcPr>
            <w:tcW w:w="721" w:type="pct"/>
            <w:tcBorders>
              <w:top w:val="nil"/>
              <w:left w:val="nil"/>
              <w:bottom w:val="nil"/>
              <w:right w:val="nil"/>
            </w:tcBorders>
            <w:shd w:val="clear" w:color="auto" w:fill="auto"/>
            <w:noWrap/>
            <w:hideMark/>
          </w:tcPr>
          <w:p w14:paraId="14C1970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0E70A543" w14:textId="77777777" w:rsidTr="00791EF5">
        <w:trPr>
          <w:trHeight w:val="161"/>
        </w:trPr>
        <w:tc>
          <w:tcPr>
            <w:tcW w:w="838" w:type="pct"/>
            <w:tcBorders>
              <w:top w:val="nil"/>
              <w:left w:val="nil"/>
              <w:bottom w:val="nil"/>
              <w:right w:val="nil"/>
            </w:tcBorders>
            <w:shd w:val="clear" w:color="auto" w:fill="auto"/>
          </w:tcPr>
          <w:p w14:paraId="32F3CE0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215" w:type="pct"/>
            <w:tcBorders>
              <w:top w:val="nil"/>
              <w:left w:val="nil"/>
              <w:bottom w:val="nil"/>
              <w:right w:val="nil"/>
            </w:tcBorders>
            <w:shd w:val="clear" w:color="auto" w:fill="auto"/>
            <w:vAlign w:val="center"/>
            <w:hideMark/>
          </w:tcPr>
          <w:p w14:paraId="4E34B1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67807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.874</w:t>
            </w:r>
          </w:p>
        </w:tc>
        <w:tc>
          <w:tcPr>
            <w:tcW w:w="676" w:type="pct"/>
            <w:tcBorders>
              <w:top w:val="nil"/>
              <w:left w:val="nil"/>
              <w:bottom w:val="nil"/>
              <w:right w:val="nil"/>
            </w:tcBorders>
            <w:shd w:val="clear" w:color="auto" w:fill="auto"/>
          </w:tcPr>
          <w:p w14:paraId="55B254D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.769</w:t>
            </w:r>
          </w:p>
        </w:tc>
        <w:tc>
          <w:tcPr>
            <w:tcW w:w="676" w:type="pct"/>
            <w:tcBorders>
              <w:top w:val="nil"/>
              <w:left w:val="nil"/>
              <w:bottom w:val="nil"/>
              <w:right w:val="nil"/>
            </w:tcBorders>
            <w:shd w:val="clear" w:color="auto" w:fill="auto"/>
            <w:vAlign w:val="bottom"/>
          </w:tcPr>
          <w:p w14:paraId="356D5F8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1.001</w:t>
            </w:r>
          </w:p>
        </w:tc>
        <w:tc>
          <w:tcPr>
            <w:tcW w:w="721" w:type="pct"/>
            <w:tcBorders>
              <w:top w:val="nil"/>
              <w:left w:val="nil"/>
              <w:bottom w:val="nil"/>
              <w:right w:val="nil"/>
            </w:tcBorders>
            <w:shd w:val="clear" w:color="auto" w:fill="auto"/>
            <w:noWrap/>
            <w:hideMark/>
          </w:tcPr>
          <w:p w14:paraId="3FF7547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6D385AB0" w14:textId="77777777" w:rsidTr="00791EF5">
        <w:trPr>
          <w:trHeight w:val="278"/>
        </w:trPr>
        <w:tc>
          <w:tcPr>
            <w:tcW w:w="838" w:type="pct"/>
            <w:tcBorders>
              <w:top w:val="nil"/>
              <w:left w:val="nil"/>
              <w:bottom w:val="nil"/>
              <w:right w:val="nil"/>
            </w:tcBorders>
            <w:shd w:val="clear" w:color="auto" w:fill="auto"/>
          </w:tcPr>
          <w:p w14:paraId="1280C61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215" w:type="pct"/>
            <w:tcBorders>
              <w:top w:val="nil"/>
              <w:left w:val="nil"/>
              <w:bottom w:val="nil"/>
              <w:right w:val="nil"/>
            </w:tcBorders>
            <w:shd w:val="clear" w:color="auto" w:fill="auto"/>
            <w:vAlign w:val="center"/>
            <w:hideMark/>
          </w:tcPr>
          <w:p w14:paraId="713D516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867BFF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.994</w:t>
            </w:r>
          </w:p>
        </w:tc>
        <w:tc>
          <w:tcPr>
            <w:tcW w:w="676" w:type="pct"/>
            <w:tcBorders>
              <w:top w:val="nil"/>
              <w:left w:val="nil"/>
              <w:bottom w:val="nil"/>
              <w:right w:val="nil"/>
            </w:tcBorders>
            <w:shd w:val="clear" w:color="auto" w:fill="auto"/>
          </w:tcPr>
          <w:p w14:paraId="1F3C5CB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.888</w:t>
            </w:r>
          </w:p>
        </w:tc>
        <w:tc>
          <w:tcPr>
            <w:tcW w:w="676" w:type="pct"/>
            <w:tcBorders>
              <w:top w:val="nil"/>
              <w:left w:val="nil"/>
              <w:bottom w:val="nil"/>
              <w:right w:val="nil"/>
            </w:tcBorders>
            <w:shd w:val="clear" w:color="auto" w:fill="auto"/>
            <w:vAlign w:val="bottom"/>
          </w:tcPr>
          <w:p w14:paraId="69BEC21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1.109</w:t>
            </w:r>
          </w:p>
        </w:tc>
        <w:tc>
          <w:tcPr>
            <w:tcW w:w="721" w:type="pct"/>
            <w:tcBorders>
              <w:top w:val="nil"/>
              <w:left w:val="nil"/>
              <w:bottom w:val="nil"/>
              <w:right w:val="nil"/>
            </w:tcBorders>
            <w:shd w:val="clear" w:color="auto" w:fill="auto"/>
            <w:hideMark/>
          </w:tcPr>
          <w:p w14:paraId="5628906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6E2559EF" w14:textId="77777777" w:rsidTr="00791EF5">
        <w:trPr>
          <w:trHeight w:val="314"/>
        </w:trPr>
        <w:tc>
          <w:tcPr>
            <w:tcW w:w="838" w:type="pct"/>
            <w:tcBorders>
              <w:top w:val="nil"/>
              <w:left w:val="nil"/>
              <w:bottom w:val="nil"/>
              <w:right w:val="nil"/>
            </w:tcBorders>
            <w:shd w:val="clear" w:color="auto" w:fill="auto"/>
          </w:tcPr>
          <w:p w14:paraId="25FC16A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215" w:type="pct"/>
            <w:tcBorders>
              <w:top w:val="nil"/>
              <w:left w:val="nil"/>
              <w:bottom w:val="nil"/>
              <w:right w:val="nil"/>
            </w:tcBorders>
            <w:shd w:val="clear" w:color="auto" w:fill="auto"/>
            <w:vAlign w:val="center"/>
            <w:hideMark/>
          </w:tcPr>
          <w:p w14:paraId="52FD391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783107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.915</w:t>
            </w:r>
          </w:p>
        </w:tc>
        <w:tc>
          <w:tcPr>
            <w:tcW w:w="676" w:type="pct"/>
            <w:tcBorders>
              <w:top w:val="nil"/>
              <w:left w:val="nil"/>
              <w:bottom w:val="nil"/>
              <w:right w:val="nil"/>
            </w:tcBorders>
            <w:shd w:val="clear" w:color="auto" w:fill="auto"/>
          </w:tcPr>
          <w:p w14:paraId="5A1AEC5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.790</w:t>
            </w:r>
          </w:p>
        </w:tc>
        <w:tc>
          <w:tcPr>
            <w:tcW w:w="676" w:type="pct"/>
            <w:tcBorders>
              <w:top w:val="nil"/>
              <w:left w:val="nil"/>
              <w:bottom w:val="nil"/>
              <w:right w:val="nil"/>
            </w:tcBorders>
            <w:shd w:val="clear" w:color="auto" w:fill="auto"/>
            <w:vAlign w:val="bottom"/>
          </w:tcPr>
          <w:p w14:paraId="55EA646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1.059</w:t>
            </w:r>
          </w:p>
        </w:tc>
        <w:tc>
          <w:tcPr>
            <w:tcW w:w="721" w:type="pct"/>
            <w:tcBorders>
              <w:top w:val="nil"/>
              <w:left w:val="nil"/>
              <w:bottom w:val="nil"/>
              <w:right w:val="nil"/>
            </w:tcBorders>
            <w:shd w:val="clear" w:color="auto" w:fill="auto"/>
            <w:hideMark/>
          </w:tcPr>
          <w:p w14:paraId="1C1BB61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31E9BFD8" w14:textId="77777777" w:rsidTr="00791EF5">
        <w:trPr>
          <w:trHeight w:val="251"/>
        </w:trPr>
        <w:tc>
          <w:tcPr>
            <w:tcW w:w="838" w:type="pct"/>
            <w:tcBorders>
              <w:top w:val="nil"/>
              <w:left w:val="nil"/>
              <w:bottom w:val="nil"/>
              <w:right w:val="nil"/>
            </w:tcBorders>
            <w:shd w:val="clear" w:color="auto" w:fill="auto"/>
          </w:tcPr>
          <w:p w14:paraId="29F80DE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215" w:type="pct"/>
            <w:tcBorders>
              <w:top w:val="nil"/>
              <w:left w:val="nil"/>
              <w:bottom w:val="nil"/>
              <w:right w:val="nil"/>
            </w:tcBorders>
            <w:shd w:val="clear" w:color="auto" w:fill="auto"/>
            <w:vAlign w:val="center"/>
            <w:hideMark/>
          </w:tcPr>
          <w:p w14:paraId="2C3A15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4B68427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1.077</w:t>
            </w:r>
          </w:p>
        </w:tc>
        <w:tc>
          <w:tcPr>
            <w:tcW w:w="676" w:type="pct"/>
            <w:tcBorders>
              <w:top w:val="nil"/>
              <w:left w:val="nil"/>
              <w:bottom w:val="nil"/>
              <w:right w:val="nil"/>
            </w:tcBorders>
            <w:shd w:val="clear" w:color="auto" w:fill="auto"/>
          </w:tcPr>
          <w:p w14:paraId="79C9FA5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.969</w:t>
            </w:r>
          </w:p>
        </w:tc>
        <w:tc>
          <w:tcPr>
            <w:tcW w:w="676" w:type="pct"/>
            <w:tcBorders>
              <w:top w:val="nil"/>
              <w:left w:val="nil"/>
              <w:bottom w:val="nil"/>
              <w:right w:val="nil"/>
            </w:tcBorders>
            <w:shd w:val="clear" w:color="auto" w:fill="auto"/>
            <w:vAlign w:val="bottom"/>
          </w:tcPr>
          <w:p w14:paraId="549596C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1.226</w:t>
            </w:r>
          </w:p>
        </w:tc>
        <w:tc>
          <w:tcPr>
            <w:tcW w:w="721" w:type="pct"/>
            <w:tcBorders>
              <w:top w:val="nil"/>
              <w:left w:val="nil"/>
              <w:bottom w:val="nil"/>
              <w:right w:val="nil"/>
            </w:tcBorders>
            <w:shd w:val="clear" w:color="auto" w:fill="auto"/>
            <w:hideMark/>
          </w:tcPr>
          <w:p w14:paraId="09C6FD2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0C360AB4" w14:textId="77777777" w:rsidTr="00791EF5">
        <w:trPr>
          <w:trHeight w:val="197"/>
        </w:trPr>
        <w:tc>
          <w:tcPr>
            <w:tcW w:w="838" w:type="pct"/>
            <w:tcBorders>
              <w:top w:val="nil"/>
              <w:left w:val="nil"/>
              <w:bottom w:val="nil"/>
              <w:right w:val="nil"/>
            </w:tcBorders>
            <w:shd w:val="clear" w:color="auto" w:fill="auto"/>
          </w:tcPr>
          <w:p w14:paraId="6F7187A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215" w:type="pct"/>
            <w:tcBorders>
              <w:top w:val="nil"/>
              <w:left w:val="nil"/>
              <w:bottom w:val="nil"/>
              <w:right w:val="nil"/>
            </w:tcBorders>
            <w:shd w:val="clear" w:color="auto" w:fill="auto"/>
            <w:vAlign w:val="center"/>
            <w:hideMark/>
          </w:tcPr>
          <w:p w14:paraId="716ED94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4491718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.934</w:t>
            </w:r>
          </w:p>
        </w:tc>
        <w:tc>
          <w:tcPr>
            <w:tcW w:w="676" w:type="pct"/>
            <w:tcBorders>
              <w:top w:val="nil"/>
              <w:left w:val="nil"/>
              <w:bottom w:val="nil"/>
              <w:right w:val="nil"/>
            </w:tcBorders>
            <w:shd w:val="clear" w:color="auto" w:fill="auto"/>
          </w:tcPr>
          <w:p w14:paraId="1ABDE71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.836</w:t>
            </w:r>
          </w:p>
        </w:tc>
        <w:tc>
          <w:tcPr>
            <w:tcW w:w="676" w:type="pct"/>
            <w:tcBorders>
              <w:top w:val="nil"/>
              <w:left w:val="nil"/>
              <w:bottom w:val="nil"/>
              <w:right w:val="nil"/>
            </w:tcBorders>
            <w:shd w:val="clear" w:color="auto" w:fill="auto"/>
            <w:vAlign w:val="bottom"/>
          </w:tcPr>
          <w:p w14:paraId="0257586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1.029</w:t>
            </w:r>
          </w:p>
        </w:tc>
        <w:tc>
          <w:tcPr>
            <w:tcW w:w="721" w:type="pct"/>
            <w:tcBorders>
              <w:top w:val="nil"/>
              <w:left w:val="nil"/>
              <w:bottom w:val="nil"/>
              <w:right w:val="nil"/>
            </w:tcBorders>
            <w:shd w:val="clear" w:color="auto" w:fill="auto"/>
            <w:hideMark/>
          </w:tcPr>
          <w:p w14:paraId="6BE6B18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2471FE6C" w14:textId="77777777" w:rsidTr="00791EF5">
        <w:trPr>
          <w:trHeight w:val="233"/>
        </w:trPr>
        <w:tc>
          <w:tcPr>
            <w:tcW w:w="838" w:type="pct"/>
            <w:tcBorders>
              <w:top w:val="nil"/>
              <w:left w:val="nil"/>
              <w:bottom w:val="nil"/>
              <w:right w:val="nil"/>
            </w:tcBorders>
            <w:shd w:val="clear" w:color="auto" w:fill="auto"/>
          </w:tcPr>
          <w:p w14:paraId="1045407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OEE9</w:t>
            </w:r>
          </w:p>
        </w:tc>
        <w:tc>
          <w:tcPr>
            <w:tcW w:w="1215" w:type="pct"/>
            <w:tcBorders>
              <w:top w:val="nil"/>
              <w:left w:val="nil"/>
              <w:bottom w:val="nil"/>
              <w:right w:val="nil"/>
            </w:tcBorders>
            <w:shd w:val="clear" w:color="auto" w:fill="auto"/>
            <w:vAlign w:val="center"/>
            <w:hideMark/>
          </w:tcPr>
          <w:p w14:paraId="4BC7852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404BF42C"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.740</w:t>
            </w:r>
          </w:p>
        </w:tc>
        <w:tc>
          <w:tcPr>
            <w:tcW w:w="676" w:type="pct"/>
            <w:tcBorders>
              <w:top w:val="nil"/>
              <w:left w:val="nil"/>
              <w:bottom w:val="nil"/>
              <w:right w:val="nil"/>
            </w:tcBorders>
            <w:shd w:val="clear" w:color="auto" w:fill="auto"/>
          </w:tcPr>
          <w:p w14:paraId="3CE30F0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.622</w:t>
            </w:r>
          </w:p>
        </w:tc>
        <w:tc>
          <w:tcPr>
            <w:tcW w:w="676" w:type="pct"/>
            <w:tcBorders>
              <w:top w:val="nil"/>
              <w:left w:val="nil"/>
              <w:bottom w:val="nil"/>
              <w:right w:val="nil"/>
            </w:tcBorders>
            <w:shd w:val="clear" w:color="auto" w:fill="auto"/>
            <w:vAlign w:val="bottom"/>
          </w:tcPr>
          <w:p w14:paraId="6DC37D1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.869</w:t>
            </w:r>
          </w:p>
        </w:tc>
        <w:tc>
          <w:tcPr>
            <w:tcW w:w="721" w:type="pct"/>
            <w:tcBorders>
              <w:top w:val="nil"/>
              <w:left w:val="nil"/>
              <w:bottom w:val="nil"/>
              <w:right w:val="nil"/>
            </w:tcBorders>
            <w:shd w:val="clear" w:color="auto" w:fill="auto"/>
            <w:hideMark/>
          </w:tcPr>
          <w:p w14:paraId="7FA2D27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4FBA14D3" w14:textId="77777777" w:rsidTr="00791EF5">
        <w:trPr>
          <w:trHeight w:val="260"/>
        </w:trPr>
        <w:tc>
          <w:tcPr>
            <w:tcW w:w="838" w:type="pct"/>
            <w:tcBorders>
              <w:top w:val="nil"/>
              <w:left w:val="nil"/>
              <w:bottom w:val="nil"/>
              <w:right w:val="nil"/>
            </w:tcBorders>
            <w:shd w:val="clear" w:color="auto" w:fill="auto"/>
            <w:vAlign w:val="center"/>
          </w:tcPr>
          <w:p w14:paraId="443A363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OEE14</w:t>
            </w:r>
          </w:p>
        </w:tc>
        <w:tc>
          <w:tcPr>
            <w:tcW w:w="1215" w:type="pct"/>
            <w:tcBorders>
              <w:top w:val="nil"/>
              <w:left w:val="nil"/>
              <w:bottom w:val="nil"/>
              <w:right w:val="nil"/>
            </w:tcBorders>
            <w:shd w:val="clear" w:color="auto" w:fill="auto"/>
            <w:vAlign w:val="center"/>
            <w:hideMark/>
          </w:tcPr>
          <w:p w14:paraId="083E088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center"/>
          </w:tcPr>
          <w:p w14:paraId="4ED9561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.705</w:t>
            </w:r>
          </w:p>
        </w:tc>
        <w:tc>
          <w:tcPr>
            <w:tcW w:w="676" w:type="pct"/>
            <w:tcBorders>
              <w:top w:val="nil"/>
              <w:left w:val="nil"/>
              <w:bottom w:val="nil"/>
              <w:right w:val="nil"/>
            </w:tcBorders>
            <w:shd w:val="clear" w:color="auto" w:fill="auto"/>
            <w:vAlign w:val="center"/>
          </w:tcPr>
          <w:p w14:paraId="02C89BA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.546</w:t>
            </w:r>
          </w:p>
        </w:tc>
        <w:tc>
          <w:tcPr>
            <w:tcW w:w="676" w:type="pct"/>
            <w:tcBorders>
              <w:top w:val="nil"/>
              <w:left w:val="nil"/>
              <w:bottom w:val="nil"/>
              <w:right w:val="nil"/>
            </w:tcBorders>
            <w:shd w:val="clear" w:color="auto" w:fill="auto"/>
            <w:vAlign w:val="center"/>
          </w:tcPr>
          <w:p w14:paraId="650833B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.874</w:t>
            </w:r>
          </w:p>
        </w:tc>
        <w:tc>
          <w:tcPr>
            <w:tcW w:w="721" w:type="pct"/>
            <w:tcBorders>
              <w:top w:val="nil"/>
              <w:left w:val="nil"/>
              <w:bottom w:val="nil"/>
              <w:right w:val="nil"/>
            </w:tcBorders>
            <w:shd w:val="clear" w:color="auto" w:fill="auto"/>
            <w:noWrap/>
            <w:hideMark/>
          </w:tcPr>
          <w:p w14:paraId="06B458A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5EA149E8" w14:textId="77777777" w:rsidTr="00791EF5">
        <w:trPr>
          <w:trHeight w:val="287"/>
        </w:trPr>
        <w:tc>
          <w:tcPr>
            <w:tcW w:w="838" w:type="pct"/>
            <w:tcBorders>
              <w:top w:val="nil"/>
              <w:left w:val="nil"/>
              <w:bottom w:val="nil"/>
              <w:right w:val="nil"/>
            </w:tcBorders>
            <w:shd w:val="clear" w:color="auto" w:fill="auto"/>
          </w:tcPr>
          <w:p w14:paraId="30BDBCC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OEE15</w:t>
            </w:r>
          </w:p>
        </w:tc>
        <w:tc>
          <w:tcPr>
            <w:tcW w:w="1215" w:type="pct"/>
            <w:tcBorders>
              <w:top w:val="nil"/>
              <w:left w:val="nil"/>
              <w:bottom w:val="nil"/>
              <w:right w:val="nil"/>
            </w:tcBorders>
            <w:shd w:val="clear" w:color="auto" w:fill="auto"/>
            <w:vAlign w:val="center"/>
            <w:hideMark/>
          </w:tcPr>
          <w:p w14:paraId="7A007EE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0012395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.738</w:t>
            </w:r>
          </w:p>
        </w:tc>
        <w:tc>
          <w:tcPr>
            <w:tcW w:w="676" w:type="pct"/>
            <w:tcBorders>
              <w:top w:val="nil"/>
              <w:left w:val="nil"/>
              <w:bottom w:val="nil"/>
              <w:right w:val="nil"/>
            </w:tcBorders>
            <w:shd w:val="clear" w:color="auto" w:fill="auto"/>
            <w:vAlign w:val="bottom"/>
          </w:tcPr>
          <w:p w14:paraId="562F9AF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.581</w:t>
            </w:r>
          </w:p>
        </w:tc>
        <w:tc>
          <w:tcPr>
            <w:tcW w:w="676" w:type="pct"/>
            <w:tcBorders>
              <w:top w:val="nil"/>
              <w:left w:val="nil"/>
              <w:bottom w:val="nil"/>
              <w:right w:val="nil"/>
            </w:tcBorders>
            <w:shd w:val="clear" w:color="auto" w:fill="auto"/>
            <w:vAlign w:val="bottom"/>
          </w:tcPr>
          <w:p w14:paraId="7B5820E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.915</w:t>
            </w:r>
          </w:p>
        </w:tc>
        <w:tc>
          <w:tcPr>
            <w:tcW w:w="721" w:type="pct"/>
            <w:tcBorders>
              <w:top w:val="nil"/>
              <w:left w:val="nil"/>
              <w:bottom w:val="nil"/>
              <w:right w:val="nil"/>
            </w:tcBorders>
            <w:shd w:val="clear" w:color="auto" w:fill="auto"/>
            <w:hideMark/>
          </w:tcPr>
          <w:p w14:paraId="7EF380C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54515311" w14:textId="77777777" w:rsidTr="00791EF5">
        <w:trPr>
          <w:trHeight w:val="242"/>
        </w:trPr>
        <w:tc>
          <w:tcPr>
            <w:tcW w:w="838" w:type="pct"/>
            <w:tcBorders>
              <w:top w:val="nil"/>
              <w:left w:val="nil"/>
              <w:bottom w:val="nil"/>
              <w:right w:val="nil"/>
            </w:tcBorders>
            <w:shd w:val="clear" w:color="auto" w:fill="auto"/>
          </w:tcPr>
          <w:p w14:paraId="6C9D38D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OEE18</w:t>
            </w:r>
          </w:p>
        </w:tc>
        <w:tc>
          <w:tcPr>
            <w:tcW w:w="1215" w:type="pct"/>
            <w:tcBorders>
              <w:top w:val="nil"/>
              <w:left w:val="nil"/>
              <w:bottom w:val="nil"/>
              <w:right w:val="nil"/>
            </w:tcBorders>
            <w:shd w:val="clear" w:color="auto" w:fill="auto"/>
            <w:vAlign w:val="center"/>
          </w:tcPr>
          <w:p w14:paraId="669AC86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B07F781"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.917</w:t>
            </w:r>
          </w:p>
        </w:tc>
        <w:tc>
          <w:tcPr>
            <w:tcW w:w="676" w:type="pct"/>
            <w:tcBorders>
              <w:top w:val="nil"/>
              <w:left w:val="nil"/>
              <w:bottom w:val="nil"/>
              <w:right w:val="nil"/>
            </w:tcBorders>
            <w:shd w:val="clear" w:color="auto" w:fill="auto"/>
            <w:vAlign w:val="bottom"/>
          </w:tcPr>
          <w:p w14:paraId="5BAEFE02"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.765</w:t>
            </w:r>
          </w:p>
        </w:tc>
        <w:tc>
          <w:tcPr>
            <w:tcW w:w="676" w:type="pct"/>
            <w:tcBorders>
              <w:top w:val="nil"/>
              <w:left w:val="nil"/>
              <w:bottom w:val="nil"/>
              <w:right w:val="nil"/>
            </w:tcBorders>
            <w:shd w:val="clear" w:color="auto" w:fill="auto"/>
            <w:vAlign w:val="bottom"/>
          </w:tcPr>
          <w:p w14:paraId="63536D03"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1.071</w:t>
            </w:r>
          </w:p>
        </w:tc>
        <w:tc>
          <w:tcPr>
            <w:tcW w:w="721" w:type="pct"/>
            <w:tcBorders>
              <w:top w:val="nil"/>
              <w:left w:val="nil"/>
              <w:bottom w:val="nil"/>
              <w:right w:val="nil"/>
            </w:tcBorders>
            <w:shd w:val="clear" w:color="auto" w:fill="auto"/>
          </w:tcPr>
          <w:p w14:paraId="128A079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6D77FA12" w14:textId="77777777" w:rsidTr="00791EF5">
        <w:trPr>
          <w:trHeight w:val="269"/>
        </w:trPr>
        <w:tc>
          <w:tcPr>
            <w:tcW w:w="838" w:type="pct"/>
            <w:tcBorders>
              <w:top w:val="nil"/>
              <w:left w:val="nil"/>
              <w:bottom w:val="nil"/>
              <w:right w:val="nil"/>
            </w:tcBorders>
            <w:shd w:val="clear" w:color="auto" w:fill="auto"/>
          </w:tcPr>
          <w:p w14:paraId="4EEC83A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OEE19</w:t>
            </w:r>
          </w:p>
        </w:tc>
        <w:tc>
          <w:tcPr>
            <w:tcW w:w="1215" w:type="pct"/>
            <w:tcBorders>
              <w:top w:val="nil"/>
              <w:left w:val="nil"/>
              <w:bottom w:val="nil"/>
              <w:right w:val="nil"/>
            </w:tcBorders>
            <w:shd w:val="clear" w:color="auto" w:fill="auto"/>
            <w:vAlign w:val="center"/>
            <w:hideMark/>
          </w:tcPr>
          <w:p w14:paraId="6283544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634584A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.706</w:t>
            </w:r>
          </w:p>
        </w:tc>
        <w:tc>
          <w:tcPr>
            <w:tcW w:w="676" w:type="pct"/>
            <w:tcBorders>
              <w:top w:val="nil"/>
              <w:left w:val="nil"/>
              <w:bottom w:val="nil"/>
              <w:right w:val="nil"/>
            </w:tcBorders>
            <w:shd w:val="clear" w:color="auto" w:fill="auto"/>
            <w:vAlign w:val="bottom"/>
          </w:tcPr>
          <w:p w14:paraId="7CFFF35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.564</w:t>
            </w:r>
          </w:p>
        </w:tc>
        <w:tc>
          <w:tcPr>
            <w:tcW w:w="676" w:type="pct"/>
            <w:tcBorders>
              <w:top w:val="nil"/>
              <w:left w:val="nil"/>
              <w:bottom w:val="nil"/>
              <w:right w:val="nil"/>
            </w:tcBorders>
            <w:shd w:val="clear" w:color="auto" w:fill="auto"/>
            <w:vAlign w:val="bottom"/>
          </w:tcPr>
          <w:p w14:paraId="0226E1D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.868</w:t>
            </w:r>
          </w:p>
        </w:tc>
        <w:tc>
          <w:tcPr>
            <w:tcW w:w="721" w:type="pct"/>
            <w:tcBorders>
              <w:top w:val="nil"/>
              <w:left w:val="nil"/>
              <w:bottom w:val="nil"/>
              <w:right w:val="nil"/>
            </w:tcBorders>
            <w:shd w:val="clear" w:color="auto" w:fill="auto"/>
            <w:hideMark/>
          </w:tcPr>
          <w:p w14:paraId="28B2C68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167B00AF" w14:textId="77777777" w:rsidTr="00791EF5">
        <w:trPr>
          <w:trHeight w:val="206"/>
        </w:trPr>
        <w:tc>
          <w:tcPr>
            <w:tcW w:w="838" w:type="pct"/>
            <w:tcBorders>
              <w:top w:val="nil"/>
              <w:left w:val="nil"/>
              <w:bottom w:val="nil"/>
              <w:right w:val="nil"/>
            </w:tcBorders>
            <w:shd w:val="clear" w:color="auto" w:fill="auto"/>
          </w:tcPr>
          <w:p w14:paraId="2EC1762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215" w:type="pct"/>
            <w:tcBorders>
              <w:top w:val="nil"/>
              <w:left w:val="nil"/>
              <w:bottom w:val="nil"/>
              <w:right w:val="nil"/>
            </w:tcBorders>
            <w:shd w:val="clear" w:color="auto" w:fill="auto"/>
            <w:vAlign w:val="center"/>
            <w:hideMark/>
          </w:tcPr>
          <w:p w14:paraId="4EDDB7E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2AE5636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676" w:type="pct"/>
            <w:tcBorders>
              <w:top w:val="nil"/>
              <w:left w:val="nil"/>
              <w:bottom w:val="nil"/>
              <w:right w:val="nil"/>
            </w:tcBorders>
            <w:shd w:val="clear" w:color="auto" w:fill="auto"/>
            <w:vAlign w:val="bottom"/>
          </w:tcPr>
          <w:p w14:paraId="3D222BC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nil"/>
              <w:left w:val="nil"/>
              <w:bottom w:val="nil"/>
              <w:right w:val="nil"/>
            </w:tcBorders>
            <w:shd w:val="clear" w:color="auto" w:fill="auto"/>
            <w:vAlign w:val="bottom"/>
          </w:tcPr>
          <w:p w14:paraId="62F612D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nil"/>
              <w:left w:val="nil"/>
              <w:bottom w:val="nil"/>
              <w:right w:val="nil"/>
            </w:tcBorders>
            <w:shd w:val="clear" w:color="auto" w:fill="auto"/>
            <w:hideMark/>
          </w:tcPr>
          <w:p w14:paraId="153E6A2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7E1C2B" w:rsidRPr="0032506F" w14:paraId="31267240" w14:textId="77777777" w:rsidTr="00791EF5">
        <w:trPr>
          <w:trHeight w:val="242"/>
        </w:trPr>
        <w:tc>
          <w:tcPr>
            <w:tcW w:w="838" w:type="pct"/>
            <w:tcBorders>
              <w:top w:val="nil"/>
              <w:left w:val="nil"/>
              <w:bottom w:val="nil"/>
              <w:right w:val="nil"/>
            </w:tcBorders>
            <w:shd w:val="clear" w:color="auto" w:fill="auto"/>
          </w:tcPr>
          <w:p w14:paraId="07D5FAF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215" w:type="pct"/>
            <w:tcBorders>
              <w:top w:val="nil"/>
              <w:left w:val="nil"/>
              <w:bottom w:val="nil"/>
              <w:right w:val="nil"/>
            </w:tcBorders>
            <w:shd w:val="clear" w:color="auto" w:fill="auto"/>
            <w:vAlign w:val="center"/>
            <w:hideMark/>
          </w:tcPr>
          <w:p w14:paraId="370A855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29AA34B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.965</w:t>
            </w:r>
          </w:p>
        </w:tc>
        <w:tc>
          <w:tcPr>
            <w:tcW w:w="676" w:type="pct"/>
            <w:tcBorders>
              <w:top w:val="nil"/>
              <w:left w:val="nil"/>
              <w:bottom w:val="nil"/>
              <w:right w:val="nil"/>
            </w:tcBorders>
            <w:shd w:val="clear" w:color="auto" w:fill="auto"/>
            <w:vAlign w:val="bottom"/>
          </w:tcPr>
          <w:p w14:paraId="01B64A9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.825</w:t>
            </w:r>
          </w:p>
        </w:tc>
        <w:tc>
          <w:tcPr>
            <w:tcW w:w="676" w:type="pct"/>
            <w:tcBorders>
              <w:top w:val="nil"/>
              <w:left w:val="nil"/>
              <w:bottom w:val="nil"/>
              <w:right w:val="nil"/>
            </w:tcBorders>
            <w:shd w:val="clear" w:color="auto" w:fill="auto"/>
            <w:vAlign w:val="bottom"/>
          </w:tcPr>
          <w:p w14:paraId="49578BF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1.158</w:t>
            </w:r>
          </w:p>
        </w:tc>
        <w:tc>
          <w:tcPr>
            <w:tcW w:w="721" w:type="pct"/>
            <w:tcBorders>
              <w:top w:val="nil"/>
              <w:left w:val="nil"/>
              <w:bottom w:val="nil"/>
              <w:right w:val="nil"/>
            </w:tcBorders>
            <w:shd w:val="clear" w:color="auto" w:fill="auto"/>
            <w:hideMark/>
          </w:tcPr>
          <w:p w14:paraId="3EA092A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5E38627D" w14:textId="77777777" w:rsidTr="00791EF5">
        <w:trPr>
          <w:trHeight w:val="278"/>
        </w:trPr>
        <w:tc>
          <w:tcPr>
            <w:tcW w:w="838" w:type="pct"/>
            <w:tcBorders>
              <w:top w:val="nil"/>
              <w:left w:val="nil"/>
              <w:bottom w:val="nil"/>
              <w:right w:val="nil"/>
            </w:tcBorders>
            <w:shd w:val="clear" w:color="auto" w:fill="auto"/>
          </w:tcPr>
          <w:p w14:paraId="2AF9BE7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OCE8</w:t>
            </w:r>
          </w:p>
        </w:tc>
        <w:tc>
          <w:tcPr>
            <w:tcW w:w="1215" w:type="pct"/>
            <w:tcBorders>
              <w:top w:val="nil"/>
              <w:left w:val="nil"/>
              <w:bottom w:val="nil"/>
              <w:right w:val="nil"/>
            </w:tcBorders>
            <w:shd w:val="clear" w:color="auto" w:fill="auto"/>
            <w:vAlign w:val="center"/>
            <w:hideMark/>
          </w:tcPr>
          <w:p w14:paraId="4A0CC46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66D88AB2"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.880</w:t>
            </w:r>
          </w:p>
        </w:tc>
        <w:tc>
          <w:tcPr>
            <w:tcW w:w="676" w:type="pct"/>
            <w:tcBorders>
              <w:top w:val="nil"/>
              <w:left w:val="nil"/>
              <w:bottom w:val="nil"/>
              <w:right w:val="nil"/>
            </w:tcBorders>
            <w:shd w:val="clear" w:color="auto" w:fill="auto"/>
            <w:vAlign w:val="bottom"/>
          </w:tcPr>
          <w:p w14:paraId="1C4DCD9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.715</w:t>
            </w:r>
          </w:p>
        </w:tc>
        <w:tc>
          <w:tcPr>
            <w:tcW w:w="676" w:type="pct"/>
            <w:tcBorders>
              <w:top w:val="nil"/>
              <w:left w:val="nil"/>
              <w:bottom w:val="nil"/>
              <w:right w:val="nil"/>
            </w:tcBorders>
            <w:shd w:val="clear" w:color="auto" w:fill="auto"/>
            <w:vAlign w:val="bottom"/>
          </w:tcPr>
          <w:p w14:paraId="6FD50E8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1.090</w:t>
            </w:r>
          </w:p>
        </w:tc>
        <w:tc>
          <w:tcPr>
            <w:tcW w:w="721" w:type="pct"/>
            <w:tcBorders>
              <w:top w:val="nil"/>
              <w:left w:val="nil"/>
              <w:bottom w:val="nil"/>
              <w:right w:val="nil"/>
            </w:tcBorders>
            <w:shd w:val="clear" w:color="auto" w:fill="auto"/>
            <w:hideMark/>
          </w:tcPr>
          <w:p w14:paraId="5B9AD70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3F50F4CA" w14:textId="77777777" w:rsidTr="00791EF5">
        <w:trPr>
          <w:trHeight w:val="278"/>
        </w:trPr>
        <w:tc>
          <w:tcPr>
            <w:tcW w:w="838" w:type="pct"/>
            <w:tcBorders>
              <w:top w:val="nil"/>
              <w:left w:val="nil"/>
              <w:bottom w:val="nil"/>
              <w:right w:val="nil"/>
            </w:tcBorders>
            <w:shd w:val="clear" w:color="auto" w:fill="auto"/>
          </w:tcPr>
          <w:p w14:paraId="342736AB"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OCE10</w:t>
            </w:r>
          </w:p>
        </w:tc>
        <w:tc>
          <w:tcPr>
            <w:tcW w:w="1215" w:type="pct"/>
            <w:tcBorders>
              <w:top w:val="nil"/>
              <w:left w:val="nil"/>
              <w:bottom w:val="nil"/>
              <w:right w:val="nil"/>
            </w:tcBorders>
            <w:shd w:val="clear" w:color="auto" w:fill="auto"/>
            <w:vAlign w:val="center"/>
          </w:tcPr>
          <w:p w14:paraId="5F690F1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C75D94C"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1.294</w:t>
            </w:r>
          </w:p>
        </w:tc>
        <w:tc>
          <w:tcPr>
            <w:tcW w:w="676" w:type="pct"/>
            <w:tcBorders>
              <w:top w:val="nil"/>
              <w:left w:val="nil"/>
              <w:bottom w:val="nil"/>
              <w:right w:val="nil"/>
            </w:tcBorders>
            <w:shd w:val="clear" w:color="auto" w:fill="auto"/>
            <w:vAlign w:val="bottom"/>
          </w:tcPr>
          <w:p w14:paraId="301E2BE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1.052</w:t>
            </w:r>
          </w:p>
        </w:tc>
        <w:tc>
          <w:tcPr>
            <w:tcW w:w="676" w:type="pct"/>
            <w:tcBorders>
              <w:top w:val="nil"/>
              <w:left w:val="nil"/>
              <w:bottom w:val="nil"/>
              <w:right w:val="nil"/>
            </w:tcBorders>
            <w:shd w:val="clear" w:color="auto" w:fill="auto"/>
            <w:vAlign w:val="bottom"/>
          </w:tcPr>
          <w:p w14:paraId="1087EB7B"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1.605</w:t>
            </w:r>
          </w:p>
        </w:tc>
        <w:tc>
          <w:tcPr>
            <w:tcW w:w="721" w:type="pct"/>
            <w:tcBorders>
              <w:top w:val="nil"/>
              <w:left w:val="nil"/>
              <w:bottom w:val="nil"/>
              <w:right w:val="nil"/>
            </w:tcBorders>
            <w:shd w:val="clear" w:color="auto" w:fill="auto"/>
          </w:tcPr>
          <w:p w14:paraId="496192F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5DF63B17" w14:textId="77777777" w:rsidTr="00791EF5">
        <w:trPr>
          <w:trHeight w:val="278"/>
        </w:trPr>
        <w:tc>
          <w:tcPr>
            <w:tcW w:w="838" w:type="pct"/>
            <w:tcBorders>
              <w:top w:val="nil"/>
              <w:left w:val="nil"/>
              <w:bottom w:val="nil"/>
              <w:right w:val="nil"/>
            </w:tcBorders>
            <w:shd w:val="clear" w:color="auto" w:fill="auto"/>
          </w:tcPr>
          <w:p w14:paraId="1FCBAD0C"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215" w:type="pct"/>
            <w:tcBorders>
              <w:top w:val="nil"/>
              <w:left w:val="nil"/>
              <w:bottom w:val="nil"/>
              <w:right w:val="nil"/>
            </w:tcBorders>
            <w:shd w:val="clear" w:color="auto" w:fill="auto"/>
            <w:vAlign w:val="center"/>
          </w:tcPr>
          <w:p w14:paraId="63BA59A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7F0E79FD"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1.126</w:t>
            </w:r>
          </w:p>
        </w:tc>
        <w:tc>
          <w:tcPr>
            <w:tcW w:w="676" w:type="pct"/>
            <w:tcBorders>
              <w:top w:val="nil"/>
              <w:left w:val="nil"/>
              <w:bottom w:val="nil"/>
              <w:right w:val="nil"/>
            </w:tcBorders>
            <w:shd w:val="clear" w:color="auto" w:fill="auto"/>
            <w:vAlign w:val="bottom"/>
          </w:tcPr>
          <w:p w14:paraId="696AD7B1"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.906</w:t>
            </w:r>
          </w:p>
        </w:tc>
        <w:tc>
          <w:tcPr>
            <w:tcW w:w="676" w:type="pct"/>
            <w:tcBorders>
              <w:top w:val="nil"/>
              <w:left w:val="nil"/>
              <w:bottom w:val="nil"/>
              <w:right w:val="nil"/>
            </w:tcBorders>
            <w:shd w:val="clear" w:color="auto" w:fill="auto"/>
            <w:vAlign w:val="bottom"/>
          </w:tcPr>
          <w:p w14:paraId="42E19A03"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1.412</w:t>
            </w:r>
          </w:p>
        </w:tc>
        <w:tc>
          <w:tcPr>
            <w:tcW w:w="721" w:type="pct"/>
            <w:tcBorders>
              <w:top w:val="nil"/>
              <w:left w:val="nil"/>
              <w:bottom w:val="nil"/>
              <w:right w:val="nil"/>
            </w:tcBorders>
            <w:shd w:val="clear" w:color="auto" w:fill="auto"/>
          </w:tcPr>
          <w:p w14:paraId="63DE307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1D368988" w14:textId="77777777" w:rsidTr="00791EF5">
        <w:trPr>
          <w:trHeight w:val="278"/>
        </w:trPr>
        <w:tc>
          <w:tcPr>
            <w:tcW w:w="838" w:type="pct"/>
            <w:tcBorders>
              <w:top w:val="nil"/>
              <w:left w:val="nil"/>
              <w:bottom w:val="nil"/>
              <w:right w:val="nil"/>
            </w:tcBorders>
            <w:shd w:val="clear" w:color="auto" w:fill="auto"/>
          </w:tcPr>
          <w:p w14:paraId="4A45D6D8"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215" w:type="pct"/>
            <w:tcBorders>
              <w:top w:val="nil"/>
              <w:left w:val="nil"/>
              <w:bottom w:val="nil"/>
              <w:right w:val="nil"/>
            </w:tcBorders>
            <w:shd w:val="clear" w:color="auto" w:fill="auto"/>
            <w:vAlign w:val="center"/>
          </w:tcPr>
          <w:p w14:paraId="744FEF1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399512C9"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.836</w:t>
            </w:r>
          </w:p>
        </w:tc>
        <w:tc>
          <w:tcPr>
            <w:tcW w:w="676" w:type="pct"/>
            <w:tcBorders>
              <w:top w:val="nil"/>
              <w:left w:val="nil"/>
              <w:bottom w:val="nil"/>
              <w:right w:val="nil"/>
            </w:tcBorders>
            <w:shd w:val="clear" w:color="auto" w:fill="auto"/>
            <w:vAlign w:val="bottom"/>
          </w:tcPr>
          <w:p w14:paraId="26FE8E8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.676</w:t>
            </w:r>
          </w:p>
        </w:tc>
        <w:tc>
          <w:tcPr>
            <w:tcW w:w="676" w:type="pct"/>
            <w:tcBorders>
              <w:top w:val="nil"/>
              <w:left w:val="nil"/>
              <w:bottom w:val="nil"/>
              <w:right w:val="nil"/>
            </w:tcBorders>
            <w:shd w:val="clear" w:color="auto" w:fill="auto"/>
            <w:vAlign w:val="bottom"/>
          </w:tcPr>
          <w:p w14:paraId="0EAF6F6C"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1.044</w:t>
            </w:r>
          </w:p>
        </w:tc>
        <w:tc>
          <w:tcPr>
            <w:tcW w:w="721" w:type="pct"/>
            <w:tcBorders>
              <w:top w:val="nil"/>
              <w:left w:val="nil"/>
              <w:bottom w:val="nil"/>
              <w:right w:val="nil"/>
            </w:tcBorders>
            <w:shd w:val="clear" w:color="auto" w:fill="auto"/>
          </w:tcPr>
          <w:p w14:paraId="7B523E8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4B2AE7E6" w14:textId="77777777" w:rsidTr="00791EF5">
        <w:trPr>
          <w:trHeight w:val="278"/>
        </w:trPr>
        <w:tc>
          <w:tcPr>
            <w:tcW w:w="838" w:type="pct"/>
            <w:tcBorders>
              <w:top w:val="nil"/>
              <w:left w:val="nil"/>
              <w:bottom w:val="nil"/>
              <w:right w:val="nil"/>
            </w:tcBorders>
            <w:shd w:val="clear" w:color="auto" w:fill="auto"/>
          </w:tcPr>
          <w:p w14:paraId="5046E5DF"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215" w:type="pct"/>
            <w:tcBorders>
              <w:top w:val="nil"/>
              <w:left w:val="nil"/>
              <w:bottom w:val="nil"/>
              <w:right w:val="nil"/>
            </w:tcBorders>
            <w:shd w:val="clear" w:color="auto" w:fill="auto"/>
            <w:vAlign w:val="center"/>
          </w:tcPr>
          <w:p w14:paraId="4AED701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11F1A7D4"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.880</w:t>
            </w:r>
          </w:p>
        </w:tc>
        <w:tc>
          <w:tcPr>
            <w:tcW w:w="676" w:type="pct"/>
            <w:tcBorders>
              <w:top w:val="nil"/>
              <w:left w:val="nil"/>
              <w:bottom w:val="nil"/>
              <w:right w:val="nil"/>
            </w:tcBorders>
            <w:shd w:val="clear" w:color="auto" w:fill="auto"/>
            <w:vAlign w:val="bottom"/>
          </w:tcPr>
          <w:p w14:paraId="7EC02D74"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.705</w:t>
            </w:r>
          </w:p>
        </w:tc>
        <w:tc>
          <w:tcPr>
            <w:tcW w:w="676" w:type="pct"/>
            <w:tcBorders>
              <w:top w:val="nil"/>
              <w:left w:val="nil"/>
              <w:bottom w:val="nil"/>
              <w:right w:val="nil"/>
            </w:tcBorders>
            <w:shd w:val="clear" w:color="auto" w:fill="auto"/>
            <w:vAlign w:val="bottom"/>
          </w:tcPr>
          <w:p w14:paraId="2D9CB93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1.099</w:t>
            </w:r>
          </w:p>
        </w:tc>
        <w:tc>
          <w:tcPr>
            <w:tcW w:w="721" w:type="pct"/>
            <w:tcBorders>
              <w:top w:val="nil"/>
              <w:left w:val="nil"/>
              <w:bottom w:val="nil"/>
              <w:right w:val="nil"/>
            </w:tcBorders>
            <w:shd w:val="clear" w:color="auto" w:fill="auto"/>
          </w:tcPr>
          <w:p w14:paraId="707B745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4C261770" w14:textId="77777777" w:rsidTr="00791EF5">
        <w:trPr>
          <w:trHeight w:val="278"/>
        </w:trPr>
        <w:tc>
          <w:tcPr>
            <w:tcW w:w="838" w:type="pct"/>
            <w:tcBorders>
              <w:top w:val="nil"/>
              <w:left w:val="nil"/>
              <w:bottom w:val="nil"/>
              <w:right w:val="nil"/>
            </w:tcBorders>
            <w:shd w:val="clear" w:color="auto" w:fill="auto"/>
          </w:tcPr>
          <w:p w14:paraId="480F48AF"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215" w:type="pct"/>
            <w:tcBorders>
              <w:top w:val="nil"/>
              <w:left w:val="nil"/>
              <w:bottom w:val="nil"/>
              <w:right w:val="nil"/>
            </w:tcBorders>
            <w:shd w:val="clear" w:color="auto" w:fill="auto"/>
            <w:vAlign w:val="center"/>
          </w:tcPr>
          <w:p w14:paraId="0D642B2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6D85F3E"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1.023</w:t>
            </w:r>
          </w:p>
        </w:tc>
        <w:tc>
          <w:tcPr>
            <w:tcW w:w="676" w:type="pct"/>
            <w:tcBorders>
              <w:top w:val="nil"/>
              <w:left w:val="nil"/>
              <w:bottom w:val="nil"/>
              <w:right w:val="nil"/>
            </w:tcBorders>
            <w:shd w:val="clear" w:color="auto" w:fill="auto"/>
            <w:vAlign w:val="bottom"/>
          </w:tcPr>
          <w:p w14:paraId="45CAB2D4"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.855</w:t>
            </w:r>
          </w:p>
        </w:tc>
        <w:tc>
          <w:tcPr>
            <w:tcW w:w="676" w:type="pct"/>
            <w:tcBorders>
              <w:top w:val="nil"/>
              <w:left w:val="nil"/>
              <w:bottom w:val="nil"/>
              <w:right w:val="nil"/>
            </w:tcBorders>
            <w:shd w:val="clear" w:color="auto" w:fill="auto"/>
            <w:vAlign w:val="bottom"/>
          </w:tcPr>
          <w:p w14:paraId="0C3B38AC"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1.236</w:t>
            </w:r>
          </w:p>
        </w:tc>
        <w:tc>
          <w:tcPr>
            <w:tcW w:w="721" w:type="pct"/>
            <w:tcBorders>
              <w:top w:val="nil"/>
              <w:left w:val="nil"/>
              <w:bottom w:val="nil"/>
              <w:right w:val="nil"/>
            </w:tcBorders>
            <w:shd w:val="clear" w:color="auto" w:fill="auto"/>
          </w:tcPr>
          <w:p w14:paraId="56F9E72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2B74907E" w14:textId="77777777" w:rsidTr="00791EF5">
        <w:trPr>
          <w:trHeight w:val="278"/>
        </w:trPr>
        <w:tc>
          <w:tcPr>
            <w:tcW w:w="838" w:type="pct"/>
            <w:tcBorders>
              <w:top w:val="nil"/>
              <w:left w:val="nil"/>
              <w:bottom w:val="nil"/>
              <w:right w:val="nil"/>
            </w:tcBorders>
            <w:shd w:val="clear" w:color="auto" w:fill="auto"/>
          </w:tcPr>
          <w:p w14:paraId="6C5E1414"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215" w:type="pct"/>
            <w:tcBorders>
              <w:top w:val="nil"/>
              <w:left w:val="nil"/>
              <w:bottom w:val="nil"/>
              <w:right w:val="nil"/>
            </w:tcBorders>
            <w:shd w:val="clear" w:color="auto" w:fill="auto"/>
            <w:vAlign w:val="center"/>
          </w:tcPr>
          <w:p w14:paraId="70352EC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350C809"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.956</w:t>
            </w:r>
          </w:p>
        </w:tc>
        <w:tc>
          <w:tcPr>
            <w:tcW w:w="676" w:type="pct"/>
            <w:tcBorders>
              <w:top w:val="nil"/>
              <w:left w:val="nil"/>
              <w:bottom w:val="nil"/>
              <w:right w:val="nil"/>
            </w:tcBorders>
            <w:shd w:val="clear" w:color="auto" w:fill="auto"/>
            <w:vAlign w:val="bottom"/>
          </w:tcPr>
          <w:p w14:paraId="0D16D438"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.745</w:t>
            </w:r>
          </w:p>
        </w:tc>
        <w:tc>
          <w:tcPr>
            <w:tcW w:w="676" w:type="pct"/>
            <w:tcBorders>
              <w:top w:val="nil"/>
              <w:left w:val="nil"/>
              <w:bottom w:val="nil"/>
              <w:right w:val="nil"/>
            </w:tcBorders>
            <w:shd w:val="clear" w:color="auto" w:fill="auto"/>
            <w:vAlign w:val="bottom"/>
          </w:tcPr>
          <w:p w14:paraId="3FD81EBE"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1.225</w:t>
            </w:r>
          </w:p>
        </w:tc>
        <w:tc>
          <w:tcPr>
            <w:tcW w:w="721" w:type="pct"/>
            <w:tcBorders>
              <w:top w:val="nil"/>
              <w:left w:val="nil"/>
              <w:bottom w:val="nil"/>
              <w:right w:val="nil"/>
            </w:tcBorders>
            <w:shd w:val="clear" w:color="auto" w:fill="auto"/>
          </w:tcPr>
          <w:p w14:paraId="612033E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732AC0C1" w14:textId="77777777" w:rsidTr="00791EF5">
        <w:trPr>
          <w:trHeight w:val="278"/>
        </w:trPr>
        <w:tc>
          <w:tcPr>
            <w:tcW w:w="838" w:type="pct"/>
            <w:tcBorders>
              <w:top w:val="nil"/>
              <w:left w:val="nil"/>
              <w:bottom w:val="single" w:sz="4" w:space="0" w:color="auto"/>
              <w:right w:val="nil"/>
            </w:tcBorders>
            <w:shd w:val="clear" w:color="auto" w:fill="auto"/>
          </w:tcPr>
          <w:p w14:paraId="31D80E9C"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215" w:type="pct"/>
            <w:tcBorders>
              <w:top w:val="nil"/>
              <w:left w:val="nil"/>
              <w:bottom w:val="single" w:sz="4" w:space="0" w:color="auto"/>
              <w:right w:val="nil"/>
            </w:tcBorders>
            <w:shd w:val="clear" w:color="auto" w:fill="auto"/>
            <w:vAlign w:val="center"/>
          </w:tcPr>
          <w:p w14:paraId="48B5528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single" w:sz="4" w:space="0" w:color="auto"/>
              <w:right w:val="nil"/>
            </w:tcBorders>
            <w:shd w:val="clear" w:color="auto" w:fill="auto"/>
            <w:vAlign w:val="bottom"/>
          </w:tcPr>
          <w:p w14:paraId="6F2C1FC4"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.941</w:t>
            </w:r>
          </w:p>
        </w:tc>
        <w:tc>
          <w:tcPr>
            <w:tcW w:w="676" w:type="pct"/>
            <w:tcBorders>
              <w:top w:val="nil"/>
              <w:left w:val="nil"/>
              <w:bottom w:val="single" w:sz="4" w:space="0" w:color="auto"/>
              <w:right w:val="nil"/>
            </w:tcBorders>
            <w:shd w:val="clear" w:color="auto" w:fill="auto"/>
            <w:vAlign w:val="bottom"/>
          </w:tcPr>
          <w:p w14:paraId="0ACBA5C8"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.736</w:t>
            </w:r>
          </w:p>
        </w:tc>
        <w:tc>
          <w:tcPr>
            <w:tcW w:w="676" w:type="pct"/>
            <w:tcBorders>
              <w:top w:val="nil"/>
              <w:left w:val="nil"/>
              <w:bottom w:val="single" w:sz="4" w:space="0" w:color="auto"/>
              <w:right w:val="nil"/>
            </w:tcBorders>
            <w:shd w:val="clear" w:color="auto" w:fill="auto"/>
            <w:vAlign w:val="bottom"/>
          </w:tcPr>
          <w:p w14:paraId="41A39BA2"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1.196</w:t>
            </w:r>
          </w:p>
        </w:tc>
        <w:tc>
          <w:tcPr>
            <w:tcW w:w="721" w:type="pct"/>
            <w:tcBorders>
              <w:top w:val="nil"/>
              <w:left w:val="nil"/>
              <w:bottom w:val="single" w:sz="4" w:space="0" w:color="auto"/>
              <w:right w:val="nil"/>
            </w:tcBorders>
            <w:shd w:val="clear" w:color="auto" w:fill="auto"/>
          </w:tcPr>
          <w:p w14:paraId="3C96759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bl>
    <w:p w14:paraId="4A319935" w14:textId="77777777" w:rsidR="007E1C2B" w:rsidRPr="0032506F" w:rsidRDefault="007E1C2B" w:rsidP="007E1C2B">
      <w:pPr>
        <w:spacing w:after="0" w:line="480" w:lineRule="auto"/>
        <w:rPr>
          <w:rFonts w:ascii="Times New Roman" w:hAnsi="Times New Roman" w:cs="Times New Roman"/>
          <w:sz w:val="24"/>
          <w:szCs w:val="24"/>
        </w:rPr>
      </w:pPr>
    </w:p>
    <w:bookmarkEnd w:id="104"/>
    <w:p w14:paraId="6BCF7213" w14:textId="77777777" w:rsidR="007E1C2B" w:rsidRPr="0032506F" w:rsidRDefault="007E1C2B" w:rsidP="007E1C2B">
      <w:pPr>
        <w:spacing w:after="0" w:line="480" w:lineRule="auto"/>
        <w:rPr>
          <w:rFonts w:ascii="Times New Roman" w:eastAsia="SimSun" w:hAnsi="Times New Roman" w:cs="Times New Roman"/>
          <w:b/>
          <w:bCs/>
          <w:sz w:val="24"/>
          <w:szCs w:val="24"/>
        </w:rPr>
        <w:sectPr w:rsidR="007E1C2B" w:rsidRPr="0032506F" w:rsidSect="009C07A6">
          <w:pgSz w:w="12240" w:h="15840"/>
          <w:pgMar w:top="1440" w:right="1440" w:bottom="1440" w:left="1440" w:header="720" w:footer="720" w:gutter="0"/>
          <w:cols w:space="720"/>
          <w:docGrid w:linePitch="360"/>
        </w:sectPr>
      </w:pPr>
    </w:p>
    <w:p w14:paraId="10582B5B" w14:textId="77EDF34A" w:rsidR="007E1C2B" w:rsidRPr="0032506F" w:rsidRDefault="007E1C2B" w:rsidP="007E1C2B">
      <w:pPr>
        <w:spacing w:after="0" w:line="480" w:lineRule="auto"/>
        <w:rPr>
          <w:rFonts w:ascii="Times New Roman" w:eastAsia="SimSun" w:hAnsi="Times New Roman" w:cs="Times New Roman"/>
          <w:b/>
          <w:bCs/>
          <w:sz w:val="24"/>
          <w:szCs w:val="24"/>
        </w:rPr>
      </w:pPr>
      <w:bookmarkStart w:id="107" w:name="Table415"/>
      <w:bookmarkStart w:id="108" w:name="Table43"/>
      <w:r w:rsidRPr="0032506F">
        <w:rPr>
          <w:rFonts w:ascii="Times New Roman" w:eastAsia="SimSun" w:hAnsi="Times New Roman" w:cs="Times New Roman"/>
          <w:b/>
          <w:bCs/>
          <w:sz w:val="24"/>
          <w:szCs w:val="24"/>
        </w:rPr>
        <w:lastRenderedPageBreak/>
        <w:t>Table 4.</w:t>
      </w:r>
      <w:r w:rsidR="00346C84">
        <w:rPr>
          <w:rFonts w:ascii="Times New Roman" w:eastAsia="SimSun" w:hAnsi="Times New Roman" w:cs="Times New Roman"/>
          <w:b/>
          <w:bCs/>
          <w:sz w:val="24"/>
          <w:szCs w:val="24"/>
        </w:rPr>
        <w:t>3</w:t>
      </w:r>
    </w:p>
    <w:p w14:paraId="2183FDA1" w14:textId="77777777" w:rsidR="007E1C2B" w:rsidRPr="0032506F" w:rsidRDefault="007E1C2B" w:rsidP="007E1C2B">
      <w:pPr>
        <w:spacing w:after="0" w:line="480" w:lineRule="auto"/>
        <w:rPr>
          <w:rFonts w:ascii="Times New Roman" w:eastAsia="SimSun" w:hAnsi="Times New Roman" w:cs="Times New Roman"/>
          <w:i/>
          <w:iCs/>
          <w:sz w:val="24"/>
          <w:szCs w:val="24"/>
        </w:rPr>
      </w:pPr>
      <w:bookmarkStart w:id="109" w:name="_Hlk92102832"/>
      <w:bookmarkEnd w:id="107"/>
      <w:bookmarkEnd w:id="108"/>
      <w:r w:rsidRPr="0032506F">
        <w:rPr>
          <w:rFonts w:ascii="Times New Roman" w:eastAsia="SimSun" w:hAnsi="Times New Roman" w:cs="Times New Roman"/>
          <w:i/>
          <w:iCs/>
          <w:sz w:val="24"/>
          <w:szCs w:val="24"/>
        </w:rPr>
        <w:t xml:space="preserve">Standardized Factor Loadings </w:t>
      </w:r>
      <w:bookmarkEnd w:id="109"/>
      <w:r w:rsidRPr="0032506F">
        <w:rPr>
          <w:rFonts w:ascii="Times New Roman" w:eastAsia="SimSun" w:hAnsi="Times New Roman" w:cs="Times New Roman"/>
          <w:i/>
          <w:iCs/>
          <w:sz w:val="24"/>
          <w:szCs w:val="24"/>
        </w:rPr>
        <w:t>with Bias-Corrected 95 % Confidence Intervals (N=235)</w:t>
      </w:r>
    </w:p>
    <w:tbl>
      <w:tblPr>
        <w:tblW w:w="4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6"/>
        <w:gridCol w:w="1995"/>
        <w:gridCol w:w="1433"/>
        <w:gridCol w:w="1110"/>
        <w:gridCol w:w="1110"/>
        <w:gridCol w:w="1183"/>
      </w:tblGrid>
      <w:tr w:rsidR="007E1C2B" w:rsidRPr="0032506F" w14:paraId="32A58C57" w14:textId="77777777" w:rsidTr="00791EF5">
        <w:trPr>
          <w:trHeight w:val="300"/>
        </w:trPr>
        <w:tc>
          <w:tcPr>
            <w:tcW w:w="838" w:type="pct"/>
            <w:tcBorders>
              <w:top w:val="single" w:sz="4" w:space="0" w:color="auto"/>
              <w:left w:val="nil"/>
              <w:bottom w:val="single" w:sz="4" w:space="0" w:color="auto"/>
              <w:right w:val="nil"/>
            </w:tcBorders>
            <w:shd w:val="clear" w:color="auto" w:fill="auto"/>
            <w:vAlign w:val="center"/>
            <w:hideMark/>
          </w:tcPr>
          <w:p w14:paraId="5FA5CC79" w14:textId="77777777" w:rsidR="007E1C2B" w:rsidRPr="0032506F" w:rsidRDefault="007E1C2B" w:rsidP="007E1C2B">
            <w:pPr>
              <w:spacing w:after="0" w:line="240" w:lineRule="auto"/>
              <w:ind w:firstLineChars="100" w:firstLine="240"/>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215" w:type="pct"/>
            <w:tcBorders>
              <w:top w:val="single" w:sz="4" w:space="0" w:color="auto"/>
              <w:left w:val="nil"/>
              <w:bottom w:val="single" w:sz="4" w:space="0" w:color="auto"/>
              <w:right w:val="nil"/>
            </w:tcBorders>
            <w:shd w:val="clear" w:color="auto" w:fill="auto"/>
            <w:vAlign w:val="center"/>
            <w:hideMark/>
          </w:tcPr>
          <w:p w14:paraId="76A226A1"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873" w:type="pct"/>
            <w:tcBorders>
              <w:top w:val="single" w:sz="4" w:space="0" w:color="auto"/>
              <w:left w:val="nil"/>
              <w:bottom w:val="single" w:sz="4" w:space="0" w:color="auto"/>
              <w:right w:val="nil"/>
            </w:tcBorders>
            <w:shd w:val="clear" w:color="auto" w:fill="auto"/>
            <w:vAlign w:val="center"/>
            <w:hideMark/>
          </w:tcPr>
          <w:p w14:paraId="45B0E52D"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Estimate</w:t>
            </w:r>
          </w:p>
        </w:tc>
        <w:tc>
          <w:tcPr>
            <w:tcW w:w="676" w:type="pct"/>
            <w:tcBorders>
              <w:top w:val="single" w:sz="4" w:space="0" w:color="auto"/>
              <w:left w:val="nil"/>
              <w:bottom w:val="single" w:sz="4" w:space="0" w:color="auto"/>
              <w:right w:val="nil"/>
            </w:tcBorders>
            <w:shd w:val="clear" w:color="auto" w:fill="auto"/>
            <w:vAlign w:val="center"/>
            <w:hideMark/>
          </w:tcPr>
          <w:p w14:paraId="2E54BE66"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Lower</w:t>
            </w:r>
          </w:p>
        </w:tc>
        <w:tc>
          <w:tcPr>
            <w:tcW w:w="676" w:type="pct"/>
            <w:tcBorders>
              <w:top w:val="single" w:sz="4" w:space="0" w:color="auto"/>
              <w:left w:val="nil"/>
              <w:bottom w:val="single" w:sz="4" w:space="0" w:color="auto"/>
              <w:right w:val="nil"/>
            </w:tcBorders>
            <w:shd w:val="clear" w:color="auto" w:fill="auto"/>
            <w:vAlign w:val="center"/>
            <w:hideMark/>
          </w:tcPr>
          <w:p w14:paraId="04191ABC"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Upper</w:t>
            </w:r>
          </w:p>
        </w:tc>
        <w:tc>
          <w:tcPr>
            <w:tcW w:w="721" w:type="pct"/>
            <w:tcBorders>
              <w:top w:val="single" w:sz="4" w:space="0" w:color="auto"/>
              <w:left w:val="nil"/>
              <w:bottom w:val="single" w:sz="4" w:space="0" w:color="auto"/>
              <w:right w:val="nil"/>
            </w:tcBorders>
            <w:shd w:val="clear" w:color="auto" w:fill="auto"/>
            <w:vAlign w:val="center"/>
            <w:hideMark/>
          </w:tcPr>
          <w:p w14:paraId="5223634E"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 xml:space="preserve">    P</w:t>
            </w:r>
          </w:p>
        </w:tc>
      </w:tr>
      <w:tr w:rsidR="007E1C2B" w:rsidRPr="0032506F" w14:paraId="10004EA5" w14:textId="77777777" w:rsidTr="00791EF5">
        <w:trPr>
          <w:trHeight w:val="233"/>
        </w:trPr>
        <w:tc>
          <w:tcPr>
            <w:tcW w:w="838" w:type="pct"/>
            <w:tcBorders>
              <w:top w:val="single" w:sz="4" w:space="0" w:color="auto"/>
              <w:left w:val="nil"/>
              <w:bottom w:val="nil"/>
              <w:right w:val="nil"/>
            </w:tcBorders>
            <w:shd w:val="clear" w:color="auto" w:fill="auto"/>
            <w:vAlign w:val="center"/>
          </w:tcPr>
          <w:p w14:paraId="1405B9C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215" w:type="pct"/>
            <w:tcBorders>
              <w:top w:val="single" w:sz="4" w:space="0" w:color="auto"/>
              <w:left w:val="nil"/>
              <w:bottom w:val="nil"/>
              <w:right w:val="nil"/>
            </w:tcBorders>
            <w:shd w:val="clear" w:color="auto" w:fill="auto"/>
            <w:vAlign w:val="center"/>
          </w:tcPr>
          <w:p w14:paraId="3AB3D3E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single" w:sz="4" w:space="0" w:color="auto"/>
              <w:left w:val="nil"/>
              <w:bottom w:val="nil"/>
              <w:right w:val="nil"/>
            </w:tcBorders>
            <w:shd w:val="clear" w:color="auto" w:fill="auto"/>
          </w:tcPr>
          <w:p w14:paraId="1FD597B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.619</w:t>
            </w:r>
          </w:p>
        </w:tc>
        <w:tc>
          <w:tcPr>
            <w:tcW w:w="676" w:type="pct"/>
            <w:tcBorders>
              <w:top w:val="single" w:sz="4" w:space="0" w:color="auto"/>
              <w:left w:val="nil"/>
              <w:bottom w:val="nil"/>
              <w:right w:val="nil"/>
            </w:tcBorders>
            <w:shd w:val="clear" w:color="auto" w:fill="auto"/>
          </w:tcPr>
          <w:p w14:paraId="6029396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.289</w:t>
            </w:r>
          </w:p>
        </w:tc>
        <w:tc>
          <w:tcPr>
            <w:tcW w:w="676" w:type="pct"/>
            <w:tcBorders>
              <w:top w:val="single" w:sz="4" w:space="0" w:color="auto"/>
              <w:left w:val="nil"/>
              <w:bottom w:val="nil"/>
              <w:right w:val="nil"/>
            </w:tcBorders>
            <w:shd w:val="clear" w:color="auto" w:fill="auto"/>
            <w:vAlign w:val="bottom"/>
          </w:tcPr>
          <w:p w14:paraId="288C88B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.773</w:t>
            </w:r>
          </w:p>
        </w:tc>
        <w:tc>
          <w:tcPr>
            <w:tcW w:w="721" w:type="pct"/>
            <w:tcBorders>
              <w:top w:val="single" w:sz="4" w:space="0" w:color="auto"/>
              <w:left w:val="nil"/>
              <w:bottom w:val="nil"/>
              <w:right w:val="nil"/>
            </w:tcBorders>
            <w:shd w:val="clear" w:color="auto" w:fill="auto"/>
            <w:vAlign w:val="center"/>
          </w:tcPr>
          <w:p w14:paraId="32660CA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7FE2FBD5" w14:textId="77777777" w:rsidTr="00791EF5">
        <w:trPr>
          <w:trHeight w:val="170"/>
        </w:trPr>
        <w:tc>
          <w:tcPr>
            <w:tcW w:w="838" w:type="pct"/>
            <w:tcBorders>
              <w:top w:val="nil"/>
              <w:left w:val="nil"/>
              <w:bottom w:val="nil"/>
              <w:right w:val="nil"/>
            </w:tcBorders>
            <w:shd w:val="clear" w:color="auto" w:fill="auto"/>
          </w:tcPr>
          <w:p w14:paraId="76D5B99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215" w:type="pct"/>
            <w:tcBorders>
              <w:top w:val="nil"/>
              <w:left w:val="nil"/>
              <w:bottom w:val="nil"/>
              <w:right w:val="nil"/>
            </w:tcBorders>
            <w:shd w:val="clear" w:color="auto" w:fill="auto"/>
            <w:vAlign w:val="center"/>
          </w:tcPr>
          <w:p w14:paraId="003E227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6ABDCB48"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.538</w:t>
            </w:r>
          </w:p>
        </w:tc>
        <w:tc>
          <w:tcPr>
            <w:tcW w:w="676" w:type="pct"/>
            <w:tcBorders>
              <w:top w:val="nil"/>
              <w:left w:val="nil"/>
              <w:bottom w:val="nil"/>
              <w:right w:val="nil"/>
            </w:tcBorders>
            <w:shd w:val="clear" w:color="auto" w:fill="auto"/>
          </w:tcPr>
          <w:p w14:paraId="0E2C7A0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.293</w:t>
            </w:r>
          </w:p>
        </w:tc>
        <w:tc>
          <w:tcPr>
            <w:tcW w:w="676" w:type="pct"/>
            <w:tcBorders>
              <w:top w:val="nil"/>
              <w:left w:val="nil"/>
              <w:bottom w:val="nil"/>
              <w:right w:val="nil"/>
            </w:tcBorders>
            <w:shd w:val="clear" w:color="auto" w:fill="auto"/>
            <w:vAlign w:val="bottom"/>
          </w:tcPr>
          <w:p w14:paraId="5B5128F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.765</w:t>
            </w:r>
          </w:p>
        </w:tc>
        <w:tc>
          <w:tcPr>
            <w:tcW w:w="721" w:type="pct"/>
            <w:tcBorders>
              <w:top w:val="nil"/>
              <w:left w:val="nil"/>
              <w:bottom w:val="nil"/>
              <w:right w:val="nil"/>
            </w:tcBorders>
            <w:shd w:val="clear" w:color="auto" w:fill="auto"/>
            <w:noWrap/>
            <w:vAlign w:val="bottom"/>
          </w:tcPr>
          <w:p w14:paraId="539E6DB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57719067" w14:textId="77777777" w:rsidTr="00791EF5">
        <w:trPr>
          <w:trHeight w:val="296"/>
        </w:trPr>
        <w:tc>
          <w:tcPr>
            <w:tcW w:w="838" w:type="pct"/>
            <w:tcBorders>
              <w:top w:val="nil"/>
              <w:left w:val="nil"/>
              <w:bottom w:val="nil"/>
              <w:right w:val="nil"/>
            </w:tcBorders>
            <w:shd w:val="clear" w:color="auto" w:fill="auto"/>
          </w:tcPr>
          <w:p w14:paraId="41E4271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215" w:type="pct"/>
            <w:tcBorders>
              <w:top w:val="nil"/>
              <w:left w:val="nil"/>
              <w:bottom w:val="nil"/>
              <w:right w:val="nil"/>
            </w:tcBorders>
            <w:shd w:val="clear" w:color="auto" w:fill="auto"/>
            <w:vAlign w:val="center"/>
          </w:tcPr>
          <w:p w14:paraId="68BCA25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7AD405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.668</w:t>
            </w:r>
          </w:p>
        </w:tc>
        <w:tc>
          <w:tcPr>
            <w:tcW w:w="676" w:type="pct"/>
            <w:tcBorders>
              <w:top w:val="nil"/>
              <w:left w:val="nil"/>
              <w:bottom w:val="nil"/>
              <w:right w:val="nil"/>
            </w:tcBorders>
            <w:shd w:val="clear" w:color="auto" w:fill="auto"/>
          </w:tcPr>
          <w:p w14:paraId="3C8A4E2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.440</w:t>
            </w:r>
          </w:p>
        </w:tc>
        <w:tc>
          <w:tcPr>
            <w:tcW w:w="676" w:type="pct"/>
            <w:tcBorders>
              <w:top w:val="nil"/>
              <w:left w:val="nil"/>
              <w:bottom w:val="nil"/>
              <w:right w:val="nil"/>
            </w:tcBorders>
            <w:shd w:val="clear" w:color="auto" w:fill="auto"/>
            <w:vAlign w:val="bottom"/>
          </w:tcPr>
          <w:p w14:paraId="20E5145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.906</w:t>
            </w:r>
          </w:p>
        </w:tc>
        <w:tc>
          <w:tcPr>
            <w:tcW w:w="721" w:type="pct"/>
            <w:tcBorders>
              <w:top w:val="nil"/>
              <w:left w:val="nil"/>
              <w:bottom w:val="nil"/>
              <w:right w:val="nil"/>
            </w:tcBorders>
            <w:shd w:val="clear" w:color="auto" w:fill="auto"/>
            <w:hideMark/>
          </w:tcPr>
          <w:p w14:paraId="0F4B511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7E1C2B" w:rsidRPr="0032506F" w14:paraId="22F53819" w14:textId="77777777" w:rsidTr="00791EF5">
        <w:trPr>
          <w:trHeight w:val="242"/>
        </w:trPr>
        <w:tc>
          <w:tcPr>
            <w:tcW w:w="838" w:type="pct"/>
            <w:tcBorders>
              <w:top w:val="nil"/>
              <w:left w:val="nil"/>
              <w:bottom w:val="nil"/>
              <w:right w:val="nil"/>
            </w:tcBorders>
            <w:shd w:val="clear" w:color="auto" w:fill="auto"/>
          </w:tcPr>
          <w:p w14:paraId="3ABDA51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215" w:type="pct"/>
            <w:tcBorders>
              <w:top w:val="nil"/>
              <w:left w:val="nil"/>
              <w:bottom w:val="nil"/>
              <w:right w:val="nil"/>
            </w:tcBorders>
            <w:shd w:val="clear" w:color="auto" w:fill="auto"/>
            <w:vAlign w:val="center"/>
          </w:tcPr>
          <w:p w14:paraId="1873763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08AF66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.626</w:t>
            </w:r>
          </w:p>
        </w:tc>
        <w:tc>
          <w:tcPr>
            <w:tcW w:w="676" w:type="pct"/>
            <w:tcBorders>
              <w:top w:val="nil"/>
              <w:left w:val="nil"/>
              <w:bottom w:val="nil"/>
              <w:right w:val="nil"/>
            </w:tcBorders>
            <w:shd w:val="clear" w:color="auto" w:fill="auto"/>
          </w:tcPr>
          <w:p w14:paraId="0E1C49E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.368</w:t>
            </w:r>
          </w:p>
        </w:tc>
        <w:tc>
          <w:tcPr>
            <w:tcW w:w="676" w:type="pct"/>
            <w:tcBorders>
              <w:top w:val="nil"/>
              <w:left w:val="nil"/>
              <w:bottom w:val="nil"/>
              <w:right w:val="nil"/>
            </w:tcBorders>
            <w:shd w:val="clear" w:color="auto" w:fill="auto"/>
            <w:vAlign w:val="bottom"/>
          </w:tcPr>
          <w:p w14:paraId="6E4CE7E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.792</w:t>
            </w:r>
          </w:p>
        </w:tc>
        <w:tc>
          <w:tcPr>
            <w:tcW w:w="721" w:type="pct"/>
            <w:tcBorders>
              <w:top w:val="nil"/>
              <w:left w:val="nil"/>
              <w:bottom w:val="nil"/>
              <w:right w:val="nil"/>
            </w:tcBorders>
            <w:shd w:val="clear" w:color="auto" w:fill="auto"/>
            <w:hideMark/>
          </w:tcPr>
          <w:p w14:paraId="17689A5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53625B3D" w14:textId="77777777" w:rsidTr="00791EF5">
        <w:trPr>
          <w:trHeight w:val="233"/>
        </w:trPr>
        <w:tc>
          <w:tcPr>
            <w:tcW w:w="838" w:type="pct"/>
            <w:tcBorders>
              <w:top w:val="nil"/>
              <w:left w:val="nil"/>
              <w:bottom w:val="nil"/>
              <w:right w:val="nil"/>
            </w:tcBorders>
            <w:shd w:val="clear" w:color="auto" w:fill="auto"/>
          </w:tcPr>
          <w:p w14:paraId="3475D7A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215" w:type="pct"/>
            <w:tcBorders>
              <w:top w:val="nil"/>
              <w:left w:val="nil"/>
              <w:bottom w:val="nil"/>
              <w:right w:val="nil"/>
            </w:tcBorders>
            <w:shd w:val="clear" w:color="auto" w:fill="auto"/>
            <w:vAlign w:val="center"/>
          </w:tcPr>
          <w:p w14:paraId="27DFAAF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tcPr>
          <w:p w14:paraId="4AAF8D0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.815</w:t>
            </w:r>
          </w:p>
        </w:tc>
        <w:tc>
          <w:tcPr>
            <w:tcW w:w="676" w:type="pct"/>
            <w:tcBorders>
              <w:top w:val="nil"/>
              <w:left w:val="nil"/>
              <w:bottom w:val="nil"/>
              <w:right w:val="nil"/>
            </w:tcBorders>
            <w:shd w:val="clear" w:color="auto" w:fill="auto"/>
          </w:tcPr>
          <w:p w14:paraId="4BC1BBE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.750</w:t>
            </w:r>
          </w:p>
        </w:tc>
        <w:tc>
          <w:tcPr>
            <w:tcW w:w="676" w:type="pct"/>
            <w:tcBorders>
              <w:top w:val="nil"/>
              <w:left w:val="nil"/>
              <w:bottom w:val="nil"/>
              <w:right w:val="nil"/>
            </w:tcBorders>
            <w:shd w:val="clear" w:color="auto" w:fill="auto"/>
            <w:vAlign w:val="bottom"/>
          </w:tcPr>
          <w:p w14:paraId="6251700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.864</w:t>
            </w:r>
          </w:p>
        </w:tc>
        <w:tc>
          <w:tcPr>
            <w:tcW w:w="721" w:type="pct"/>
            <w:tcBorders>
              <w:top w:val="nil"/>
              <w:left w:val="nil"/>
              <w:bottom w:val="nil"/>
              <w:right w:val="nil"/>
            </w:tcBorders>
            <w:shd w:val="clear" w:color="auto" w:fill="auto"/>
            <w:hideMark/>
          </w:tcPr>
          <w:p w14:paraId="69433C0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7E1C2B" w:rsidRPr="0032506F" w14:paraId="1623067D" w14:textId="77777777" w:rsidTr="00791EF5">
        <w:trPr>
          <w:trHeight w:val="206"/>
        </w:trPr>
        <w:tc>
          <w:tcPr>
            <w:tcW w:w="838" w:type="pct"/>
            <w:tcBorders>
              <w:top w:val="nil"/>
              <w:left w:val="nil"/>
              <w:bottom w:val="nil"/>
              <w:right w:val="nil"/>
            </w:tcBorders>
            <w:shd w:val="clear" w:color="auto" w:fill="auto"/>
            <w:vAlign w:val="center"/>
          </w:tcPr>
          <w:p w14:paraId="7F5321A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215" w:type="pct"/>
            <w:tcBorders>
              <w:top w:val="nil"/>
              <w:left w:val="nil"/>
              <w:bottom w:val="nil"/>
              <w:right w:val="nil"/>
            </w:tcBorders>
            <w:shd w:val="clear" w:color="auto" w:fill="auto"/>
            <w:vAlign w:val="center"/>
          </w:tcPr>
          <w:p w14:paraId="333FE6F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358CEBD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.816</w:t>
            </w:r>
          </w:p>
        </w:tc>
        <w:tc>
          <w:tcPr>
            <w:tcW w:w="676" w:type="pct"/>
            <w:tcBorders>
              <w:top w:val="nil"/>
              <w:left w:val="nil"/>
              <w:bottom w:val="nil"/>
              <w:right w:val="nil"/>
            </w:tcBorders>
            <w:shd w:val="clear" w:color="auto" w:fill="auto"/>
          </w:tcPr>
          <w:p w14:paraId="7A40B44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.753</w:t>
            </w:r>
          </w:p>
        </w:tc>
        <w:tc>
          <w:tcPr>
            <w:tcW w:w="676" w:type="pct"/>
            <w:tcBorders>
              <w:top w:val="nil"/>
              <w:left w:val="nil"/>
              <w:bottom w:val="nil"/>
              <w:right w:val="nil"/>
            </w:tcBorders>
            <w:shd w:val="clear" w:color="auto" w:fill="auto"/>
            <w:vAlign w:val="bottom"/>
          </w:tcPr>
          <w:p w14:paraId="1F51F15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.867</w:t>
            </w:r>
          </w:p>
        </w:tc>
        <w:tc>
          <w:tcPr>
            <w:tcW w:w="721" w:type="pct"/>
            <w:tcBorders>
              <w:top w:val="nil"/>
              <w:left w:val="nil"/>
              <w:bottom w:val="nil"/>
              <w:right w:val="nil"/>
            </w:tcBorders>
            <w:shd w:val="clear" w:color="auto" w:fill="auto"/>
            <w:noWrap/>
            <w:hideMark/>
          </w:tcPr>
          <w:p w14:paraId="25A3C0A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7BA5CA69" w14:textId="77777777" w:rsidTr="00791EF5">
        <w:trPr>
          <w:trHeight w:val="161"/>
        </w:trPr>
        <w:tc>
          <w:tcPr>
            <w:tcW w:w="838" w:type="pct"/>
            <w:tcBorders>
              <w:top w:val="nil"/>
              <w:left w:val="nil"/>
              <w:bottom w:val="nil"/>
              <w:right w:val="nil"/>
            </w:tcBorders>
            <w:shd w:val="clear" w:color="auto" w:fill="auto"/>
          </w:tcPr>
          <w:p w14:paraId="58BC9CE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215" w:type="pct"/>
            <w:tcBorders>
              <w:top w:val="nil"/>
              <w:left w:val="nil"/>
              <w:bottom w:val="nil"/>
              <w:right w:val="nil"/>
            </w:tcBorders>
            <w:shd w:val="clear" w:color="auto" w:fill="auto"/>
            <w:vAlign w:val="center"/>
            <w:hideMark/>
          </w:tcPr>
          <w:p w14:paraId="56DB822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3E1C521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.716</w:t>
            </w:r>
          </w:p>
        </w:tc>
        <w:tc>
          <w:tcPr>
            <w:tcW w:w="676" w:type="pct"/>
            <w:tcBorders>
              <w:top w:val="nil"/>
              <w:left w:val="nil"/>
              <w:bottom w:val="nil"/>
              <w:right w:val="nil"/>
            </w:tcBorders>
            <w:shd w:val="clear" w:color="auto" w:fill="auto"/>
          </w:tcPr>
          <w:p w14:paraId="5F86A40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.630</w:t>
            </w:r>
          </w:p>
        </w:tc>
        <w:tc>
          <w:tcPr>
            <w:tcW w:w="676" w:type="pct"/>
            <w:tcBorders>
              <w:top w:val="nil"/>
              <w:left w:val="nil"/>
              <w:bottom w:val="nil"/>
              <w:right w:val="nil"/>
            </w:tcBorders>
            <w:shd w:val="clear" w:color="auto" w:fill="auto"/>
            <w:vAlign w:val="bottom"/>
          </w:tcPr>
          <w:p w14:paraId="4B4FB9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.792</w:t>
            </w:r>
          </w:p>
        </w:tc>
        <w:tc>
          <w:tcPr>
            <w:tcW w:w="721" w:type="pct"/>
            <w:tcBorders>
              <w:top w:val="nil"/>
              <w:left w:val="nil"/>
              <w:bottom w:val="nil"/>
              <w:right w:val="nil"/>
            </w:tcBorders>
            <w:shd w:val="clear" w:color="auto" w:fill="auto"/>
            <w:noWrap/>
            <w:hideMark/>
          </w:tcPr>
          <w:p w14:paraId="4C79E72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0A5B6DDD" w14:textId="77777777" w:rsidTr="00791EF5">
        <w:trPr>
          <w:trHeight w:val="278"/>
        </w:trPr>
        <w:tc>
          <w:tcPr>
            <w:tcW w:w="838" w:type="pct"/>
            <w:tcBorders>
              <w:top w:val="nil"/>
              <w:left w:val="nil"/>
              <w:bottom w:val="nil"/>
              <w:right w:val="nil"/>
            </w:tcBorders>
            <w:shd w:val="clear" w:color="auto" w:fill="auto"/>
          </w:tcPr>
          <w:p w14:paraId="2253190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215" w:type="pct"/>
            <w:tcBorders>
              <w:top w:val="nil"/>
              <w:left w:val="nil"/>
              <w:bottom w:val="nil"/>
              <w:right w:val="nil"/>
            </w:tcBorders>
            <w:shd w:val="clear" w:color="auto" w:fill="auto"/>
            <w:vAlign w:val="center"/>
            <w:hideMark/>
          </w:tcPr>
          <w:p w14:paraId="68F3F72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25EB78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.843</w:t>
            </w:r>
          </w:p>
        </w:tc>
        <w:tc>
          <w:tcPr>
            <w:tcW w:w="676" w:type="pct"/>
            <w:tcBorders>
              <w:top w:val="nil"/>
              <w:left w:val="nil"/>
              <w:bottom w:val="nil"/>
              <w:right w:val="nil"/>
            </w:tcBorders>
            <w:shd w:val="clear" w:color="auto" w:fill="auto"/>
          </w:tcPr>
          <w:p w14:paraId="36B31CF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.780</w:t>
            </w:r>
          </w:p>
        </w:tc>
        <w:tc>
          <w:tcPr>
            <w:tcW w:w="676" w:type="pct"/>
            <w:tcBorders>
              <w:top w:val="nil"/>
              <w:left w:val="nil"/>
              <w:bottom w:val="nil"/>
              <w:right w:val="nil"/>
            </w:tcBorders>
            <w:shd w:val="clear" w:color="auto" w:fill="auto"/>
            <w:vAlign w:val="bottom"/>
          </w:tcPr>
          <w:p w14:paraId="106A293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.886</w:t>
            </w:r>
          </w:p>
        </w:tc>
        <w:tc>
          <w:tcPr>
            <w:tcW w:w="721" w:type="pct"/>
            <w:tcBorders>
              <w:top w:val="nil"/>
              <w:left w:val="nil"/>
              <w:bottom w:val="nil"/>
              <w:right w:val="nil"/>
            </w:tcBorders>
            <w:shd w:val="clear" w:color="auto" w:fill="auto"/>
            <w:hideMark/>
          </w:tcPr>
          <w:p w14:paraId="53BCBAE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7E1C2B" w:rsidRPr="0032506F" w14:paraId="024C9955" w14:textId="77777777" w:rsidTr="00791EF5">
        <w:trPr>
          <w:trHeight w:val="314"/>
        </w:trPr>
        <w:tc>
          <w:tcPr>
            <w:tcW w:w="838" w:type="pct"/>
            <w:tcBorders>
              <w:top w:val="nil"/>
              <w:left w:val="nil"/>
              <w:bottom w:val="nil"/>
              <w:right w:val="nil"/>
            </w:tcBorders>
            <w:shd w:val="clear" w:color="auto" w:fill="auto"/>
          </w:tcPr>
          <w:p w14:paraId="70927C5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215" w:type="pct"/>
            <w:tcBorders>
              <w:top w:val="nil"/>
              <w:left w:val="nil"/>
              <w:bottom w:val="nil"/>
              <w:right w:val="nil"/>
            </w:tcBorders>
            <w:shd w:val="clear" w:color="auto" w:fill="auto"/>
            <w:vAlign w:val="center"/>
            <w:hideMark/>
          </w:tcPr>
          <w:p w14:paraId="3EBA0E1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02BC8B5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.797</w:t>
            </w:r>
          </w:p>
        </w:tc>
        <w:tc>
          <w:tcPr>
            <w:tcW w:w="676" w:type="pct"/>
            <w:tcBorders>
              <w:top w:val="nil"/>
              <w:left w:val="nil"/>
              <w:bottom w:val="nil"/>
              <w:right w:val="nil"/>
            </w:tcBorders>
            <w:shd w:val="clear" w:color="auto" w:fill="auto"/>
          </w:tcPr>
          <w:p w14:paraId="163B28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.731</w:t>
            </w:r>
          </w:p>
        </w:tc>
        <w:tc>
          <w:tcPr>
            <w:tcW w:w="676" w:type="pct"/>
            <w:tcBorders>
              <w:top w:val="nil"/>
              <w:left w:val="nil"/>
              <w:bottom w:val="nil"/>
              <w:right w:val="nil"/>
            </w:tcBorders>
            <w:shd w:val="clear" w:color="auto" w:fill="auto"/>
            <w:vAlign w:val="bottom"/>
          </w:tcPr>
          <w:p w14:paraId="769E0A8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.846</w:t>
            </w:r>
          </w:p>
        </w:tc>
        <w:tc>
          <w:tcPr>
            <w:tcW w:w="721" w:type="pct"/>
            <w:tcBorders>
              <w:top w:val="nil"/>
              <w:left w:val="nil"/>
              <w:bottom w:val="nil"/>
              <w:right w:val="nil"/>
            </w:tcBorders>
            <w:shd w:val="clear" w:color="auto" w:fill="auto"/>
            <w:hideMark/>
          </w:tcPr>
          <w:p w14:paraId="2805D1C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6F656A26" w14:textId="77777777" w:rsidTr="00791EF5">
        <w:trPr>
          <w:trHeight w:val="251"/>
        </w:trPr>
        <w:tc>
          <w:tcPr>
            <w:tcW w:w="838" w:type="pct"/>
            <w:tcBorders>
              <w:top w:val="nil"/>
              <w:left w:val="nil"/>
              <w:bottom w:val="nil"/>
              <w:right w:val="nil"/>
            </w:tcBorders>
            <w:shd w:val="clear" w:color="auto" w:fill="auto"/>
          </w:tcPr>
          <w:p w14:paraId="4FA2F88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215" w:type="pct"/>
            <w:tcBorders>
              <w:top w:val="nil"/>
              <w:left w:val="nil"/>
              <w:bottom w:val="nil"/>
              <w:right w:val="nil"/>
            </w:tcBorders>
            <w:shd w:val="clear" w:color="auto" w:fill="auto"/>
            <w:vAlign w:val="center"/>
            <w:hideMark/>
          </w:tcPr>
          <w:p w14:paraId="3A25BBD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4A44C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.818</w:t>
            </w:r>
          </w:p>
        </w:tc>
        <w:tc>
          <w:tcPr>
            <w:tcW w:w="676" w:type="pct"/>
            <w:tcBorders>
              <w:top w:val="nil"/>
              <w:left w:val="nil"/>
              <w:bottom w:val="nil"/>
              <w:right w:val="nil"/>
            </w:tcBorders>
            <w:shd w:val="clear" w:color="auto" w:fill="auto"/>
          </w:tcPr>
          <w:p w14:paraId="3E05540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.751</w:t>
            </w:r>
          </w:p>
        </w:tc>
        <w:tc>
          <w:tcPr>
            <w:tcW w:w="676" w:type="pct"/>
            <w:tcBorders>
              <w:top w:val="nil"/>
              <w:left w:val="nil"/>
              <w:bottom w:val="nil"/>
              <w:right w:val="nil"/>
            </w:tcBorders>
            <w:shd w:val="clear" w:color="auto" w:fill="auto"/>
            <w:vAlign w:val="bottom"/>
          </w:tcPr>
          <w:p w14:paraId="6D746B5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.870</w:t>
            </w:r>
          </w:p>
        </w:tc>
        <w:tc>
          <w:tcPr>
            <w:tcW w:w="721" w:type="pct"/>
            <w:tcBorders>
              <w:top w:val="nil"/>
              <w:left w:val="nil"/>
              <w:bottom w:val="nil"/>
              <w:right w:val="nil"/>
            </w:tcBorders>
            <w:shd w:val="clear" w:color="auto" w:fill="auto"/>
            <w:hideMark/>
          </w:tcPr>
          <w:p w14:paraId="26463B8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7E1C2B" w:rsidRPr="0032506F" w14:paraId="4BE5BDBA" w14:textId="77777777" w:rsidTr="00791EF5">
        <w:trPr>
          <w:trHeight w:val="197"/>
        </w:trPr>
        <w:tc>
          <w:tcPr>
            <w:tcW w:w="838" w:type="pct"/>
            <w:tcBorders>
              <w:top w:val="nil"/>
              <w:left w:val="nil"/>
              <w:bottom w:val="nil"/>
              <w:right w:val="nil"/>
            </w:tcBorders>
            <w:shd w:val="clear" w:color="auto" w:fill="auto"/>
          </w:tcPr>
          <w:p w14:paraId="20A62D0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215" w:type="pct"/>
            <w:tcBorders>
              <w:top w:val="nil"/>
              <w:left w:val="nil"/>
              <w:bottom w:val="nil"/>
              <w:right w:val="nil"/>
            </w:tcBorders>
            <w:shd w:val="clear" w:color="auto" w:fill="auto"/>
            <w:vAlign w:val="center"/>
            <w:hideMark/>
          </w:tcPr>
          <w:p w14:paraId="221AAE9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4A8245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.835</w:t>
            </w:r>
          </w:p>
        </w:tc>
        <w:tc>
          <w:tcPr>
            <w:tcW w:w="676" w:type="pct"/>
            <w:tcBorders>
              <w:top w:val="nil"/>
              <w:left w:val="nil"/>
              <w:bottom w:val="nil"/>
              <w:right w:val="nil"/>
            </w:tcBorders>
            <w:shd w:val="clear" w:color="auto" w:fill="auto"/>
          </w:tcPr>
          <w:p w14:paraId="7187809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.768</w:t>
            </w:r>
          </w:p>
        </w:tc>
        <w:tc>
          <w:tcPr>
            <w:tcW w:w="676" w:type="pct"/>
            <w:tcBorders>
              <w:top w:val="nil"/>
              <w:left w:val="nil"/>
              <w:bottom w:val="nil"/>
              <w:right w:val="nil"/>
            </w:tcBorders>
            <w:shd w:val="clear" w:color="auto" w:fill="auto"/>
            <w:vAlign w:val="bottom"/>
          </w:tcPr>
          <w:p w14:paraId="765BF57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.881</w:t>
            </w:r>
          </w:p>
        </w:tc>
        <w:tc>
          <w:tcPr>
            <w:tcW w:w="721" w:type="pct"/>
            <w:tcBorders>
              <w:top w:val="nil"/>
              <w:left w:val="nil"/>
              <w:bottom w:val="nil"/>
              <w:right w:val="nil"/>
            </w:tcBorders>
            <w:shd w:val="clear" w:color="auto" w:fill="auto"/>
            <w:hideMark/>
          </w:tcPr>
          <w:p w14:paraId="40E5D33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7E1C2B" w:rsidRPr="0032506F" w14:paraId="222D08EC" w14:textId="77777777" w:rsidTr="00791EF5">
        <w:trPr>
          <w:trHeight w:val="233"/>
        </w:trPr>
        <w:tc>
          <w:tcPr>
            <w:tcW w:w="838" w:type="pct"/>
            <w:tcBorders>
              <w:top w:val="nil"/>
              <w:left w:val="nil"/>
              <w:bottom w:val="nil"/>
              <w:right w:val="nil"/>
            </w:tcBorders>
            <w:shd w:val="clear" w:color="auto" w:fill="auto"/>
          </w:tcPr>
          <w:p w14:paraId="47AC57F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OEE9</w:t>
            </w:r>
          </w:p>
        </w:tc>
        <w:tc>
          <w:tcPr>
            <w:tcW w:w="1215" w:type="pct"/>
            <w:tcBorders>
              <w:top w:val="nil"/>
              <w:left w:val="nil"/>
              <w:bottom w:val="nil"/>
              <w:right w:val="nil"/>
            </w:tcBorders>
            <w:shd w:val="clear" w:color="auto" w:fill="auto"/>
            <w:vAlign w:val="center"/>
            <w:hideMark/>
          </w:tcPr>
          <w:p w14:paraId="39B899C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9F0D783"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.694</w:t>
            </w:r>
          </w:p>
        </w:tc>
        <w:tc>
          <w:tcPr>
            <w:tcW w:w="676" w:type="pct"/>
            <w:tcBorders>
              <w:top w:val="nil"/>
              <w:left w:val="nil"/>
              <w:bottom w:val="nil"/>
              <w:right w:val="nil"/>
            </w:tcBorders>
            <w:shd w:val="clear" w:color="auto" w:fill="auto"/>
          </w:tcPr>
          <w:p w14:paraId="2788A37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.614</w:t>
            </w:r>
          </w:p>
        </w:tc>
        <w:tc>
          <w:tcPr>
            <w:tcW w:w="676" w:type="pct"/>
            <w:tcBorders>
              <w:top w:val="nil"/>
              <w:left w:val="nil"/>
              <w:bottom w:val="nil"/>
              <w:right w:val="nil"/>
            </w:tcBorders>
            <w:shd w:val="clear" w:color="auto" w:fill="auto"/>
            <w:vAlign w:val="bottom"/>
          </w:tcPr>
          <w:p w14:paraId="3FF3F53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.763</w:t>
            </w:r>
          </w:p>
        </w:tc>
        <w:tc>
          <w:tcPr>
            <w:tcW w:w="721" w:type="pct"/>
            <w:tcBorders>
              <w:top w:val="nil"/>
              <w:left w:val="nil"/>
              <w:bottom w:val="nil"/>
              <w:right w:val="nil"/>
            </w:tcBorders>
            <w:shd w:val="clear" w:color="auto" w:fill="auto"/>
            <w:hideMark/>
          </w:tcPr>
          <w:p w14:paraId="0D12B81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7685B37F" w14:textId="77777777" w:rsidTr="00791EF5">
        <w:trPr>
          <w:trHeight w:val="260"/>
        </w:trPr>
        <w:tc>
          <w:tcPr>
            <w:tcW w:w="838" w:type="pct"/>
            <w:tcBorders>
              <w:top w:val="nil"/>
              <w:left w:val="nil"/>
              <w:bottom w:val="nil"/>
              <w:right w:val="nil"/>
            </w:tcBorders>
            <w:shd w:val="clear" w:color="auto" w:fill="auto"/>
            <w:vAlign w:val="center"/>
          </w:tcPr>
          <w:p w14:paraId="34BC12E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OEE14</w:t>
            </w:r>
          </w:p>
        </w:tc>
        <w:tc>
          <w:tcPr>
            <w:tcW w:w="1215" w:type="pct"/>
            <w:tcBorders>
              <w:top w:val="nil"/>
              <w:left w:val="nil"/>
              <w:bottom w:val="nil"/>
              <w:right w:val="nil"/>
            </w:tcBorders>
            <w:shd w:val="clear" w:color="auto" w:fill="auto"/>
            <w:vAlign w:val="center"/>
            <w:hideMark/>
          </w:tcPr>
          <w:p w14:paraId="2E2E51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center"/>
          </w:tcPr>
          <w:p w14:paraId="4209F6C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.628</w:t>
            </w:r>
          </w:p>
        </w:tc>
        <w:tc>
          <w:tcPr>
            <w:tcW w:w="676" w:type="pct"/>
            <w:tcBorders>
              <w:top w:val="nil"/>
              <w:left w:val="nil"/>
              <w:bottom w:val="nil"/>
              <w:right w:val="nil"/>
            </w:tcBorders>
            <w:shd w:val="clear" w:color="auto" w:fill="auto"/>
            <w:vAlign w:val="center"/>
          </w:tcPr>
          <w:p w14:paraId="134CBF3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.513</w:t>
            </w:r>
          </w:p>
        </w:tc>
        <w:tc>
          <w:tcPr>
            <w:tcW w:w="676" w:type="pct"/>
            <w:tcBorders>
              <w:top w:val="nil"/>
              <w:left w:val="nil"/>
              <w:bottom w:val="nil"/>
              <w:right w:val="nil"/>
            </w:tcBorders>
            <w:shd w:val="clear" w:color="auto" w:fill="auto"/>
            <w:vAlign w:val="center"/>
          </w:tcPr>
          <w:p w14:paraId="02500D5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.716</w:t>
            </w:r>
          </w:p>
        </w:tc>
        <w:tc>
          <w:tcPr>
            <w:tcW w:w="721" w:type="pct"/>
            <w:tcBorders>
              <w:top w:val="nil"/>
              <w:left w:val="nil"/>
              <w:bottom w:val="nil"/>
              <w:right w:val="nil"/>
            </w:tcBorders>
            <w:shd w:val="clear" w:color="auto" w:fill="auto"/>
            <w:noWrap/>
            <w:hideMark/>
          </w:tcPr>
          <w:p w14:paraId="541CF8E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1B73102C" w14:textId="77777777" w:rsidTr="00791EF5">
        <w:trPr>
          <w:trHeight w:val="287"/>
        </w:trPr>
        <w:tc>
          <w:tcPr>
            <w:tcW w:w="838" w:type="pct"/>
            <w:tcBorders>
              <w:top w:val="nil"/>
              <w:left w:val="nil"/>
              <w:bottom w:val="nil"/>
              <w:right w:val="nil"/>
            </w:tcBorders>
            <w:shd w:val="clear" w:color="auto" w:fill="auto"/>
          </w:tcPr>
          <w:p w14:paraId="0244107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OEE15</w:t>
            </w:r>
          </w:p>
        </w:tc>
        <w:tc>
          <w:tcPr>
            <w:tcW w:w="1215" w:type="pct"/>
            <w:tcBorders>
              <w:top w:val="nil"/>
              <w:left w:val="nil"/>
              <w:bottom w:val="nil"/>
              <w:right w:val="nil"/>
            </w:tcBorders>
            <w:shd w:val="clear" w:color="auto" w:fill="auto"/>
            <w:vAlign w:val="center"/>
            <w:hideMark/>
          </w:tcPr>
          <w:p w14:paraId="08386C7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7A6C74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.636</w:t>
            </w:r>
          </w:p>
        </w:tc>
        <w:tc>
          <w:tcPr>
            <w:tcW w:w="676" w:type="pct"/>
            <w:tcBorders>
              <w:top w:val="nil"/>
              <w:left w:val="nil"/>
              <w:bottom w:val="nil"/>
              <w:right w:val="nil"/>
            </w:tcBorders>
            <w:shd w:val="clear" w:color="auto" w:fill="auto"/>
            <w:vAlign w:val="bottom"/>
          </w:tcPr>
          <w:p w14:paraId="54381E1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.525</w:t>
            </w:r>
          </w:p>
        </w:tc>
        <w:tc>
          <w:tcPr>
            <w:tcW w:w="676" w:type="pct"/>
            <w:tcBorders>
              <w:top w:val="nil"/>
              <w:left w:val="nil"/>
              <w:bottom w:val="nil"/>
              <w:right w:val="nil"/>
            </w:tcBorders>
            <w:shd w:val="clear" w:color="auto" w:fill="auto"/>
            <w:vAlign w:val="bottom"/>
          </w:tcPr>
          <w:p w14:paraId="07E8311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.723</w:t>
            </w:r>
          </w:p>
        </w:tc>
        <w:tc>
          <w:tcPr>
            <w:tcW w:w="721" w:type="pct"/>
            <w:tcBorders>
              <w:top w:val="nil"/>
              <w:left w:val="nil"/>
              <w:bottom w:val="nil"/>
              <w:right w:val="nil"/>
            </w:tcBorders>
            <w:shd w:val="clear" w:color="auto" w:fill="auto"/>
            <w:hideMark/>
          </w:tcPr>
          <w:p w14:paraId="71B081D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417590BE" w14:textId="77777777" w:rsidTr="00791EF5">
        <w:trPr>
          <w:trHeight w:val="242"/>
        </w:trPr>
        <w:tc>
          <w:tcPr>
            <w:tcW w:w="838" w:type="pct"/>
            <w:tcBorders>
              <w:top w:val="nil"/>
              <w:left w:val="nil"/>
              <w:bottom w:val="nil"/>
              <w:right w:val="nil"/>
            </w:tcBorders>
            <w:shd w:val="clear" w:color="auto" w:fill="auto"/>
          </w:tcPr>
          <w:p w14:paraId="2840187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OEE18</w:t>
            </w:r>
          </w:p>
        </w:tc>
        <w:tc>
          <w:tcPr>
            <w:tcW w:w="1215" w:type="pct"/>
            <w:tcBorders>
              <w:top w:val="nil"/>
              <w:left w:val="nil"/>
              <w:bottom w:val="nil"/>
              <w:right w:val="nil"/>
            </w:tcBorders>
            <w:shd w:val="clear" w:color="auto" w:fill="auto"/>
            <w:vAlign w:val="center"/>
          </w:tcPr>
          <w:p w14:paraId="3DF754B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479AEE5"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.690</w:t>
            </w:r>
          </w:p>
        </w:tc>
        <w:tc>
          <w:tcPr>
            <w:tcW w:w="676" w:type="pct"/>
            <w:tcBorders>
              <w:top w:val="nil"/>
              <w:left w:val="nil"/>
              <w:bottom w:val="nil"/>
              <w:right w:val="nil"/>
            </w:tcBorders>
            <w:shd w:val="clear" w:color="auto" w:fill="auto"/>
            <w:vAlign w:val="bottom"/>
          </w:tcPr>
          <w:p w14:paraId="5B376CCB"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.596</w:t>
            </w:r>
          </w:p>
        </w:tc>
        <w:tc>
          <w:tcPr>
            <w:tcW w:w="676" w:type="pct"/>
            <w:tcBorders>
              <w:top w:val="nil"/>
              <w:left w:val="nil"/>
              <w:bottom w:val="nil"/>
              <w:right w:val="nil"/>
            </w:tcBorders>
            <w:shd w:val="clear" w:color="auto" w:fill="auto"/>
            <w:vAlign w:val="bottom"/>
          </w:tcPr>
          <w:p w14:paraId="78558D45"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.771</w:t>
            </w:r>
          </w:p>
        </w:tc>
        <w:tc>
          <w:tcPr>
            <w:tcW w:w="721" w:type="pct"/>
            <w:tcBorders>
              <w:top w:val="nil"/>
              <w:left w:val="nil"/>
              <w:bottom w:val="nil"/>
              <w:right w:val="nil"/>
            </w:tcBorders>
            <w:shd w:val="clear" w:color="auto" w:fill="auto"/>
          </w:tcPr>
          <w:p w14:paraId="051994F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4CD19EEE" w14:textId="77777777" w:rsidTr="00791EF5">
        <w:trPr>
          <w:trHeight w:val="269"/>
        </w:trPr>
        <w:tc>
          <w:tcPr>
            <w:tcW w:w="838" w:type="pct"/>
            <w:tcBorders>
              <w:top w:val="nil"/>
              <w:left w:val="nil"/>
              <w:bottom w:val="nil"/>
              <w:right w:val="nil"/>
            </w:tcBorders>
            <w:shd w:val="clear" w:color="auto" w:fill="auto"/>
          </w:tcPr>
          <w:p w14:paraId="563E92E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OEE19</w:t>
            </w:r>
          </w:p>
        </w:tc>
        <w:tc>
          <w:tcPr>
            <w:tcW w:w="1215" w:type="pct"/>
            <w:tcBorders>
              <w:top w:val="nil"/>
              <w:left w:val="nil"/>
              <w:bottom w:val="nil"/>
              <w:right w:val="nil"/>
            </w:tcBorders>
            <w:shd w:val="clear" w:color="auto" w:fill="auto"/>
            <w:vAlign w:val="center"/>
            <w:hideMark/>
          </w:tcPr>
          <w:p w14:paraId="3996858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E8C7AA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.645</w:t>
            </w:r>
          </w:p>
        </w:tc>
        <w:tc>
          <w:tcPr>
            <w:tcW w:w="676" w:type="pct"/>
            <w:tcBorders>
              <w:top w:val="nil"/>
              <w:left w:val="nil"/>
              <w:bottom w:val="nil"/>
              <w:right w:val="nil"/>
            </w:tcBorders>
            <w:shd w:val="clear" w:color="auto" w:fill="auto"/>
            <w:vAlign w:val="bottom"/>
          </w:tcPr>
          <w:p w14:paraId="4E4B56B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.545</w:t>
            </w:r>
          </w:p>
        </w:tc>
        <w:tc>
          <w:tcPr>
            <w:tcW w:w="676" w:type="pct"/>
            <w:tcBorders>
              <w:top w:val="nil"/>
              <w:left w:val="nil"/>
              <w:bottom w:val="nil"/>
              <w:right w:val="nil"/>
            </w:tcBorders>
            <w:shd w:val="clear" w:color="auto" w:fill="auto"/>
            <w:vAlign w:val="bottom"/>
          </w:tcPr>
          <w:p w14:paraId="3B4AFE8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.725</w:t>
            </w:r>
          </w:p>
        </w:tc>
        <w:tc>
          <w:tcPr>
            <w:tcW w:w="721" w:type="pct"/>
            <w:tcBorders>
              <w:top w:val="nil"/>
              <w:left w:val="nil"/>
              <w:bottom w:val="nil"/>
              <w:right w:val="nil"/>
            </w:tcBorders>
            <w:shd w:val="clear" w:color="auto" w:fill="auto"/>
            <w:hideMark/>
          </w:tcPr>
          <w:p w14:paraId="47135C8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04735C1D" w14:textId="77777777" w:rsidTr="00791EF5">
        <w:trPr>
          <w:trHeight w:val="206"/>
        </w:trPr>
        <w:tc>
          <w:tcPr>
            <w:tcW w:w="838" w:type="pct"/>
            <w:tcBorders>
              <w:top w:val="nil"/>
              <w:left w:val="nil"/>
              <w:bottom w:val="nil"/>
              <w:right w:val="nil"/>
            </w:tcBorders>
            <w:shd w:val="clear" w:color="auto" w:fill="auto"/>
          </w:tcPr>
          <w:p w14:paraId="20CADBE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215" w:type="pct"/>
            <w:tcBorders>
              <w:top w:val="nil"/>
              <w:left w:val="nil"/>
              <w:bottom w:val="nil"/>
              <w:right w:val="nil"/>
            </w:tcBorders>
            <w:shd w:val="clear" w:color="auto" w:fill="auto"/>
            <w:vAlign w:val="center"/>
            <w:hideMark/>
          </w:tcPr>
          <w:p w14:paraId="2163767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7FC4F15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bookmarkStart w:id="110" w:name="_Hlk92051530"/>
            <w:r w:rsidRPr="0032506F">
              <w:rPr>
                <w:rFonts w:ascii="Times New Roman" w:eastAsia="SimSun" w:hAnsi="Times New Roman" w:cs="Times New Roman"/>
                <w:sz w:val="24"/>
                <w:szCs w:val="24"/>
              </w:rPr>
              <w:t>.652</w:t>
            </w:r>
            <w:bookmarkEnd w:id="110"/>
          </w:p>
        </w:tc>
        <w:tc>
          <w:tcPr>
            <w:tcW w:w="676" w:type="pct"/>
            <w:tcBorders>
              <w:top w:val="nil"/>
              <w:left w:val="nil"/>
              <w:bottom w:val="nil"/>
              <w:right w:val="nil"/>
            </w:tcBorders>
            <w:shd w:val="clear" w:color="auto" w:fill="auto"/>
            <w:vAlign w:val="bottom"/>
          </w:tcPr>
          <w:p w14:paraId="416AD02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.551</w:t>
            </w:r>
          </w:p>
        </w:tc>
        <w:tc>
          <w:tcPr>
            <w:tcW w:w="676" w:type="pct"/>
            <w:tcBorders>
              <w:top w:val="nil"/>
              <w:left w:val="nil"/>
              <w:bottom w:val="nil"/>
              <w:right w:val="nil"/>
            </w:tcBorders>
            <w:shd w:val="clear" w:color="auto" w:fill="auto"/>
            <w:vAlign w:val="bottom"/>
          </w:tcPr>
          <w:p w14:paraId="39C10BB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.741</w:t>
            </w:r>
          </w:p>
        </w:tc>
        <w:tc>
          <w:tcPr>
            <w:tcW w:w="721" w:type="pct"/>
            <w:tcBorders>
              <w:top w:val="nil"/>
              <w:left w:val="nil"/>
              <w:bottom w:val="nil"/>
              <w:right w:val="nil"/>
            </w:tcBorders>
            <w:shd w:val="clear" w:color="auto" w:fill="auto"/>
            <w:hideMark/>
          </w:tcPr>
          <w:p w14:paraId="3DEB3C4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6517EF75" w14:textId="77777777" w:rsidTr="00791EF5">
        <w:trPr>
          <w:trHeight w:val="242"/>
        </w:trPr>
        <w:tc>
          <w:tcPr>
            <w:tcW w:w="838" w:type="pct"/>
            <w:tcBorders>
              <w:top w:val="nil"/>
              <w:left w:val="nil"/>
              <w:bottom w:val="nil"/>
              <w:right w:val="nil"/>
            </w:tcBorders>
            <w:shd w:val="clear" w:color="auto" w:fill="auto"/>
          </w:tcPr>
          <w:p w14:paraId="58A1777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215" w:type="pct"/>
            <w:tcBorders>
              <w:top w:val="nil"/>
              <w:left w:val="nil"/>
              <w:bottom w:val="nil"/>
              <w:right w:val="nil"/>
            </w:tcBorders>
            <w:shd w:val="clear" w:color="auto" w:fill="auto"/>
            <w:vAlign w:val="center"/>
            <w:hideMark/>
          </w:tcPr>
          <w:p w14:paraId="4571BDA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378618F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.755</w:t>
            </w:r>
          </w:p>
        </w:tc>
        <w:tc>
          <w:tcPr>
            <w:tcW w:w="676" w:type="pct"/>
            <w:tcBorders>
              <w:top w:val="nil"/>
              <w:left w:val="nil"/>
              <w:bottom w:val="nil"/>
              <w:right w:val="nil"/>
            </w:tcBorders>
            <w:shd w:val="clear" w:color="auto" w:fill="auto"/>
            <w:vAlign w:val="bottom"/>
          </w:tcPr>
          <w:p w14:paraId="2E79BA3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.675</w:t>
            </w:r>
          </w:p>
        </w:tc>
        <w:tc>
          <w:tcPr>
            <w:tcW w:w="676" w:type="pct"/>
            <w:tcBorders>
              <w:top w:val="nil"/>
              <w:left w:val="nil"/>
              <w:bottom w:val="nil"/>
              <w:right w:val="nil"/>
            </w:tcBorders>
            <w:shd w:val="clear" w:color="auto" w:fill="auto"/>
            <w:vAlign w:val="bottom"/>
          </w:tcPr>
          <w:p w14:paraId="0EEA9A9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.817</w:t>
            </w:r>
          </w:p>
        </w:tc>
        <w:tc>
          <w:tcPr>
            <w:tcW w:w="721" w:type="pct"/>
            <w:tcBorders>
              <w:top w:val="nil"/>
              <w:left w:val="nil"/>
              <w:bottom w:val="nil"/>
              <w:right w:val="nil"/>
            </w:tcBorders>
            <w:shd w:val="clear" w:color="auto" w:fill="auto"/>
            <w:hideMark/>
          </w:tcPr>
          <w:p w14:paraId="59386F7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7E1C2B" w:rsidRPr="0032506F" w14:paraId="2C3643B6" w14:textId="77777777" w:rsidTr="00791EF5">
        <w:trPr>
          <w:trHeight w:val="278"/>
        </w:trPr>
        <w:tc>
          <w:tcPr>
            <w:tcW w:w="838" w:type="pct"/>
            <w:tcBorders>
              <w:top w:val="nil"/>
              <w:left w:val="nil"/>
              <w:bottom w:val="nil"/>
              <w:right w:val="nil"/>
            </w:tcBorders>
            <w:shd w:val="clear" w:color="auto" w:fill="auto"/>
          </w:tcPr>
          <w:p w14:paraId="624A383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OCE8</w:t>
            </w:r>
          </w:p>
        </w:tc>
        <w:tc>
          <w:tcPr>
            <w:tcW w:w="1215" w:type="pct"/>
            <w:tcBorders>
              <w:top w:val="nil"/>
              <w:left w:val="nil"/>
              <w:bottom w:val="nil"/>
              <w:right w:val="nil"/>
            </w:tcBorders>
            <w:shd w:val="clear" w:color="auto" w:fill="auto"/>
            <w:vAlign w:val="center"/>
            <w:hideMark/>
          </w:tcPr>
          <w:p w14:paraId="545A7DB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2E961ED0"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.675</w:t>
            </w:r>
          </w:p>
        </w:tc>
        <w:tc>
          <w:tcPr>
            <w:tcW w:w="676" w:type="pct"/>
            <w:tcBorders>
              <w:top w:val="nil"/>
              <w:left w:val="nil"/>
              <w:bottom w:val="nil"/>
              <w:right w:val="nil"/>
            </w:tcBorders>
            <w:shd w:val="clear" w:color="auto" w:fill="auto"/>
            <w:vAlign w:val="bottom"/>
          </w:tcPr>
          <w:p w14:paraId="5028EE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.584</w:t>
            </w:r>
          </w:p>
        </w:tc>
        <w:tc>
          <w:tcPr>
            <w:tcW w:w="676" w:type="pct"/>
            <w:tcBorders>
              <w:top w:val="nil"/>
              <w:left w:val="nil"/>
              <w:bottom w:val="nil"/>
              <w:right w:val="nil"/>
            </w:tcBorders>
            <w:shd w:val="clear" w:color="auto" w:fill="auto"/>
            <w:vAlign w:val="bottom"/>
          </w:tcPr>
          <w:p w14:paraId="4D403B9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.751</w:t>
            </w:r>
          </w:p>
        </w:tc>
        <w:tc>
          <w:tcPr>
            <w:tcW w:w="721" w:type="pct"/>
            <w:tcBorders>
              <w:top w:val="nil"/>
              <w:left w:val="nil"/>
              <w:bottom w:val="nil"/>
              <w:right w:val="nil"/>
            </w:tcBorders>
            <w:shd w:val="clear" w:color="auto" w:fill="auto"/>
            <w:hideMark/>
          </w:tcPr>
          <w:p w14:paraId="3439E5E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.002</w:t>
            </w:r>
          </w:p>
        </w:tc>
      </w:tr>
      <w:tr w:rsidR="007E1C2B" w:rsidRPr="0032506F" w14:paraId="45523231" w14:textId="77777777" w:rsidTr="00791EF5">
        <w:trPr>
          <w:trHeight w:val="278"/>
        </w:trPr>
        <w:tc>
          <w:tcPr>
            <w:tcW w:w="838" w:type="pct"/>
            <w:tcBorders>
              <w:top w:val="nil"/>
              <w:left w:val="nil"/>
              <w:bottom w:val="nil"/>
              <w:right w:val="nil"/>
            </w:tcBorders>
            <w:shd w:val="clear" w:color="auto" w:fill="auto"/>
          </w:tcPr>
          <w:p w14:paraId="38D060B4"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OCE10</w:t>
            </w:r>
          </w:p>
        </w:tc>
        <w:tc>
          <w:tcPr>
            <w:tcW w:w="1215" w:type="pct"/>
            <w:tcBorders>
              <w:top w:val="nil"/>
              <w:left w:val="nil"/>
              <w:bottom w:val="nil"/>
              <w:right w:val="nil"/>
            </w:tcBorders>
            <w:shd w:val="clear" w:color="auto" w:fill="auto"/>
            <w:vAlign w:val="center"/>
          </w:tcPr>
          <w:p w14:paraId="2D1AAD1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736EFAB5"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.757</w:t>
            </w:r>
          </w:p>
        </w:tc>
        <w:tc>
          <w:tcPr>
            <w:tcW w:w="676" w:type="pct"/>
            <w:tcBorders>
              <w:top w:val="nil"/>
              <w:left w:val="nil"/>
              <w:bottom w:val="nil"/>
              <w:right w:val="nil"/>
            </w:tcBorders>
            <w:shd w:val="clear" w:color="auto" w:fill="auto"/>
            <w:vAlign w:val="bottom"/>
          </w:tcPr>
          <w:p w14:paraId="0394EA2B"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.686</w:t>
            </w:r>
          </w:p>
        </w:tc>
        <w:tc>
          <w:tcPr>
            <w:tcW w:w="676" w:type="pct"/>
            <w:tcBorders>
              <w:top w:val="nil"/>
              <w:left w:val="nil"/>
              <w:bottom w:val="nil"/>
              <w:right w:val="nil"/>
            </w:tcBorders>
            <w:shd w:val="clear" w:color="auto" w:fill="auto"/>
            <w:vAlign w:val="bottom"/>
          </w:tcPr>
          <w:p w14:paraId="02E82334"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.817</w:t>
            </w:r>
          </w:p>
        </w:tc>
        <w:tc>
          <w:tcPr>
            <w:tcW w:w="721" w:type="pct"/>
            <w:tcBorders>
              <w:top w:val="nil"/>
              <w:left w:val="nil"/>
              <w:bottom w:val="nil"/>
              <w:right w:val="nil"/>
            </w:tcBorders>
            <w:shd w:val="clear" w:color="auto" w:fill="auto"/>
          </w:tcPr>
          <w:p w14:paraId="1E9B427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62B9A587" w14:textId="77777777" w:rsidTr="00791EF5">
        <w:trPr>
          <w:trHeight w:val="278"/>
        </w:trPr>
        <w:tc>
          <w:tcPr>
            <w:tcW w:w="838" w:type="pct"/>
            <w:tcBorders>
              <w:top w:val="nil"/>
              <w:left w:val="nil"/>
              <w:bottom w:val="nil"/>
              <w:right w:val="nil"/>
            </w:tcBorders>
            <w:shd w:val="clear" w:color="auto" w:fill="auto"/>
          </w:tcPr>
          <w:p w14:paraId="7D5C538B"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215" w:type="pct"/>
            <w:tcBorders>
              <w:top w:val="nil"/>
              <w:left w:val="nil"/>
              <w:bottom w:val="nil"/>
              <w:right w:val="nil"/>
            </w:tcBorders>
            <w:shd w:val="clear" w:color="auto" w:fill="auto"/>
            <w:vAlign w:val="center"/>
          </w:tcPr>
          <w:p w14:paraId="59FE023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00A7E89A"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.768</w:t>
            </w:r>
          </w:p>
        </w:tc>
        <w:tc>
          <w:tcPr>
            <w:tcW w:w="676" w:type="pct"/>
            <w:tcBorders>
              <w:top w:val="nil"/>
              <w:left w:val="nil"/>
              <w:bottom w:val="nil"/>
              <w:right w:val="nil"/>
            </w:tcBorders>
            <w:shd w:val="clear" w:color="auto" w:fill="auto"/>
            <w:vAlign w:val="bottom"/>
          </w:tcPr>
          <w:p w14:paraId="44930FA5"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.684</w:t>
            </w:r>
          </w:p>
        </w:tc>
        <w:tc>
          <w:tcPr>
            <w:tcW w:w="676" w:type="pct"/>
            <w:tcBorders>
              <w:top w:val="nil"/>
              <w:left w:val="nil"/>
              <w:bottom w:val="nil"/>
              <w:right w:val="nil"/>
            </w:tcBorders>
            <w:shd w:val="clear" w:color="auto" w:fill="auto"/>
            <w:vAlign w:val="bottom"/>
          </w:tcPr>
          <w:p w14:paraId="58CC1385"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.835</w:t>
            </w:r>
          </w:p>
        </w:tc>
        <w:tc>
          <w:tcPr>
            <w:tcW w:w="721" w:type="pct"/>
            <w:tcBorders>
              <w:top w:val="nil"/>
              <w:left w:val="nil"/>
              <w:bottom w:val="nil"/>
              <w:right w:val="nil"/>
            </w:tcBorders>
            <w:shd w:val="clear" w:color="auto" w:fill="auto"/>
          </w:tcPr>
          <w:p w14:paraId="2815ADC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75D7845E" w14:textId="77777777" w:rsidTr="00791EF5">
        <w:trPr>
          <w:trHeight w:val="278"/>
        </w:trPr>
        <w:tc>
          <w:tcPr>
            <w:tcW w:w="838" w:type="pct"/>
            <w:tcBorders>
              <w:top w:val="nil"/>
              <w:left w:val="nil"/>
              <w:bottom w:val="nil"/>
              <w:right w:val="nil"/>
            </w:tcBorders>
            <w:shd w:val="clear" w:color="auto" w:fill="auto"/>
          </w:tcPr>
          <w:p w14:paraId="07102940"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215" w:type="pct"/>
            <w:tcBorders>
              <w:top w:val="nil"/>
              <w:left w:val="nil"/>
              <w:bottom w:val="nil"/>
              <w:right w:val="nil"/>
            </w:tcBorders>
            <w:shd w:val="clear" w:color="auto" w:fill="auto"/>
            <w:vAlign w:val="center"/>
          </w:tcPr>
          <w:p w14:paraId="120B43B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53241B6"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.728</w:t>
            </w:r>
          </w:p>
        </w:tc>
        <w:tc>
          <w:tcPr>
            <w:tcW w:w="676" w:type="pct"/>
            <w:tcBorders>
              <w:top w:val="nil"/>
              <w:left w:val="nil"/>
              <w:bottom w:val="nil"/>
              <w:right w:val="nil"/>
            </w:tcBorders>
            <w:shd w:val="clear" w:color="auto" w:fill="auto"/>
            <w:vAlign w:val="bottom"/>
          </w:tcPr>
          <w:p w14:paraId="040FC8B9"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.635</w:t>
            </w:r>
          </w:p>
        </w:tc>
        <w:tc>
          <w:tcPr>
            <w:tcW w:w="676" w:type="pct"/>
            <w:tcBorders>
              <w:top w:val="nil"/>
              <w:left w:val="nil"/>
              <w:bottom w:val="nil"/>
              <w:right w:val="nil"/>
            </w:tcBorders>
            <w:shd w:val="clear" w:color="auto" w:fill="auto"/>
            <w:vAlign w:val="bottom"/>
          </w:tcPr>
          <w:p w14:paraId="6C94205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.806</w:t>
            </w:r>
          </w:p>
        </w:tc>
        <w:tc>
          <w:tcPr>
            <w:tcW w:w="721" w:type="pct"/>
            <w:tcBorders>
              <w:top w:val="nil"/>
              <w:left w:val="nil"/>
              <w:bottom w:val="nil"/>
              <w:right w:val="nil"/>
            </w:tcBorders>
            <w:shd w:val="clear" w:color="auto" w:fill="auto"/>
          </w:tcPr>
          <w:p w14:paraId="09AABB1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7D55CFF2" w14:textId="77777777" w:rsidTr="00791EF5">
        <w:trPr>
          <w:trHeight w:val="278"/>
        </w:trPr>
        <w:tc>
          <w:tcPr>
            <w:tcW w:w="838" w:type="pct"/>
            <w:tcBorders>
              <w:top w:val="nil"/>
              <w:left w:val="nil"/>
              <w:bottom w:val="nil"/>
              <w:right w:val="nil"/>
            </w:tcBorders>
            <w:shd w:val="clear" w:color="auto" w:fill="auto"/>
          </w:tcPr>
          <w:p w14:paraId="67FDFA64"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215" w:type="pct"/>
            <w:tcBorders>
              <w:top w:val="nil"/>
              <w:left w:val="nil"/>
              <w:bottom w:val="nil"/>
              <w:right w:val="nil"/>
            </w:tcBorders>
            <w:shd w:val="clear" w:color="auto" w:fill="auto"/>
            <w:vAlign w:val="center"/>
          </w:tcPr>
          <w:p w14:paraId="157BAC1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484C491"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.633</w:t>
            </w:r>
          </w:p>
        </w:tc>
        <w:tc>
          <w:tcPr>
            <w:tcW w:w="676" w:type="pct"/>
            <w:tcBorders>
              <w:top w:val="nil"/>
              <w:left w:val="nil"/>
              <w:bottom w:val="nil"/>
              <w:right w:val="nil"/>
            </w:tcBorders>
            <w:shd w:val="clear" w:color="auto" w:fill="auto"/>
            <w:vAlign w:val="bottom"/>
          </w:tcPr>
          <w:p w14:paraId="3475D7F3"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.535</w:t>
            </w:r>
          </w:p>
        </w:tc>
        <w:tc>
          <w:tcPr>
            <w:tcW w:w="676" w:type="pct"/>
            <w:tcBorders>
              <w:top w:val="nil"/>
              <w:left w:val="nil"/>
              <w:bottom w:val="nil"/>
              <w:right w:val="nil"/>
            </w:tcBorders>
            <w:shd w:val="clear" w:color="auto" w:fill="auto"/>
            <w:vAlign w:val="bottom"/>
          </w:tcPr>
          <w:p w14:paraId="27EA66FC"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.728</w:t>
            </w:r>
          </w:p>
        </w:tc>
        <w:tc>
          <w:tcPr>
            <w:tcW w:w="721" w:type="pct"/>
            <w:tcBorders>
              <w:top w:val="nil"/>
              <w:left w:val="nil"/>
              <w:bottom w:val="nil"/>
              <w:right w:val="nil"/>
            </w:tcBorders>
            <w:shd w:val="clear" w:color="auto" w:fill="auto"/>
          </w:tcPr>
          <w:p w14:paraId="667DA5F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6C5FB725" w14:textId="77777777" w:rsidTr="00791EF5">
        <w:trPr>
          <w:trHeight w:val="278"/>
        </w:trPr>
        <w:tc>
          <w:tcPr>
            <w:tcW w:w="838" w:type="pct"/>
            <w:tcBorders>
              <w:top w:val="nil"/>
              <w:left w:val="nil"/>
              <w:bottom w:val="nil"/>
              <w:right w:val="nil"/>
            </w:tcBorders>
            <w:shd w:val="clear" w:color="auto" w:fill="auto"/>
          </w:tcPr>
          <w:p w14:paraId="60176C7A"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215" w:type="pct"/>
            <w:tcBorders>
              <w:top w:val="nil"/>
              <w:left w:val="nil"/>
              <w:bottom w:val="nil"/>
              <w:right w:val="nil"/>
            </w:tcBorders>
            <w:shd w:val="clear" w:color="auto" w:fill="auto"/>
            <w:vAlign w:val="center"/>
          </w:tcPr>
          <w:p w14:paraId="7DA95E0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65885CD3"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.840</w:t>
            </w:r>
          </w:p>
        </w:tc>
        <w:tc>
          <w:tcPr>
            <w:tcW w:w="676" w:type="pct"/>
            <w:tcBorders>
              <w:top w:val="nil"/>
              <w:left w:val="nil"/>
              <w:bottom w:val="nil"/>
              <w:right w:val="nil"/>
            </w:tcBorders>
            <w:shd w:val="clear" w:color="auto" w:fill="auto"/>
            <w:vAlign w:val="bottom"/>
          </w:tcPr>
          <w:p w14:paraId="3B5DEC49"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.781</w:t>
            </w:r>
          </w:p>
        </w:tc>
        <w:tc>
          <w:tcPr>
            <w:tcW w:w="676" w:type="pct"/>
            <w:tcBorders>
              <w:top w:val="nil"/>
              <w:left w:val="nil"/>
              <w:bottom w:val="nil"/>
              <w:right w:val="nil"/>
            </w:tcBorders>
            <w:shd w:val="clear" w:color="auto" w:fill="auto"/>
            <w:vAlign w:val="bottom"/>
          </w:tcPr>
          <w:p w14:paraId="1D3E79FF"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.888</w:t>
            </w:r>
          </w:p>
        </w:tc>
        <w:tc>
          <w:tcPr>
            <w:tcW w:w="721" w:type="pct"/>
            <w:tcBorders>
              <w:top w:val="nil"/>
              <w:left w:val="nil"/>
              <w:bottom w:val="nil"/>
              <w:right w:val="nil"/>
            </w:tcBorders>
            <w:shd w:val="clear" w:color="auto" w:fill="auto"/>
          </w:tcPr>
          <w:p w14:paraId="00DAFE7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55A047A7" w14:textId="77777777" w:rsidTr="00791EF5">
        <w:trPr>
          <w:trHeight w:val="278"/>
        </w:trPr>
        <w:tc>
          <w:tcPr>
            <w:tcW w:w="838" w:type="pct"/>
            <w:tcBorders>
              <w:top w:val="nil"/>
              <w:left w:val="nil"/>
              <w:bottom w:val="nil"/>
              <w:right w:val="nil"/>
            </w:tcBorders>
            <w:shd w:val="clear" w:color="auto" w:fill="auto"/>
          </w:tcPr>
          <w:p w14:paraId="2F0209F1"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215" w:type="pct"/>
            <w:tcBorders>
              <w:top w:val="nil"/>
              <w:left w:val="nil"/>
              <w:bottom w:val="nil"/>
              <w:right w:val="nil"/>
            </w:tcBorders>
            <w:shd w:val="clear" w:color="auto" w:fill="auto"/>
            <w:vAlign w:val="center"/>
          </w:tcPr>
          <w:p w14:paraId="7C443F8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61465491"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.648</w:t>
            </w:r>
          </w:p>
        </w:tc>
        <w:tc>
          <w:tcPr>
            <w:tcW w:w="676" w:type="pct"/>
            <w:tcBorders>
              <w:top w:val="nil"/>
              <w:left w:val="nil"/>
              <w:bottom w:val="nil"/>
              <w:right w:val="nil"/>
            </w:tcBorders>
            <w:shd w:val="clear" w:color="auto" w:fill="auto"/>
            <w:vAlign w:val="bottom"/>
          </w:tcPr>
          <w:p w14:paraId="62272ACC"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.538</w:t>
            </w:r>
          </w:p>
        </w:tc>
        <w:tc>
          <w:tcPr>
            <w:tcW w:w="676" w:type="pct"/>
            <w:tcBorders>
              <w:top w:val="nil"/>
              <w:left w:val="nil"/>
              <w:bottom w:val="nil"/>
              <w:right w:val="nil"/>
            </w:tcBorders>
            <w:shd w:val="clear" w:color="auto" w:fill="auto"/>
            <w:vAlign w:val="bottom"/>
          </w:tcPr>
          <w:p w14:paraId="13A1B213"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.740</w:t>
            </w:r>
          </w:p>
        </w:tc>
        <w:tc>
          <w:tcPr>
            <w:tcW w:w="721" w:type="pct"/>
            <w:tcBorders>
              <w:top w:val="nil"/>
              <w:left w:val="nil"/>
              <w:bottom w:val="nil"/>
              <w:right w:val="nil"/>
            </w:tcBorders>
            <w:shd w:val="clear" w:color="auto" w:fill="auto"/>
          </w:tcPr>
          <w:p w14:paraId="3D392DD6"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7E1C2B" w:rsidRPr="0032506F" w14:paraId="05615CA9" w14:textId="77777777" w:rsidTr="00791EF5">
        <w:trPr>
          <w:trHeight w:val="278"/>
        </w:trPr>
        <w:tc>
          <w:tcPr>
            <w:tcW w:w="838" w:type="pct"/>
            <w:tcBorders>
              <w:top w:val="nil"/>
              <w:left w:val="nil"/>
              <w:bottom w:val="single" w:sz="4" w:space="0" w:color="auto"/>
              <w:right w:val="nil"/>
            </w:tcBorders>
            <w:shd w:val="clear" w:color="auto" w:fill="auto"/>
          </w:tcPr>
          <w:p w14:paraId="00E9B481"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215" w:type="pct"/>
            <w:tcBorders>
              <w:top w:val="nil"/>
              <w:left w:val="nil"/>
              <w:bottom w:val="single" w:sz="4" w:space="0" w:color="auto"/>
              <w:right w:val="nil"/>
            </w:tcBorders>
            <w:shd w:val="clear" w:color="auto" w:fill="auto"/>
            <w:vAlign w:val="center"/>
          </w:tcPr>
          <w:p w14:paraId="20BE5C6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single" w:sz="4" w:space="0" w:color="auto"/>
              <w:right w:val="nil"/>
            </w:tcBorders>
            <w:shd w:val="clear" w:color="auto" w:fill="auto"/>
            <w:vAlign w:val="bottom"/>
          </w:tcPr>
          <w:p w14:paraId="41EAD2D3"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.687</w:t>
            </w:r>
          </w:p>
        </w:tc>
        <w:tc>
          <w:tcPr>
            <w:tcW w:w="676" w:type="pct"/>
            <w:tcBorders>
              <w:top w:val="nil"/>
              <w:left w:val="nil"/>
              <w:bottom w:val="single" w:sz="4" w:space="0" w:color="auto"/>
              <w:right w:val="nil"/>
            </w:tcBorders>
            <w:shd w:val="clear" w:color="auto" w:fill="auto"/>
            <w:vAlign w:val="bottom"/>
          </w:tcPr>
          <w:p w14:paraId="68A6C8F8"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.581</w:t>
            </w:r>
          </w:p>
        </w:tc>
        <w:tc>
          <w:tcPr>
            <w:tcW w:w="676" w:type="pct"/>
            <w:tcBorders>
              <w:top w:val="nil"/>
              <w:left w:val="nil"/>
              <w:bottom w:val="single" w:sz="4" w:space="0" w:color="auto"/>
              <w:right w:val="nil"/>
            </w:tcBorders>
            <w:shd w:val="clear" w:color="auto" w:fill="auto"/>
            <w:vAlign w:val="bottom"/>
          </w:tcPr>
          <w:p w14:paraId="6178D238"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.777</w:t>
            </w:r>
          </w:p>
        </w:tc>
        <w:tc>
          <w:tcPr>
            <w:tcW w:w="721" w:type="pct"/>
            <w:tcBorders>
              <w:top w:val="nil"/>
              <w:left w:val="nil"/>
              <w:bottom w:val="single" w:sz="4" w:space="0" w:color="auto"/>
              <w:right w:val="nil"/>
            </w:tcBorders>
            <w:shd w:val="clear" w:color="auto" w:fill="auto"/>
          </w:tcPr>
          <w:p w14:paraId="73259F6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bl>
    <w:p w14:paraId="47E83276" w14:textId="75CA137D" w:rsidR="007E1C2B" w:rsidRPr="0032506F" w:rsidRDefault="007E1C2B" w:rsidP="007E1C2B">
      <w:pPr>
        <w:spacing w:after="0" w:line="480" w:lineRule="auto"/>
        <w:rPr>
          <w:rFonts w:ascii="Times New Roman" w:hAnsi="Times New Roman" w:cs="Times New Roman"/>
          <w:b/>
          <w:bCs/>
          <w:sz w:val="24"/>
          <w:szCs w:val="24"/>
        </w:rPr>
      </w:pPr>
      <w:bookmarkStart w:id="111" w:name="Figure42"/>
    </w:p>
    <w:bookmarkEnd w:id="111"/>
    <w:p w14:paraId="01E68590" w14:textId="481359E0" w:rsidR="007E1C2B" w:rsidRPr="0032506F" w:rsidRDefault="007E1C2B" w:rsidP="00222176">
      <w:pPr>
        <w:spacing w:after="0" w:line="480" w:lineRule="auto"/>
        <w:rPr>
          <w:rFonts w:ascii="Times New Roman" w:hAnsi="Times New Roman"/>
          <w:color w:val="000000" w:themeColor="text1"/>
          <w:sz w:val="24"/>
          <w:szCs w:val="24"/>
        </w:rPr>
      </w:pPr>
      <w:r w:rsidRPr="0032506F">
        <w:rPr>
          <w:rFonts w:ascii="Times New Roman" w:hAnsi="Times New Roman" w:cs="Times New Roman"/>
          <w:sz w:val="24"/>
          <w:szCs w:val="24"/>
        </w:rPr>
        <w:tab/>
      </w:r>
      <w:r w:rsidRPr="0032506F">
        <w:rPr>
          <w:rFonts w:ascii="Times New Roman" w:hAnsi="Times New Roman"/>
          <w:color w:val="000000" w:themeColor="text1"/>
          <w:sz w:val="24"/>
          <w:szCs w:val="24"/>
        </w:rPr>
        <w:t xml:space="preserve"> </w:t>
      </w:r>
      <w:r w:rsidR="00222176" w:rsidRPr="0032506F">
        <w:rPr>
          <w:rFonts w:ascii="Times New Roman" w:hAnsi="Times New Roman"/>
          <w:color w:val="000000" w:themeColor="text1"/>
          <w:sz w:val="24"/>
          <w:szCs w:val="24"/>
        </w:rPr>
        <w:t>For post hoc modifications, standardized residual covariances and modification indices were utilized to improve the model fit. S</w:t>
      </w:r>
      <w:r w:rsidRPr="0032506F">
        <w:rPr>
          <w:rFonts w:ascii="Times New Roman" w:hAnsi="Times New Roman"/>
          <w:color w:val="000000" w:themeColor="text1"/>
          <w:sz w:val="24"/>
          <w:szCs w:val="24"/>
        </w:rPr>
        <w:t xml:space="preserve">tandardized residual values greater than 2.58 </w:t>
      </w:r>
      <w:proofErr w:type="gramStart"/>
      <w:r w:rsidR="00E82F84" w:rsidRPr="0032506F">
        <w:rPr>
          <w:rFonts w:ascii="Times New Roman" w:hAnsi="Times New Roman"/>
          <w:color w:val="000000" w:themeColor="text1"/>
          <w:sz w:val="24"/>
          <w:szCs w:val="24"/>
        </w:rPr>
        <w:t xml:space="preserve">are </w:t>
      </w:r>
      <w:r w:rsidRPr="0032506F">
        <w:rPr>
          <w:rFonts w:ascii="Times New Roman" w:hAnsi="Times New Roman"/>
          <w:color w:val="000000" w:themeColor="text1"/>
          <w:sz w:val="24"/>
          <w:szCs w:val="24"/>
        </w:rPr>
        <w:t>considered to be</w:t>
      </w:r>
      <w:proofErr w:type="gramEnd"/>
      <w:r w:rsidRPr="0032506F">
        <w:rPr>
          <w:rFonts w:ascii="Times New Roman" w:hAnsi="Times New Roman"/>
          <w:color w:val="000000" w:themeColor="text1"/>
          <w:sz w:val="24"/>
          <w:szCs w:val="24"/>
        </w:rPr>
        <w:t xml:space="preserve"> large residuals and would indicate any statistically significant discrepancy associated with the covariance between any item pairs (Byrne, 2016). </w:t>
      </w:r>
      <w:r w:rsidR="00E82F84" w:rsidRPr="0032506F">
        <w:rPr>
          <w:rFonts w:ascii="Times New Roman" w:hAnsi="Times New Roman"/>
          <w:color w:val="000000" w:themeColor="text1"/>
          <w:sz w:val="24"/>
          <w:szCs w:val="24"/>
        </w:rPr>
        <w:t xml:space="preserve">Based on the standardized residuals greater than 2.58, </w:t>
      </w:r>
      <w:r w:rsidRPr="0032506F">
        <w:rPr>
          <w:rFonts w:ascii="Times New Roman" w:hAnsi="Times New Roman"/>
          <w:color w:val="000000" w:themeColor="text1"/>
          <w:sz w:val="24"/>
          <w:szCs w:val="24"/>
        </w:rPr>
        <w:t xml:space="preserve">six items </w:t>
      </w:r>
      <w:r w:rsidR="00E82F84" w:rsidRPr="0032506F">
        <w:rPr>
          <w:rFonts w:ascii="Times New Roman" w:hAnsi="Times New Roman"/>
          <w:color w:val="000000" w:themeColor="text1"/>
          <w:sz w:val="24"/>
          <w:szCs w:val="24"/>
        </w:rPr>
        <w:t>(</w:t>
      </w:r>
      <w:r w:rsidRPr="0032506F">
        <w:rPr>
          <w:rFonts w:ascii="Times New Roman" w:hAnsi="Times New Roman"/>
          <w:color w:val="000000" w:themeColor="text1"/>
          <w:sz w:val="24"/>
          <w:szCs w:val="24"/>
        </w:rPr>
        <w:t>OEE15, OEE14, OEE19, OEE9, OEE18, OCE10</w:t>
      </w:r>
      <w:r w:rsidR="00E82F84" w:rsidRPr="0032506F">
        <w:rPr>
          <w:rFonts w:ascii="Times New Roman" w:hAnsi="Times New Roman"/>
          <w:color w:val="000000" w:themeColor="text1"/>
          <w:sz w:val="24"/>
          <w:szCs w:val="24"/>
        </w:rPr>
        <w:t xml:space="preserve">) were </w:t>
      </w:r>
      <w:r w:rsidR="00E82F84" w:rsidRPr="0032506F">
        <w:rPr>
          <w:rFonts w:ascii="Times New Roman" w:hAnsi="Times New Roman"/>
          <w:color w:val="000000" w:themeColor="text1"/>
          <w:sz w:val="24"/>
          <w:szCs w:val="24"/>
        </w:rPr>
        <w:lastRenderedPageBreak/>
        <w:t>removed from Model 2</w:t>
      </w:r>
      <w:r w:rsidRPr="0032506F">
        <w:rPr>
          <w:rFonts w:ascii="Times New Roman" w:hAnsi="Times New Roman"/>
          <w:color w:val="000000" w:themeColor="text1"/>
          <w:sz w:val="24"/>
          <w:szCs w:val="24"/>
        </w:rPr>
        <w:t xml:space="preserve"> and the estimates </w:t>
      </w:r>
      <w:r w:rsidR="00E82F84" w:rsidRPr="0032506F">
        <w:rPr>
          <w:rFonts w:ascii="Times New Roman" w:hAnsi="Times New Roman"/>
          <w:color w:val="000000" w:themeColor="text1"/>
          <w:sz w:val="24"/>
          <w:szCs w:val="24"/>
        </w:rPr>
        <w:t xml:space="preserve">were re-calculated </w:t>
      </w:r>
      <w:r w:rsidRPr="0032506F">
        <w:rPr>
          <w:rFonts w:ascii="Times New Roman" w:hAnsi="Times New Roman"/>
          <w:color w:val="000000" w:themeColor="text1"/>
          <w:sz w:val="24"/>
          <w:szCs w:val="24"/>
        </w:rPr>
        <w:t>without these items</w:t>
      </w:r>
      <w:r w:rsidR="00E82F84"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After the removal of these items, the standardized residuals</w:t>
      </w:r>
      <w:r w:rsidR="00E82F84" w:rsidRPr="0032506F">
        <w:rPr>
          <w:rFonts w:ascii="Times New Roman" w:hAnsi="Times New Roman"/>
          <w:color w:val="000000" w:themeColor="text1"/>
          <w:sz w:val="24"/>
          <w:szCs w:val="24"/>
        </w:rPr>
        <w:t xml:space="preserve"> were re-checked</w:t>
      </w:r>
      <w:r w:rsidRPr="0032506F">
        <w:rPr>
          <w:rFonts w:ascii="Times New Roman" w:hAnsi="Times New Roman"/>
          <w:color w:val="000000" w:themeColor="text1"/>
          <w:sz w:val="24"/>
          <w:szCs w:val="24"/>
        </w:rPr>
        <w:t xml:space="preserve"> and no more residuals </w:t>
      </w:r>
      <w:r w:rsidR="00E82F84" w:rsidRPr="0032506F">
        <w:rPr>
          <w:rFonts w:ascii="Times New Roman" w:hAnsi="Times New Roman"/>
          <w:color w:val="000000" w:themeColor="text1"/>
          <w:sz w:val="24"/>
          <w:szCs w:val="24"/>
        </w:rPr>
        <w:t xml:space="preserve">were found to be </w:t>
      </w:r>
      <w:r w:rsidRPr="0032506F">
        <w:rPr>
          <w:rFonts w:ascii="Times New Roman" w:hAnsi="Times New Roman"/>
          <w:color w:val="000000" w:themeColor="text1"/>
          <w:sz w:val="24"/>
          <w:szCs w:val="24"/>
        </w:rPr>
        <w:t xml:space="preserve">greater than 2.58, except for the items OBE4 and OBE 6, which </w:t>
      </w:r>
      <w:r w:rsidR="00E82F84" w:rsidRPr="0032506F">
        <w:rPr>
          <w:rFonts w:ascii="Times New Roman" w:hAnsi="Times New Roman"/>
          <w:color w:val="000000" w:themeColor="text1"/>
          <w:sz w:val="24"/>
          <w:szCs w:val="24"/>
        </w:rPr>
        <w:t>were</w:t>
      </w:r>
      <w:r w:rsidRPr="0032506F">
        <w:rPr>
          <w:rFonts w:ascii="Times New Roman" w:hAnsi="Times New Roman"/>
          <w:color w:val="000000" w:themeColor="text1"/>
          <w:sz w:val="24"/>
          <w:szCs w:val="24"/>
        </w:rPr>
        <w:t xml:space="preserve"> retain</w:t>
      </w:r>
      <w:r w:rsidR="00E82F84" w:rsidRPr="0032506F">
        <w:rPr>
          <w:rFonts w:ascii="Times New Roman" w:hAnsi="Times New Roman"/>
          <w:color w:val="000000" w:themeColor="text1"/>
          <w:sz w:val="24"/>
          <w:szCs w:val="24"/>
        </w:rPr>
        <w:t>ed</w:t>
      </w:r>
      <w:r w:rsidRPr="0032506F">
        <w:rPr>
          <w:rFonts w:ascii="Times New Roman" w:hAnsi="Times New Roman"/>
          <w:color w:val="000000" w:themeColor="text1"/>
          <w:sz w:val="24"/>
          <w:szCs w:val="24"/>
        </w:rPr>
        <w:t xml:space="preserve"> in the model due to the already limited number of OBE items. </w:t>
      </w:r>
      <w:r w:rsidR="00E82F84" w:rsidRPr="0032506F">
        <w:rPr>
          <w:rFonts w:ascii="Times New Roman" w:hAnsi="Times New Roman"/>
          <w:color w:val="000000" w:themeColor="text1"/>
          <w:sz w:val="24"/>
          <w:szCs w:val="24"/>
        </w:rPr>
        <w:t>T</w:t>
      </w:r>
      <w:r w:rsidRPr="0032506F">
        <w:rPr>
          <w:rFonts w:ascii="Times New Roman" w:hAnsi="Times New Roman"/>
          <w:color w:val="000000" w:themeColor="text1"/>
          <w:sz w:val="24"/>
          <w:szCs w:val="24"/>
        </w:rPr>
        <w:t>he chi-square value of th</w:t>
      </w:r>
      <w:r w:rsidR="00DA1DAE" w:rsidRPr="0032506F">
        <w:rPr>
          <w:rFonts w:ascii="Times New Roman" w:hAnsi="Times New Roman"/>
          <w:color w:val="000000" w:themeColor="text1"/>
          <w:sz w:val="24"/>
          <w:szCs w:val="24"/>
        </w:rPr>
        <w:t>e</w:t>
      </w:r>
      <w:r w:rsidRPr="0032506F">
        <w:rPr>
          <w:rFonts w:ascii="Times New Roman" w:hAnsi="Times New Roman"/>
          <w:color w:val="000000" w:themeColor="text1"/>
          <w:sz w:val="24"/>
          <w:szCs w:val="24"/>
        </w:rPr>
        <w:t xml:space="preserve"> model dropped from 918.990 with 296 degrees of freedom (26 items) to 453.599 with 167 degrees of freedom and the probability level of .000 (20 items). The other model fit indices were also improved although still not indicating an acceptable model fit (e.g., GFI=.836, CFI=.895, TLI=.880, RMSEA=.086). </w:t>
      </w:r>
      <w:r w:rsidR="00DA1DAE" w:rsidRPr="0032506F">
        <w:rPr>
          <w:rFonts w:ascii="Times New Roman" w:hAnsi="Times New Roman"/>
          <w:color w:val="000000" w:themeColor="text1"/>
          <w:sz w:val="24"/>
          <w:szCs w:val="24"/>
        </w:rPr>
        <w:t xml:space="preserve">These results indicated that the global fit of the three-factor model with the remaining 20 items improved although it was still not indicating at least an acceptable model fit. </w:t>
      </w:r>
    </w:p>
    <w:p w14:paraId="21F47EB3" w14:textId="284FDE89" w:rsidR="007E1C2B" w:rsidRPr="0032506F" w:rsidRDefault="007E1C2B" w:rsidP="007E1C2B">
      <w:pPr>
        <w:spacing w:after="200" w:line="480" w:lineRule="auto"/>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ab/>
        <w:t xml:space="preserve">Next, Modification Indices (MIs) </w:t>
      </w:r>
      <w:r w:rsidR="00DA1DAE" w:rsidRPr="0032506F">
        <w:rPr>
          <w:rFonts w:ascii="Times New Roman" w:hAnsi="Times New Roman"/>
          <w:color w:val="000000" w:themeColor="text1"/>
          <w:sz w:val="24"/>
          <w:szCs w:val="24"/>
        </w:rPr>
        <w:t xml:space="preserve">were examined </w:t>
      </w:r>
      <w:r w:rsidRPr="0032506F">
        <w:rPr>
          <w:rFonts w:ascii="Times New Roman" w:hAnsi="Times New Roman"/>
          <w:color w:val="000000" w:themeColor="text1"/>
          <w:sz w:val="24"/>
          <w:szCs w:val="24"/>
        </w:rPr>
        <w:t xml:space="preserve">to identify any evidence of model misspecification (Byrne, 2016). </w:t>
      </w:r>
      <w:r w:rsidR="00DA1DAE" w:rsidRPr="0032506F">
        <w:rPr>
          <w:rFonts w:ascii="Times New Roman" w:hAnsi="Times New Roman"/>
          <w:color w:val="000000" w:themeColor="text1"/>
          <w:sz w:val="24"/>
          <w:szCs w:val="24"/>
        </w:rPr>
        <w:t>To do so,</w:t>
      </w:r>
      <w:r w:rsidRPr="0032506F">
        <w:rPr>
          <w:rFonts w:ascii="Times New Roman" w:hAnsi="Times New Roman"/>
          <w:color w:val="000000" w:themeColor="text1"/>
          <w:sz w:val="24"/>
          <w:szCs w:val="24"/>
        </w:rPr>
        <w:t xml:space="preserve"> 10 </w:t>
      </w:r>
      <w:r w:rsidR="00DA1DAE" w:rsidRPr="0032506F">
        <w:rPr>
          <w:rFonts w:ascii="Times New Roman" w:hAnsi="Times New Roman"/>
          <w:color w:val="000000" w:themeColor="text1"/>
          <w:sz w:val="24"/>
          <w:szCs w:val="24"/>
        </w:rPr>
        <w:t xml:space="preserve">was specified </w:t>
      </w:r>
      <w:r w:rsidRPr="0032506F">
        <w:rPr>
          <w:rFonts w:ascii="Times New Roman" w:hAnsi="Times New Roman"/>
          <w:color w:val="000000" w:themeColor="text1"/>
          <w:sz w:val="24"/>
          <w:szCs w:val="24"/>
        </w:rPr>
        <w:t xml:space="preserve">as the threshold for modification indices </w:t>
      </w:r>
      <w:proofErr w:type="gramStart"/>
      <w:r w:rsidRPr="0032506F">
        <w:rPr>
          <w:rFonts w:ascii="Times New Roman" w:hAnsi="Times New Roman"/>
          <w:color w:val="000000" w:themeColor="text1"/>
          <w:sz w:val="24"/>
          <w:szCs w:val="24"/>
        </w:rPr>
        <w:t>in order to</w:t>
      </w:r>
      <w:proofErr w:type="gramEnd"/>
      <w:r w:rsidRPr="0032506F">
        <w:rPr>
          <w:rFonts w:ascii="Times New Roman" w:hAnsi="Times New Roman"/>
          <w:color w:val="000000" w:themeColor="text1"/>
          <w:sz w:val="24"/>
          <w:szCs w:val="24"/>
        </w:rPr>
        <w:t xml:space="preserve"> include only MI estimates equal to or greater than 10 in the Amos output (Byrne, 2016). As noted by Schumacker and Lomax (2016), researchers usually select the largest MI value.</w:t>
      </w:r>
      <w:r w:rsidR="00DA1DAE"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CFA researchers can specify error correlations to test their hypotheses regarding the variation commonly shared by the indicators in addition to the common variance accounted for by the factors</w:t>
      </w:r>
      <w:r w:rsidR="00517C4E" w:rsidRPr="0032506F">
        <w:rPr>
          <w:rFonts w:ascii="Times New Roman" w:hAnsi="Times New Roman"/>
          <w:color w:val="000000" w:themeColor="text1"/>
          <w:sz w:val="24"/>
          <w:szCs w:val="24"/>
        </w:rPr>
        <w:t xml:space="preserve"> (Kline, 2016). </w:t>
      </w:r>
      <w:r w:rsidRPr="0032506F">
        <w:rPr>
          <w:rFonts w:ascii="Times New Roman" w:hAnsi="Times New Roman"/>
          <w:color w:val="000000" w:themeColor="text1"/>
          <w:sz w:val="24"/>
          <w:szCs w:val="24"/>
        </w:rPr>
        <w:t xml:space="preserve">Following Byrne’s (2010) recommendation, each error covariance </w:t>
      </w:r>
      <w:r w:rsidR="00517C4E" w:rsidRPr="0032506F">
        <w:rPr>
          <w:rFonts w:ascii="Times New Roman" w:hAnsi="Times New Roman"/>
          <w:color w:val="000000" w:themeColor="text1"/>
          <w:sz w:val="24"/>
          <w:szCs w:val="24"/>
        </w:rPr>
        <w:t xml:space="preserve">was specified and incorporated into the model </w:t>
      </w:r>
      <w:r w:rsidRPr="0032506F">
        <w:rPr>
          <w:rFonts w:ascii="Times New Roman" w:hAnsi="Times New Roman"/>
          <w:color w:val="000000" w:themeColor="text1"/>
          <w:sz w:val="24"/>
          <w:szCs w:val="24"/>
        </w:rPr>
        <w:t>one at a time and then</w:t>
      </w:r>
      <w:r w:rsidR="00517C4E" w:rsidRPr="0032506F">
        <w:rPr>
          <w:rFonts w:ascii="Times New Roman" w:hAnsi="Times New Roman"/>
          <w:color w:val="000000" w:themeColor="text1"/>
          <w:sz w:val="24"/>
          <w:szCs w:val="24"/>
        </w:rPr>
        <w:t xml:space="preserve"> the </w:t>
      </w:r>
      <w:r w:rsidRPr="0032506F">
        <w:rPr>
          <w:rFonts w:ascii="Times New Roman" w:hAnsi="Times New Roman"/>
          <w:color w:val="000000" w:themeColor="text1"/>
          <w:sz w:val="24"/>
          <w:szCs w:val="24"/>
        </w:rPr>
        <w:t xml:space="preserve">parameter estimates </w:t>
      </w:r>
      <w:r w:rsidR="00517C4E" w:rsidRPr="0032506F">
        <w:rPr>
          <w:rFonts w:ascii="Times New Roman" w:hAnsi="Times New Roman"/>
          <w:color w:val="000000" w:themeColor="text1"/>
          <w:sz w:val="24"/>
          <w:szCs w:val="24"/>
        </w:rPr>
        <w:t xml:space="preserve">were estimated </w:t>
      </w:r>
      <w:r w:rsidRPr="0032506F">
        <w:rPr>
          <w:rFonts w:ascii="Times New Roman" w:hAnsi="Times New Roman"/>
          <w:color w:val="000000" w:themeColor="text1"/>
          <w:sz w:val="24"/>
          <w:szCs w:val="24"/>
        </w:rPr>
        <w:t xml:space="preserve">after each error covariance was </w:t>
      </w:r>
      <w:r w:rsidR="00517C4E" w:rsidRPr="0032506F">
        <w:rPr>
          <w:rFonts w:ascii="Times New Roman" w:hAnsi="Times New Roman"/>
          <w:color w:val="000000" w:themeColor="text1"/>
          <w:sz w:val="24"/>
          <w:szCs w:val="24"/>
        </w:rPr>
        <w:t>specified in the model</w:t>
      </w:r>
      <w:r w:rsidRPr="0032506F">
        <w:rPr>
          <w:rFonts w:ascii="Times New Roman" w:hAnsi="Times New Roman"/>
          <w:color w:val="000000" w:themeColor="text1"/>
          <w:sz w:val="24"/>
          <w:szCs w:val="24"/>
        </w:rPr>
        <w:t xml:space="preserve">. Based on the MIs at and above 10 (Byrne, 2016) and using the theoretical and logical sense, </w:t>
      </w:r>
      <w:r w:rsidR="00517C4E" w:rsidRPr="0032506F">
        <w:rPr>
          <w:rFonts w:ascii="Times New Roman" w:hAnsi="Times New Roman"/>
          <w:color w:val="000000" w:themeColor="text1"/>
          <w:sz w:val="24"/>
          <w:szCs w:val="24"/>
        </w:rPr>
        <w:t>a total of four error covariances</w:t>
      </w:r>
      <w:r w:rsidR="009C0306" w:rsidRPr="0032506F">
        <w:rPr>
          <w:rFonts w:ascii="Times New Roman" w:hAnsi="Times New Roman"/>
          <w:color w:val="000000" w:themeColor="text1"/>
          <w:sz w:val="24"/>
          <w:szCs w:val="24"/>
        </w:rPr>
        <w:t xml:space="preserve"> was specified</w:t>
      </w:r>
      <w:r w:rsidR="00517C4E" w:rsidRPr="0032506F">
        <w:rPr>
          <w:rFonts w:ascii="Times New Roman" w:hAnsi="Times New Roman"/>
          <w:color w:val="000000" w:themeColor="text1"/>
          <w:sz w:val="24"/>
          <w:szCs w:val="24"/>
        </w:rPr>
        <w:t xml:space="preserve"> in the model. </w:t>
      </w:r>
      <w:r w:rsidRPr="0032506F">
        <w:rPr>
          <w:rFonts w:ascii="Times New Roman" w:hAnsi="Times New Roman"/>
          <w:color w:val="000000" w:themeColor="text1"/>
          <w:sz w:val="24"/>
          <w:szCs w:val="24"/>
        </w:rPr>
        <w:t>The chi-square of the model decreased to 279.133 with 163 degrees of freedom (</w:t>
      </w:r>
      <w:r w:rsidRPr="0032506F">
        <w:rPr>
          <w:rFonts w:ascii="Times New Roman" w:hAnsi="Times New Roman"/>
          <w:i/>
          <w:color w:val="000000" w:themeColor="text1"/>
          <w:sz w:val="24"/>
          <w:szCs w:val="24"/>
        </w:rPr>
        <w:t>p=</w:t>
      </w:r>
      <w:r w:rsidRPr="0032506F">
        <w:rPr>
          <w:rFonts w:ascii="Times New Roman" w:hAnsi="Times New Roman"/>
          <w:color w:val="000000" w:themeColor="text1"/>
          <w:sz w:val="24"/>
          <w:szCs w:val="24"/>
        </w:rPr>
        <w:t xml:space="preserve">.000) and the CMIN/DF was 1.712, which was less than 2 and might indicate a reasonably good model fit (Tabachnick &amp; Fidell, 2013). The model fit indices were </w:t>
      </w:r>
      <w:r w:rsidRPr="0032506F">
        <w:rPr>
          <w:rFonts w:ascii="Times New Roman" w:hAnsi="Times New Roman"/>
          <w:color w:val="000000" w:themeColor="text1"/>
          <w:sz w:val="24"/>
          <w:szCs w:val="24"/>
        </w:rPr>
        <w:lastRenderedPageBreak/>
        <w:t>also improved (e.g., GFI=.894, IFI=.958, TLI=.950, CFI=.957, RMSEA=.055 with p-close=.214). The standardized RMR, known as SRMR, of this model was also computed to be .0535, indicating an acceptable model fit as well.</w:t>
      </w:r>
      <w:r w:rsidR="009A5E51" w:rsidRPr="0032506F">
        <w:rPr>
          <w:rFonts w:ascii="Times New Roman" w:hAnsi="Times New Roman"/>
          <w:color w:val="000000" w:themeColor="text1"/>
          <w:sz w:val="24"/>
          <w:szCs w:val="24"/>
        </w:rPr>
        <w:t xml:space="preserve"> </w:t>
      </w:r>
    </w:p>
    <w:p w14:paraId="3BAD4AEE" w14:textId="437410D3" w:rsidR="007E1C2B" w:rsidRPr="0032506F" w:rsidRDefault="007E1C2B" w:rsidP="007E1C2B">
      <w:pPr>
        <w:spacing w:after="0" w:line="480" w:lineRule="auto"/>
        <w:contextualSpacing/>
        <w:rPr>
          <w:rFonts w:ascii="Times New Roman" w:hAnsi="Times New Roman" w:cs="Times New Roman"/>
          <w:i/>
          <w:iCs/>
          <w:sz w:val="24"/>
          <w:szCs w:val="24"/>
        </w:rPr>
      </w:pPr>
      <w:r w:rsidRPr="0032506F">
        <w:rPr>
          <w:rFonts w:ascii="Times New Roman" w:hAnsi="Times New Roman"/>
          <w:color w:val="000000" w:themeColor="text1"/>
          <w:sz w:val="24"/>
          <w:szCs w:val="24"/>
        </w:rPr>
        <w:tab/>
      </w:r>
      <w:r w:rsidRPr="0032506F">
        <w:rPr>
          <w:rFonts w:ascii="Times New Roman" w:eastAsiaTheme="majorEastAsia" w:hAnsi="Times New Roman" w:cs="Times New Roman"/>
          <w:b/>
          <w:bCs/>
          <w:sz w:val="24"/>
          <w:szCs w:val="24"/>
        </w:rPr>
        <w:t>Global Fit Summary</w:t>
      </w:r>
      <w:r w:rsidRPr="0032506F">
        <w:rPr>
          <w:rFonts w:ascii="Times New Roman" w:hAnsi="Times New Roman" w:cs="Times New Roman"/>
          <w:b/>
          <w:bCs/>
          <w:sz w:val="24"/>
          <w:szCs w:val="24"/>
        </w:rPr>
        <w:t>.</w:t>
      </w:r>
      <w:r w:rsidRPr="0032506F">
        <w:t xml:space="preserve"> </w:t>
      </w:r>
      <w:r w:rsidRPr="0032506F">
        <w:rPr>
          <w:rFonts w:ascii="Times New Roman" w:hAnsi="Times New Roman" w:cs="Times New Roman"/>
          <w:sz w:val="24"/>
          <w:szCs w:val="24"/>
        </w:rPr>
        <w:t xml:space="preserve">After performing the Bollen-Stine bootstrapping, minimum was achieved, indicating no estimation problems, with the chi-square value of 279.133 and 163 degrees of freedom with the probability level of .000, indicating lack of exact model fit. </w:t>
      </w:r>
    </w:p>
    <w:p w14:paraId="02206541" w14:textId="7B37C0E7" w:rsidR="007E1C2B" w:rsidRPr="0032506F" w:rsidRDefault="009A5E51" w:rsidP="007E1C2B">
      <w:pPr>
        <w:spacing w:after="0" w:line="480" w:lineRule="auto"/>
        <w:rPr>
          <w:rFonts w:ascii="Times New Roman" w:hAnsi="Times New Roman" w:cs="Times New Roman"/>
          <w:color w:val="000000" w:themeColor="text1"/>
          <w:sz w:val="24"/>
          <w:szCs w:val="24"/>
        </w:rPr>
      </w:pPr>
      <w:r w:rsidRPr="0032506F">
        <w:rPr>
          <w:rFonts w:ascii="Times New Roman" w:hAnsi="Times New Roman" w:cs="Times New Roman"/>
          <w:sz w:val="24"/>
          <w:szCs w:val="24"/>
        </w:rPr>
        <w:t xml:space="preserve">When </w:t>
      </w:r>
      <w:r w:rsidR="007E1C2B" w:rsidRPr="0032506F">
        <w:rPr>
          <w:rFonts w:ascii="Times New Roman" w:hAnsi="Times New Roman" w:cs="Times New Roman"/>
          <w:sz w:val="24"/>
          <w:szCs w:val="24"/>
        </w:rPr>
        <w:t>the Bollen-Stine bootstrap output of the final best-fitting model</w:t>
      </w:r>
      <w:r w:rsidRPr="0032506F">
        <w:rPr>
          <w:rFonts w:ascii="Times New Roman" w:hAnsi="Times New Roman" w:cs="Times New Roman"/>
          <w:sz w:val="24"/>
          <w:szCs w:val="24"/>
        </w:rPr>
        <w:t xml:space="preserve"> was examined as </w:t>
      </w:r>
      <w:r w:rsidR="007E1C2B" w:rsidRPr="0032506F">
        <w:rPr>
          <w:rFonts w:ascii="Times New Roman" w:hAnsi="Times New Roman" w:cs="Times New Roman"/>
          <w:sz w:val="24"/>
          <w:szCs w:val="24"/>
        </w:rPr>
        <w:t xml:space="preserve">another tool for evaluating model fit generally used in cases where </w:t>
      </w:r>
      <w:r w:rsidRPr="0032506F">
        <w:rPr>
          <w:rFonts w:ascii="Times New Roman" w:hAnsi="Times New Roman" w:cs="Times New Roman"/>
          <w:sz w:val="24"/>
          <w:szCs w:val="24"/>
        </w:rPr>
        <w:t>the data have</w:t>
      </w:r>
      <w:r w:rsidR="007E1C2B" w:rsidRPr="0032506F">
        <w:rPr>
          <w:rFonts w:ascii="Times New Roman" w:hAnsi="Times New Roman" w:cs="Times New Roman"/>
          <w:sz w:val="24"/>
          <w:szCs w:val="24"/>
        </w:rPr>
        <w:t xml:space="preserve"> non-normality, </w:t>
      </w:r>
      <w:r w:rsidRPr="0032506F">
        <w:rPr>
          <w:rFonts w:ascii="Times New Roman" w:hAnsi="Times New Roman" w:cs="Times New Roman"/>
          <w:sz w:val="24"/>
          <w:szCs w:val="24"/>
        </w:rPr>
        <w:t>it was found that</w:t>
      </w:r>
      <w:r w:rsidR="007E1C2B" w:rsidRPr="0032506F">
        <w:rPr>
          <w:rFonts w:ascii="Times New Roman" w:hAnsi="Times New Roman" w:cs="Times New Roman"/>
          <w:sz w:val="24"/>
          <w:szCs w:val="24"/>
        </w:rPr>
        <w:t xml:space="preserve"> the model fit better in 1998 bootstrap </w:t>
      </w:r>
      <w:r w:rsidR="00BC6C33" w:rsidRPr="0032506F">
        <w:rPr>
          <w:rFonts w:ascii="Times New Roman" w:hAnsi="Times New Roman" w:cs="Times New Roman"/>
          <w:sz w:val="24"/>
          <w:szCs w:val="24"/>
        </w:rPr>
        <w:t>samples,</w:t>
      </w:r>
      <w:r w:rsidR="007E1C2B" w:rsidRPr="0032506F">
        <w:rPr>
          <w:rFonts w:ascii="Times New Roman" w:hAnsi="Times New Roman" w:cs="Times New Roman"/>
          <w:sz w:val="24"/>
          <w:szCs w:val="24"/>
        </w:rPr>
        <w:t xml:space="preserve"> and it fit worse or failed to fit in 2 bootstrap samples. Testing the null hypothesis that the model is correct, Bollen-Stine bootstrap was statistically significant, </w:t>
      </w:r>
      <w:r w:rsidR="007E1C2B" w:rsidRPr="0032506F">
        <w:rPr>
          <w:rFonts w:ascii="Times New Roman" w:hAnsi="Times New Roman" w:cs="Times New Roman"/>
          <w:i/>
          <w:sz w:val="24"/>
          <w:szCs w:val="24"/>
        </w:rPr>
        <w:t xml:space="preserve">p = </w:t>
      </w:r>
      <w:r w:rsidR="007E1C2B" w:rsidRPr="0032506F">
        <w:rPr>
          <w:rFonts w:ascii="Times New Roman" w:hAnsi="Times New Roman" w:cs="Times New Roman"/>
          <w:sz w:val="24"/>
          <w:szCs w:val="24"/>
        </w:rPr>
        <w:t>.001.</w:t>
      </w:r>
      <w:r w:rsidR="007E1C2B" w:rsidRPr="0032506F">
        <w:rPr>
          <w:rFonts w:ascii="Times New Roman" w:hAnsi="Times New Roman" w:cs="Times New Roman"/>
          <w:b/>
          <w:bCs/>
          <w:sz w:val="24"/>
          <w:szCs w:val="24"/>
        </w:rPr>
        <w:t xml:space="preserve"> </w:t>
      </w:r>
      <w:r w:rsidR="007E1C2B" w:rsidRPr="0032506F">
        <w:rPr>
          <w:rFonts w:ascii="Times New Roman" w:hAnsi="Times New Roman" w:cs="Times New Roman"/>
          <w:sz w:val="24"/>
          <w:szCs w:val="24"/>
        </w:rPr>
        <w:t>However,</w:t>
      </w:r>
      <w:r w:rsidR="007E1C2B" w:rsidRPr="0032506F">
        <w:rPr>
          <w:rFonts w:ascii="Times New Roman" w:hAnsi="Times New Roman" w:cs="Times New Roman"/>
          <w:b/>
          <w:bCs/>
          <w:sz w:val="24"/>
          <w:szCs w:val="24"/>
        </w:rPr>
        <w:t xml:space="preserve"> </w:t>
      </w:r>
      <w:proofErr w:type="gramStart"/>
      <w:r w:rsidR="007E1C2B" w:rsidRPr="0032506F">
        <w:rPr>
          <w:rFonts w:ascii="Times New Roman" w:hAnsi="Times New Roman" w:cs="Times New Roman"/>
          <w:color w:val="000000" w:themeColor="text1"/>
          <w:sz w:val="24"/>
          <w:szCs w:val="24"/>
        </w:rPr>
        <w:t>on the basis of</w:t>
      </w:r>
      <w:proofErr w:type="gramEnd"/>
      <w:r w:rsidR="007E1C2B" w:rsidRPr="0032506F">
        <w:rPr>
          <w:rFonts w:ascii="Times New Roman" w:hAnsi="Times New Roman" w:cs="Times New Roman"/>
          <w:color w:val="000000" w:themeColor="text1"/>
          <w:sz w:val="24"/>
          <w:szCs w:val="24"/>
        </w:rPr>
        <w:t xml:space="preserve"> the other fit indices (see </w:t>
      </w:r>
      <w:hyperlink w:anchor="Table44" w:history="1">
        <w:r w:rsidR="007E1C2B" w:rsidRPr="0032506F">
          <w:rPr>
            <w:rFonts w:ascii="Times New Roman" w:hAnsi="Times New Roman" w:cs="Times New Roman"/>
            <w:color w:val="0563C1" w:themeColor="hyperlink"/>
            <w:sz w:val="24"/>
            <w:szCs w:val="24"/>
            <w:u w:val="single"/>
          </w:rPr>
          <w:t>Table 4.</w:t>
        </w:r>
        <w:r w:rsidR="00346C84">
          <w:rPr>
            <w:rFonts w:ascii="Times New Roman" w:hAnsi="Times New Roman" w:cs="Times New Roman"/>
            <w:color w:val="0563C1" w:themeColor="hyperlink"/>
            <w:sz w:val="24"/>
            <w:szCs w:val="24"/>
            <w:u w:val="single"/>
          </w:rPr>
          <w:t>4</w:t>
        </w:r>
      </w:hyperlink>
      <w:r w:rsidR="007E1C2B" w:rsidRPr="0032506F">
        <w:rPr>
          <w:rFonts w:ascii="Times New Roman" w:hAnsi="Times New Roman" w:cs="Times New Roman"/>
          <w:color w:val="000000" w:themeColor="text1"/>
          <w:sz w:val="24"/>
          <w:szCs w:val="24"/>
        </w:rPr>
        <w:t xml:space="preserve">), the final model with 20 indicator variables, three intercorrelated factors, and four error covariances </w:t>
      </w:r>
      <w:r w:rsidRPr="0032506F">
        <w:rPr>
          <w:rFonts w:ascii="Times New Roman" w:hAnsi="Times New Roman" w:cs="Times New Roman"/>
          <w:color w:val="000000" w:themeColor="text1"/>
          <w:sz w:val="24"/>
          <w:szCs w:val="24"/>
        </w:rPr>
        <w:t xml:space="preserve">was accepted </w:t>
      </w:r>
      <w:r w:rsidR="007E1C2B" w:rsidRPr="0032506F">
        <w:rPr>
          <w:rFonts w:ascii="Times New Roman" w:hAnsi="Times New Roman" w:cs="Times New Roman"/>
          <w:color w:val="000000" w:themeColor="text1"/>
          <w:sz w:val="24"/>
          <w:szCs w:val="24"/>
        </w:rPr>
        <w:t xml:space="preserve">as the final best-fitting model adequately representing the sample data (Byrne, 2016). </w:t>
      </w:r>
      <w:r w:rsidRPr="0032506F">
        <w:rPr>
          <w:rFonts w:ascii="Times New Roman" w:hAnsi="Times New Roman" w:cs="Times New Roman"/>
          <w:color w:val="000000" w:themeColor="text1"/>
          <w:sz w:val="24"/>
          <w:szCs w:val="24"/>
        </w:rPr>
        <w:t>G</w:t>
      </w:r>
      <w:r w:rsidR="007E1C2B" w:rsidRPr="0032506F">
        <w:rPr>
          <w:rFonts w:ascii="Times New Roman" w:hAnsi="Times New Roman" w:cs="Times New Roman"/>
          <w:color w:val="000000" w:themeColor="text1"/>
          <w:sz w:val="24"/>
          <w:szCs w:val="24"/>
        </w:rPr>
        <w:t xml:space="preserve">reater weight </w:t>
      </w:r>
      <w:r w:rsidRPr="0032506F">
        <w:rPr>
          <w:rFonts w:ascii="Times New Roman" w:hAnsi="Times New Roman" w:cs="Times New Roman"/>
          <w:color w:val="000000" w:themeColor="text1"/>
          <w:sz w:val="24"/>
          <w:szCs w:val="24"/>
        </w:rPr>
        <w:t xml:space="preserve">was given </w:t>
      </w:r>
      <w:r w:rsidR="007E1C2B" w:rsidRPr="0032506F">
        <w:rPr>
          <w:rFonts w:ascii="Times New Roman" w:hAnsi="Times New Roman" w:cs="Times New Roman"/>
          <w:color w:val="000000" w:themeColor="text1"/>
          <w:sz w:val="24"/>
          <w:szCs w:val="24"/>
        </w:rPr>
        <w:t xml:space="preserve">to the other fit indices than the Bollen-Stine when making a final judgment about the model fit because the sole purpose of the Bollen-Stine to begin with was to provide an alternative measure that is more likely to indicate better fit than the other normal theory methods when non-normality is present. In addition, it should be noted that not all model fit tests and indices necessarily have to agree and ultimately it is a judgment call on the researcher’s part (Kline, 2016). </w:t>
      </w:r>
      <w:hyperlink w:anchor="Figure41" w:history="1">
        <w:r w:rsidR="007E1C2B" w:rsidRPr="0032506F">
          <w:rPr>
            <w:rStyle w:val="Hyperlink"/>
            <w:rFonts w:ascii="Times New Roman" w:hAnsi="Times New Roman" w:cs="Times New Roman"/>
            <w:sz w:val="24"/>
            <w:szCs w:val="24"/>
          </w:rPr>
          <w:t>Figure 4.</w:t>
        </w:r>
        <w:r w:rsidR="000F1F03">
          <w:rPr>
            <w:rStyle w:val="Hyperlink"/>
            <w:rFonts w:ascii="Times New Roman" w:hAnsi="Times New Roman" w:cs="Times New Roman"/>
            <w:sz w:val="24"/>
            <w:szCs w:val="24"/>
          </w:rPr>
          <w:t>1</w:t>
        </w:r>
      </w:hyperlink>
      <w:r w:rsidR="007E1C2B" w:rsidRPr="0032506F">
        <w:rPr>
          <w:rFonts w:ascii="Times New Roman" w:hAnsi="Times New Roman" w:cs="Times New Roman"/>
          <w:color w:val="000000" w:themeColor="text1"/>
          <w:sz w:val="24"/>
          <w:szCs w:val="24"/>
        </w:rPr>
        <w:t xml:space="preserve"> shows the final best-fitting model with the twenty </w:t>
      </w:r>
      <w:r w:rsidRPr="0032506F">
        <w:rPr>
          <w:rFonts w:ascii="Times New Roman" w:hAnsi="Times New Roman" w:cs="Times New Roman"/>
          <w:color w:val="000000" w:themeColor="text1"/>
          <w:sz w:val="24"/>
          <w:szCs w:val="24"/>
        </w:rPr>
        <w:t xml:space="preserve">OEHE </w:t>
      </w:r>
      <w:r w:rsidR="007E1C2B" w:rsidRPr="0032506F">
        <w:rPr>
          <w:rFonts w:ascii="Times New Roman" w:hAnsi="Times New Roman" w:cs="Times New Roman"/>
          <w:color w:val="000000" w:themeColor="text1"/>
          <w:sz w:val="24"/>
          <w:szCs w:val="24"/>
        </w:rPr>
        <w:t>items and three underlying online engagement factors</w:t>
      </w:r>
      <w:r w:rsidRPr="0032506F">
        <w:rPr>
          <w:rFonts w:ascii="Times New Roman" w:hAnsi="Times New Roman" w:cs="Times New Roman"/>
          <w:color w:val="000000" w:themeColor="text1"/>
          <w:sz w:val="24"/>
          <w:szCs w:val="24"/>
        </w:rPr>
        <w:t>,</w:t>
      </w:r>
      <w:r w:rsidR="007E1C2B" w:rsidRPr="0032506F">
        <w:rPr>
          <w:rFonts w:ascii="Times New Roman" w:hAnsi="Times New Roman" w:cs="Times New Roman"/>
          <w:color w:val="000000" w:themeColor="text1"/>
          <w:sz w:val="24"/>
          <w:szCs w:val="24"/>
        </w:rPr>
        <w:t xml:space="preserve"> as was hypothesized</w:t>
      </w:r>
      <w:r w:rsidRPr="0032506F">
        <w:rPr>
          <w:rFonts w:ascii="Times New Roman" w:hAnsi="Times New Roman" w:cs="Times New Roman"/>
          <w:color w:val="000000" w:themeColor="text1"/>
          <w:sz w:val="24"/>
          <w:szCs w:val="24"/>
        </w:rPr>
        <w:t xml:space="preserve"> and confirmed in this study</w:t>
      </w:r>
      <w:r w:rsidR="007E1C2B" w:rsidRPr="0032506F">
        <w:rPr>
          <w:rFonts w:ascii="Times New Roman" w:hAnsi="Times New Roman" w:cs="Times New Roman"/>
          <w:color w:val="000000" w:themeColor="text1"/>
          <w:sz w:val="24"/>
          <w:szCs w:val="24"/>
        </w:rPr>
        <w:t xml:space="preserve">. </w:t>
      </w:r>
    </w:p>
    <w:p w14:paraId="4C9F26B6" w14:textId="77777777" w:rsidR="009A5E51" w:rsidRPr="0032506F" w:rsidRDefault="009A5E51" w:rsidP="007E1C2B">
      <w:pPr>
        <w:spacing w:after="200" w:line="276" w:lineRule="auto"/>
        <w:rPr>
          <w:rFonts w:ascii="Times New Roman" w:hAnsi="Times New Roman" w:cs="Times New Roman"/>
          <w:b/>
          <w:bCs/>
          <w:sz w:val="24"/>
          <w:szCs w:val="24"/>
        </w:rPr>
      </w:pPr>
      <w:bookmarkStart w:id="112" w:name="Figure43"/>
    </w:p>
    <w:p w14:paraId="70C8F182" w14:textId="77777777" w:rsidR="009A5E51" w:rsidRPr="0032506F" w:rsidRDefault="009A5E51" w:rsidP="007E1C2B">
      <w:pPr>
        <w:spacing w:after="200" w:line="276" w:lineRule="auto"/>
        <w:rPr>
          <w:rFonts w:ascii="Times New Roman" w:hAnsi="Times New Roman" w:cs="Times New Roman"/>
          <w:b/>
          <w:bCs/>
          <w:sz w:val="24"/>
          <w:szCs w:val="24"/>
        </w:rPr>
      </w:pPr>
    </w:p>
    <w:p w14:paraId="7C5772E1" w14:textId="77777777" w:rsidR="009A5E51" w:rsidRPr="0032506F" w:rsidRDefault="009A5E51" w:rsidP="007E1C2B">
      <w:pPr>
        <w:spacing w:after="200" w:line="276" w:lineRule="auto"/>
        <w:rPr>
          <w:rFonts w:ascii="Times New Roman" w:hAnsi="Times New Roman" w:cs="Times New Roman"/>
          <w:b/>
          <w:bCs/>
          <w:sz w:val="24"/>
          <w:szCs w:val="24"/>
        </w:rPr>
      </w:pPr>
    </w:p>
    <w:p w14:paraId="2FD92B75" w14:textId="10060B90" w:rsidR="007E1C2B" w:rsidRPr="0032506F" w:rsidRDefault="007E1C2B" w:rsidP="007E1C2B">
      <w:pPr>
        <w:spacing w:after="200" w:line="276" w:lineRule="auto"/>
        <w:rPr>
          <w:rFonts w:ascii="Times New Roman" w:hAnsi="Times New Roman" w:cs="Times New Roman"/>
          <w:b/>
          <w:bCs/>
          <w:sz w:val="24"/>
          <w:szCs w:val="24"/>
        </w:rPr>
      </w:pPr>
      <w:bookmarkStart w:id="113" w:name="Figure41"/>
      <w:r w:rsidRPr="0032506F">
        <w:rPr>
          <w:rFonts w:ascii="Times New Roman" w:hAnsi="Times New Roman" w:cs="Times New Roman"/>
          <w:b/>
          <w:bCs/>
          <w:sz w:val="24"/>
          <w:szCs w:val="24"/>
        </w:rPr>
        <w:lastRenderedPageBreak/>
        <w:t>Figure 4.</w:t>
      </w:r>
      <w:r w:rsidR="000F1F03">
        <w:rPr>
          <w:rFonts w:ascii="Times New Roman" w:hAnsi="Times New Roman" w:cs="Times New Roman"/>
          <w:b/>
          <w:bCs/>
          <w:sz w:val="24"/>
          <w:szCs w:val="24"/>
        </w:rPr>
        <w:t>1</w:t>
      </w:r>
    </w:p>
    <w:bookmarkEnd w:id="112"/>
    <w:bookmarkEnd w:id="113"/>
    <w:p w14:paraId="3964EDDD" w14:textId="784AFF64" w:rsidR="007E1C2B" w:rsidRPr="0032506F" w:rsidRDefault="00382145" w:rsidP="007E1C2B">
      <w:pPr>
        <w:spacing w:after="200" w:line="276" w:lineRule="auto"/>
        <w:jc w:val="both"/>
        <w:rPr>
          <w:rFonts w:ascii="Times New Roman" w:hAnsi="Times New Roman" w:cs="Times New Roman"/>
          <w:i/>
          <w:iCs/>
          <w:sz w:val="24"/>
          <w:szCs w:val="24"/>
        </w:rPr>
      </w:pPr>
      <w:r w:rsidRPr="0032506F">
        <w:rPr>
          <w:i/>
          <w:iCs/>
          <w:noProof/>
        </w:rPr>
        <w:drawing>
          <wp:anchor distT="0" distB="0" distL="114300" distR="114300" simplePos="0" relativeHeight="251658240" behindDoc="1" locked="0" layoutInCell="1" allowOverlap="1" wp14:anchorId="17C96802" wp14:editId="1F744F3F">
            <wp:simplePos x="0" y="0"/>
            <wp:positionH relativeFrom="margin">
              <wp:align>center</wp:align>
            </wp:positionH>
            <wp:positionV relativeFrom="paragraph">
              <wp:posOffset>262255</wp:posOffset>
            </wp:positionV>
            <wp:extent cx="5716270" cy="4043680"/>
            <wp:effectExtent l="0" t="0" r="0" b="0"/>
            <wp:wrapTight wrapText="bothSides">
              <wp:wrapPolygon edited="0">
                <wp:start x="0" y="0"/>
                <wp:lineTo x="0" y="21471"/>
                <wp:lineTo x="21523" y="21471"/>
                <wp:lineTo x="21523"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716270" cy="4043680"/>
                    </a:xfrm>
                    <a:prstGeom prst="rect">
                      <a:avLst/>
                    </a:prstGeom>
                  </pic:spPr>
                </pic:pic>
              </a:graphicData>
            </a:graphic>
            <wp14:sizeRelH relativeFrom="page">
              <wp14:pctWidth>0</wp14:pctWidth>
            </wp14:sizeRelH>
            <wp14:sizeRelV relativeFrom="page">
              <wp14:pctHeight>0</wp14:pctHeight>
            </wp14:sizeRelV>
          </wp:anchor>
        </w:drawing>
      </w:r>
      <w:r w:rsidR="007E1C2B" w:rsidRPr="0032506F">
        <w:rPr>
          <w:rFonts w:ascii="Times New Roman" w:hAnsi="Times New Roman" w:cs="Times New Roman"/>
          <w:i/>
          <w:iCs/>
          <w:sz w:val="24"/>
          <w:szCs w:val="24"/>
        </w:rPr>
        <w:t>Final Best-Fitting Model with 20 Indicator Variables (N=235)</w:t>
      </w:r>
    </w:p>
    <w:p w14:paraId="70061744" w14:textId="2B445A5A" w:rsidR="007E1C2B" w:rsidRPr="0032506F" w:rsidRDefault="007E1C2B" w:rsidP="007E1C2B">
      <w:pPr>
        <w:spacing w:after="0" w:line="480" w:lineRule="auto"/>
        <w:rPr>
          <w:rFonts w:ascii="Times New Roman" w:eastAsia="SimSun" w:hAnsi="Times New Roman" w:cs="Times New Roman"/>
          <w:b/>
          <w:bCs/>
          <w:sz w:val="24"/>
          <w:szCs w:val="24"/>
        </w:rPr>
      </w:pPr>
    </w:p>
    <w:p w14:paraId="34B77FB1" w14:textId="77777777" w:rsidR="007E1C2B" w:rsidRPr="0032506F" w:rsidRDefault="007E1C2B" w:rsidP="007E1C2B">
      <w:pPr>
        <w:spacing w:after="0" w:line="480" w:lineRule="auto"/>
        <w:rPr>
          <w:rFonts w:ascii="Times New Roman" w:eastAsia="SimSun" w:hAnsi="Times New Roman" w:cs="Times New Roman"/>
          <w:b/>
          <w:bCs/>
          <w:sz w:val="24"/>
          <w:szCs w:val="24"/>
        </w:rPr>
        <w:sectPr w:rsidR="007E1C2B" w:rsidRPr="0032506F" w:rsidSect="009C07A6">
          <w:pgSz w:w="12240" w:h="15840"/>
          <w:pgMar w:top="1440" w:right="1440" w:bottom="1440" w:left="1440" w:header="720" w:footer="720" w:gutter="0"/>
          <w:cols w:space="720"/>
          <w:docGrid w:linePitch="360"/>
        </w:sectPr>
      </w:pPr>
    </w:p>
    <w:p w14:paraId="7EAA8A08" w14:textId="1B6B3DAC" w:rsidR="007E1C2B" w:rsidRPr="0032506F" w:rsidRDefault="007E1C2B" w:rsidP="007E1C2B">
      <w:pPr>
        <w:spacing w:after="0" w:line="480" w:lineRule="auto"/>
        <w:rPr>
          <w:rFonts w:ascii="Times New Roman" w:eastAsia="SimSun" w:hAnsi="Times New Roman" w:cs="Times New Roman"/>
          <w:b/>
          <w:bCs/>
          <w:sz w:val="24"/>
          <w:szCs w:val="24"/>
        </w:rPr>
      </w:pPr>
      <w:bookmarkStart w:id="114" w:name="Table418"/>
      <w:bookmarkStart w:id="115" w:name="Table44"/>
      <w:r w:rsidRPr="0032506F">
        <w:rPr>
          <w:rFonts w:ascii="Times New Roman" w:eastAsia="SimSun" w:hAnsi="Times New Roman" w:cs="Times New Roman"/>
          <w:b/>
          <w:bCs/>
          <w:sz w:val="24"/>
          <w:szCs w:val="24"/>
        </w:rPr>
        <w:lastRenderedPageBreak/>
        <w:t>Table 4.</w:t>
      </w:r>
      <w:r w:rsidR="00346C84">
        <w:rPr>
          <w:rFonts w:ascii="Times New Roman" w:eastAsia="SimSun" w:hAnsi="Times New Roman" w:cs="Times New Roman"/>
          <w:b/>
          <w:bCs/>
          <w:sz w:val="24"/>
          <w:szCs w:val="24"/>
        </w:rPr>
        <w:t>4</w:t>
      </w:r>
    </w:p>
    <w:bookmarkEnd w:id="114"/>
    <w:bookmarkEnd w:id="115"/>
    <w:p w14:paraId="6F7E41D9"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Global Fit Indices of Final Best-Fitting Model (N=235)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3330"/>
      </w:tblGrid>
      <w:tr w:rsidR="007E1C2B" w:rsidRPr="0032506F" w14:paraId="3929F4B0" w14:textId="77777777" w:rsidTr="00791EF5">
        <w:tc>
          <w:tcPr>
            <w:tcW w:w="2178" w:type="dxa"/>
            <w:tcBorders>
              <w:top w:val="single" w:sz="8" w:space="0" w:color="auto"/>
              <w:bottom w:val="single" w:sz="8" w:space="0" w:color="auto"/>
            </w:tcBorders>
          </w:tcPr>
          <w:p w14:paraId="59B1263B" w14:textId="77777777" w:rsidR="007E1C2B" w:rsidRPr="0032506F" w:rsidRDefault="007E1C2B" w:rsidP="007E1C2B">
            <w:pPr>
              <w:jc w:val="both"/>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Model-Fit Index</w:t>
            </w:r>
          </w:p>
        </w:tc>
        <w:tc>
          <w:tcPr>
            <w:tcW w:w="3330" w:type="dxa"/>
            <w:tcBorders>
              <w:top w:val="single" w:sz="8" w:space="0" w:color="auto"/>
              <w:bottom w:val="single" w:sz="8" w:space="0" w:color="auto"/>
            </w:tcBorders>
          </w:tcPr>
          <w:p w14:paraId="7C147DC5" w14:textId="77777777" w:rsidR="007E1C2B" w:rsidRPr="0032506F" w:rsidRDefault="007E1C2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Value</w:t>
            </w:r>
          </w:p>
        </w:tc>
      </w:tr>
      <w:tr w:rsidR="007E1C2B" w:rsidRPr="0032506F" w14:paraId="0A924BAD" w14:textId="77777777" w:rsidTr="00791EF5">
        <w:tc>
          <w:tcPr>
            <w:tcW w:w="2178" w:type="dxa"/>
            <w:tcBorders>
              <w:top w:val="single" w:sz="8" w:space="0" w:color="auto"/>
            </w:tcBorders>
          </w:tcPr>
          <w:p w14:paraId="199CE32D" w14:textId="77777777" w:rsidR="007E1C2B" w:rsidRPr="0032506F" w:rsidRDefault="007E1C2B" w:rsidP="007E1C2B">
            <w:pPr>
              <w:rPr>
                <w:rFonts w:ascii="Times New Roman" w:eastAsia="SimSun" w:hAnsi="Times New Roman" w:cs="Times New Roman"/>
                <w:sz w:val="24"/>
                <w:szCs w:val="24"/>
              </w:rPr>
            </w:pPr>
          </w:p>
          <w:p w14:paraId="32C3E3A8"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CMIN</w:t>
            </w:r>
          </w:p>
          <w:p w14:paraId="20016140"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CMIN/DF</w:t>
            </w:r>
          </w:p>
        </w:tc>
        <w:tc>
          <w:tcPr>
            <w:tcW w:w="3330" w:type="dxa"/>
            <w:tcBorders>
              <w:top w:val="single" w:sz="8" w:space="0" w:color="auto"/>
            </w:tcBorders>
          </w:tcPr>
          <w:p w14:paraId="6FFC9715"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w:t>
            </w:r>
          </w:p>
          <w:p w14:paraId="483D01BB"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279.13</w:t>
            </w:r>
          </w:p>
          <w:p w14:paraId="67783B92"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1.712</w:t>
            </w:r>
          </w:p>
        </w:tc>
      </w:tr>
      <w:tr w:rsidR="007E1C2B" w:rsidRPr="0032506F" w14:paraId="1BA42072" w14:textId="77777777" w:rsidTr="00791EF5">
        <w:tc>
          <w:tcPr>
            <w:tcW w:w="2178" w:type="dxa"/>
          </w:tcPr>
          <w:p w14:paraId="296DD416"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GFI</w:t>
            </w:r>
          </w:p>
        </w:tc>
        <w:tc>
          <w:tcPr>
            <w:tcW w:w="3330" w:type="dxa"/>
          </w:tcPr>
          <w:p w14:paraId="756E1838"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.894</w:t>
            </w:r>
          </w:p>
        </w:tc>
      </w:tr>
      <w:tr w:rsidR="007E1C2B" w:rsidRPr="0032506F" w14:paraId="47D9DEC5" w14:textId="77777777" w:rsidTr="00791EF5">
        <w:tc>
          <w:tcPr>
            <w:tcW w:w="2178" w:type="dxa"/>
          </w:tcPr>
          <w:p w14:paraId="027D71E3"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AGFI</w:t>
            </w:r>
          </w:p>
        </w:tc>
        <w:tc>
          <w:tcPr>
            <w:tcW w:w="3330" w:type="dxa"/>
          </w:tcPr>
          <w:p w14:paraId="2186B4FC"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.864</w:t>
            </w:r>
          </w:p>
        </w:tc>
      </w:tr>
      <w:tr w:rsidR="007E1C2B" w:rsidRPr="0032506F" w14:paraId="59D37929" w14:textId="77777777" w:rsidTr="00791EF5">
        <w:tc>
          <w:tcPr>
            <w:tcW w:w="2178" w:type="dxa"/>
          </w:tcPr>
          <w:p w14:paraId="0C441764"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PGFI</w:t>
            </w:r>
          </w:p>
          <w:p w14:paraId="2B42196B"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NFI</w:t>
            </w:r>
          </w:p>
        </w:tc>
        <w:tc>
          <w:tcPr>
            <w:tcW w:w="3330" w:type="dxa"/>
          </w:tcPr>
          <w:p w14:paraId="21D5D94B"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.694</w:t>
            </w:r>
          </w:p>
          <w:p w14:paraId="23FDC74C"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.904</w:t>
            </w:r>
          </w:p>
        </w:tc>
      </w:tr>
      <w:tr w:rsidR="007E1C2B" w:rsidRPr="0032506F" w14:paraId="13E1D47C" w14:textId="77777777" w:rsidTr="00791EF5">
        <w:tc>
          <w:tcPr>
            <w:tcW w:w="2178" w:type="dxa"/>
          </w:tcPr>
          <w:p w14:paraId="20DC0FD5"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IFI</w:t>
            </w:r>
          </w:p>
        </w:tc>
        <w:tc>
          <w:tcPr>
            <w:tcW w:w="3330" w:type="dxa"/>
          </w:tcPr>
          <w:p w14:paraId="35583479"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.958</w:t>
            </w:r>
          </w:p>
        </w:tc>
      </w:tr>
      <w:tr w:rsidR="007E1C2B" w:rsidRPr="0032506F" w14:paraId="438EABF8" w14:textId="77777777" w:rsidTr="00791EF5">
        <w:tc>
          <w:tcPr>
            <w:tcW w:w="2178" w:type="dxa"/>
          </w:tcPr>
          <w:p w14:paraId="59A15A4F"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TLI</w:t>
            </w:r>
          </w:p>
        </w:tc>
        <w:tc>
          <w:tcPr>
            <w:tcW w:w="3330" w:type="dxa"/>
          </w:tcPr>
          <w:p w14:paraId="1E126A8F"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.950</w:t>
            </w:r>
          </w:p>
        </w:tc>
      </w:tr>
      <w:tr w:rsidR="007E1C2B" w:rsidRPr="0032506F" w14:paraId="5E764BD8" w14:textId="77777777" w:rsidTr="00791EF5">
        <w:tc>
          <w:tcPr>
            <w:tcW w:w="2178" w:type="dxa"/>
          </w:tcPr>
          <w:p w14:paraId="53680F87"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CFI</w:t>
            </w:r>
          </w:p>
        </w:tc>
        <w:tc>
          <w:tcPr>
            <w:tcW w:w="3330" w:type="dxa"/>
          </w:tcPr>
          <w:p w14:paraId="5A287DFD"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.957</w:t>
            </w:r>
          </w:p>
        </w:tc>
      </w:tr>
      <w:tr w:rsidR="007E1C2B" w:rsidRPr="0032506F" w14:paraId="3C681F80" w14:textId="77777777" w:rsidTr="00791EF5">
        <w:tc>
          <w:tcPr>
            <w:tcW w:w="2178" w:type="dxa"/>
          </w:tcPr>
          <w:p w14:paraId="7B487DC0"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SRMR</w:t>
            </w:r>
          </w:p>
        </w:tc>
        <w:tc>
          <w:tcPr>
            <w:tcW w:w="3330" w:type="dxa"/>
          </w:tcPr>
          <w:p w14:paraId="270D1840"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.053</w:t>
            </w:r>
          </w:p>
        </w:tc>
      </w:tr>
      <w:tr w:rsidR="007E1C2B" w:rsidRPr="0032506F" w14:paraId="5FDA77BE" w14:textId="77777777" w:rsidTr="00791EF5">
        <w:tc>
          <w:tcPr>
            <w:tcW w:w="2178" w:type="dxa"/>
            <w:tcBorders>
              <w:bottom w:val="single" w:sz="8" w:space="0" w:color="auto"/>
            </w:tcBorders>
          </w:tcPr>
          <w:p w14:paraId="018D3996"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RMSEA</w:t>
            </w:r>
          </w:p>
        </w:tc>
        <w:tc>
          <w:tcPr>
            <w:tcW w:w="3330" w:type="dxa"/>
            <w:tcBorders>
              <w:bottom w:val="single" w:sz="8" w:space="0" w:color="auto"/>
            </w:tcBorders>
          </w:tcPr>
          <w:p w14:paraId="21E6D8EE"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.055</w:t>
            </w:r>
          </w:p>
          <w:p w14:paraId="301CE719" w14:textId="77777777" w:rsidR="007E1C2B" w:rsidRPr="0032506F" w:rsidRDefault="007E1C2B" w:rsidP="007E1C2B">
            <w:pPr>
              <w:jc w:val="center"/>
              <w:rPr>
                <w:rFonts w:ascii="Times New Roman" w:eastAsia="SimSun" w:hAnsi="Times New Roman" w:cs="Times New Roman"/>
                <w:sz w:val="24"/>
                <w:szCs w:val="24"/>
              </w:rPr>
            </w:pPr>
          </w:p>
        </w:tc>
      </w:tr>
    </w:tbl>
    <w:p w14:paraId="5B30AB6C"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i/>
          <w:sz w:val="24"/>
          <w:szCs w:val="24"/>
        </w:rPr>
        <w:t xml:space="preserve">Note: </w:t>
      </w:r>
      <w:r w:rsidRPr="0032506F">
        <w:rPr>
          <w:rFonts w:ascii="Times New Roman" w:hAnsi="Times New Roman" w:cs="Times New Roman"/>
          <w:sz w:val="24"/>
          <w:szCs w:val="24"/>
        </w:rPr>
        <w:t>CMIN=Chi-square</w:t>
      </w:r>
      <w:r w:rsidRPr="0032506F">
        <w:rPr>
          <w:rFonts w:ascii="GFSNeohellenic-Regular" w:hAnsi="GFSNeohellenic-Regular" w:cs="GFSNeohellenic-Regular"/>
          <w:sz w:val="20"/>
          <w:szCs w:val="20"/>
        </w:rPr>
        <w:t xml:space="preserve"> (</w:t>
      </w:r>
      <w:r w:rsidRPr="0032506F">
        <w:rPr>
          <w:rFonts w:ascii="Times New Roman" w:hAnsi="Times New Roman" w:cs="Times New Roman"/>
          <w:sz w:val="24"/>
          <w:szCs w:val="24"/>
        </w:rPr>
        <w:t>χ2); CMIN/DF=ratio of chi-square to degrees of freedom; GFI=Goodness-of-Fit Index; AGFI=</w:t>
      </w:r>
      <w:r w:rsidRPr="0032506F">
        <w:rPr>
          <w:rFonts w:ascii="Times New Roman" w:hAnsi="Times New Roman"/>
          <w:color w:val="000000" w:themeColor="text1"/>
          <w:sz w:val="24"/>
          <w:szCs w:val="24"/>
        </w:rPr>
        <w:t>Adjusted Goodness-of-Fit Index; PGFI= Parsimony Goodness-of-fit Index;   NFI= Normed Fit Index; IFI=Incremental Fit Index; TLI= Tucker-Lewis Index (also called the Non-normed Fit Index); CFI= Comparative Fit Index; SRMR= Standardized Root Mean Square Residual; RMSEA= Root Mean Square Error of Approximation</w:t>
      </w:r>
    </w:p>
    <w:p w14:paraId="752D25E6" w14:textId="77777777" w:rsidR="007E1C2B" w:rsidRPr="0032506F" w:rsidRDefault="007E1C2B" w:rsidP="007E1C2B">
      <w:pPr>
        <w:spacing w:after="0" w:line="240" w:lineRule="auto"/>
        <w:rPr>
          <w:rFonts w:ascii="Times New Roman" w:hAnsi="Times New Roman" w:cs="Times New Roman"/>
          <w:sz w:val="24"/>
          <w:szCs w:val="24"/>
        </w:rPr>
      </w:pPr>
    </w:p>
    <w:p w14:paraId="74120C09" w14:textId="63250F46" w:rsidR="007E1C2B" w:rsidRPr="0032506F" w:rsidRDefault="007E1C2B" w:rsidP="006838E6">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The test of the null hypothesis that online student engagement is a 3-factor structure as depicted in </w:t>
      </w:r>
      <w:hyperlink w:anchor="Figure41" w:history="1">
        <w:r w:rsidRPr="0032506F">
          <w:rPr>
            <w:rFonts w:ascii="Times New Roman" w:hAnsi="Times New Roman"/>
            <w:color w:val="0563C1" w:themeColor="hyperlink"/>
            <w:sz w:val="24"/>
            <w:szCs w:val="24"/>
            <w:u w:val="single"/>
          </w:rPr>
          <w:t>Figure 4.</w:t>
        </w:r>
        <w:r w:rsidR="0069288A">
          <w:rPr>
            <w:rFonts w:ascii="Times New Roman" w:hAnsi="Times New Roman"/>
            <w:color w:val="0563C1" w:themeColor="hyperlink"/>
            <w:sz w:val="24"/>
            <w:szCs w:val="24"/>
            <w:u w:val="single"/>
          </w:rPr>
          <w:t>1</w:t>
        </w:r>
      </w:hyperlink>
      <w:r w:rsidRPr="0032506F">
        <w:rPr>
          <w:rFonts w:ascii="Times New Roman" w:hAnsi="Times New Roman"/>
          <w:color w:val="000000" w:themeColor="text1"/>
          <w:sz w:val="24"/>
          <w:szCs w:val="24"/>
        </w:rPr>
        <w:t xml:space="preserve"> produced a chi-square (χ2) value of 279.13, with 163 degrees of freedom and a probability of less than .0001, suggesting the lack of exact fit. However, given the sensitivity of the likelihood test to the sample size and its assumption of perfect fit in the population, this result was expected (Byrne, 2016). In addition, other goodness of fit indices may still indicate an acceptable or good model fit even when the chi-square test is statistically significant, which suggests that the hypothesized model can represent and explain the sample data very well, even if there is a statistically important discrepancy (Mulaik et al., 1989). The χ2/degrees of freedom ratio shown as CMIN/DF in </w:t>
      </w:r>
      <w:hyperlink w:anchor="Table44" w:history="1">
        <w:r w:rsidRPr="00346C84">
          <w:rPr>
            <w:rStyle w:val="Hyperlink"/>
            <w:rFonts w:ascii="Times New Roman" w:hAnsi="Times New Roman"/>
            <w:sz w:val="24"/>
            <w:szCs w:val="24"/>
          </w:rPr>
          <w:t>Table 4.</w:t>
        </w:r>
        <w:r w:rsidR="00346C84" w:rsidRPr="00346C84">
          <w:rPr>
            <w:rStyle w:val="Hyperlink"/>
            <w:rFonts w:ascii="Times New Roman" w:hAnsi="Times New Roman"/>
            <w:sz w:val="24"/>
            <w:szCs w:val="24"/>
          </w:rPr>
          <w:t>4</w:t>
        </w:r>
      </w:hyperlink>
      <w:r w:rsidRPr="0032506F">
        <w:rPr>
          <w:rFonts w:ascii="Times New Roman" w:hAnsi="Times New Roman"/>
          <w:color w:val="000000" w:themeColor="text1"/>
          <w:sz w:val="24"/>
          <w:szCs w:val="24"/>
        </w:rPr>
        <w:t xml:space="preserve"> was found to be 1.712. According to Tabachnick and Fidell (2013), when the chi-square to degrees of freedom (CMIN/DF) ratio is less than 2, which was the case in this study, it may indicate a good-fitting model. However, due </w:t>
      </w:r>
      <w:r w:rsidRPr="0032506F">
        <w:rPr>
          <w:rFonts w:ascii="Times New Roman" w:hAnsi="Times New Roman"/>
          <w:color w:val="000000" w:themeColor="text1"/>
          <w:sz w:val="24"/>
          <w:szCs w:val="24"/>
        </w:rPr>
        <w:lastRenderedPageBreak/>
        <w:t>to the known limitations and problems associated with the chi-square statistic (including χ2/degrees of freedom ratio) resulting from its sensitivity to sample size and its assumption of perfect model fit, the overall model fit</w:t>
      </w:r>
      <w:r w:rsidR="00863621" w:rsidRPr="0032506F">
        <w:rPr>
          <w:rFonts w:ascii="Times New Roman" w:hAnsi="Times New Roman"/>
          <w:color w:val="000000" w:themeColor="text1"/>
          <w:sz w:val="24"/>
          <w:szCs w:val="24"/>
        </w:rPr>
        <w:t xml:space="preserve"> was assessed</w:t>
      </w:r>
      <w:r w:rsidRPr="0032506F">
        <w:rPr>
          <w:rFonts w:ascii="Times New Roman" w:hAnsi="Times New Roman"/>
          <w:color w:val="000000" w:themeColor="text1"/>
          <w:sz w:val="24"/>
          <w:szCs w:val="24"/>
        </w:rPr>
        <w:t xml:space="preserve"> using several other alternative model fit indices. As absolute fit indices and incremental or comparative fit indices evaluate and represent model fit from different angles, researchers are highly recommended to report different fit indices representing several aspects of model fit (Whittaker, 2016). For example, Kline (2016) recommend reporting, as the minimum requirement, the chi-square statistics including degrees of freedom and the probability level, CFI, RMSEA including the 90 % confidence intervals and p value, and SRMR, all of which were reported in this study. </w:t>
      </w:r>
    </w:p>
    <w:p w14:paraId="773FAF65" w14:textId="15DC4CB8" w:rsidR="007E1C2B" w:rsidRPr="0032506F" w:rsidRDefault="007E1C2B" w:rsidP="007E1C2B">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The GFI and the AGFI values, two commonly used absolute fit indices (Whittaker, 2016), were found to be .894 and .864 respectively, and values .90 or greater for these two indices indicate an acceptable model fit (Whittaker, 2016). Although both GFI and AGFI values found in this study indicated weaker fit, both values are known to be influenced by the sample size (Fan et al., 1999) and they assess the absolute or perfect fit of the model to the data. Therefore, additional model fit indices should be interpreted to evaluate several other aspects of model fit (Byrne, 2016).</w:t>
      </w:r>
      <w:r w:rsidR="006838E6"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t xml:space="preserve">The comparative fit indices of NFI, IFI, TLI, and CFI values ranging from .904 to .958 all supported an acceptable model fit.  Given that the values ≥ .90 for these indices are conventionally treated as indicative of an acceptable fitting model (Whittaker, 2016), all these incremental fit indices suggested an acceptable model fit for the fit of the hypothesized model to the sample data. </w:t>
      </w:r>
    </w:p>
    <w:p w14:paraId="6138BE95" w14:textId="72B96621" w:rsidR="007E1C2B" w:rsidRPr="0032506F" w:rsidRDefault="007E1C2B" w:rsidP="007E1C2B">
      <w:pPr>
        <w:spacing w:after="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The standardized RMR known as SRMR, another commonly used absolute fit index (Whittaker, 2016), was found to be .0535. According to Byrne (2016), a well-fitting model has a SRMR value of .05 or less. On the other hand, Hu and Bentler (1999) suggest a cutoff value </w:t>
      </w:r>
      <w:r w:rsidRPr="0032506F">
        <w:rPr>
          <w:rFonts w:ascii="Times New Roman" w:hAnsi="Times New Roman"/>
          <w:color w:val="000000" w:themeColor="text1"/>
          <w:sz w:val="24"/>
          <w:szCs w:val="24"/>
        </w:rPr>
        <w:lastRenderedPageBreak/>
        <w:t xml:space="preserve">close to .08 for SRMR and Kahn (2006) and Russell (2002) describe SRMR values of .08 or less as indicating good model fit to the data. </w:t>
      </w:r>
      <w:proofErr w:type="gramStart"/>
      <w:r w:rsidRPr="0032506F">
        <w:rPr>
          <w:rFonts w:ascii="Times New Roman" w:hAnsi="Times New Roman"/>
          <w:color w:val="000000" w:themeColor="text1"/>
          <w:sz w:val="24"/>
          <w:szCs w:val="24"/>
        </w:rPr>
        <w:t>In light of</w:t>
      </w:r>
      <w:proofErr w:type="gramEnd"/>
      <w:r w:rsidRPr="0032506F">
        <w:rPr>
          <w:rFonts w:ascii="Times New Roman" w:hAnsi="Times New Roman"/>
          <w:color w:val="000000" w:themeColor="text1"/>
          <w:sz w:val="24"/>
          <w:szCs w:val="24"/>
        </w:rPr>
        <w:t xml:space="preserve"> all these recommended cut-off criteria for the SRMR, the SRMR value of </w:t>
      </w:r>
      <w:r w:rsidR="00863621"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final model </w:t>
      </w:r>
      <w:r w:rsidR="00863621" w:rsidRPr="0032506F">
        <w:rPr>
          <w:rFonts w:ascii="Times New Roman" w:hAnsi="Times New Roman"/>
          <w:color w:val="000000" w:themeColor="text1"/>
          <w:sz w:val="24"/>
          <w:szCs w:val="24"/>
        </w:rPr>
        <w:t xml:space="preserve">was interpreted </w:t>
      </w:r>
      <w:r w:rsidRPr="0032506F">
        <w:rPr>
          <w:rFonts w:ascii="Times New Roman" w:hAnsi="Times New Roman"/>
          <w:color w:val="000000" w:themeColor="text1"/>
          <w:sz w:val="24"/>
          <w:szCs w:val="24"/>
        </w:rPr>
        <w:t xml:space="preserve">as indicating an acceptable model fit to the data. </w:t>
      </w:r>
    </w:p>
    <w:p w14:paraId="58F454EF" w14:textId="000BE0E2" w:rsidR="007E1C2B" w:rsidRPr="0032506F" w:rsidRDefault="00863621" w:rsidP="007E1C2B">
      <w:pPr>
        <w:spacing w:after="200" w:line="480" w:lineRule="auto"/>
        <w:ind w:firstLine="720"/>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T</w:t>
      </w:r>
      <w:r w:rsidR="007E1C2B" w:rsidRPr="0032506F">
        <w:rPr>
          <w:rFonts w:ascii="Times New Roman" w:hAnsi="Times New Roman"/>
          <w:color w:val="000000" w:themeColor="text1"/>
          <w:sz w:val="24"/>
          <w:szCs w:val="24"/>
        </w:rPr>
        <w:t xml:space="preserve">he RMSEA value, another commonly used absolute fit index (Whittaker, 2016), </w:t>
      </w:r>
      <w:r w:rsidRPr="0032506F">
        <w:rPr>
          <w:rFonts w:ascii="Times New Roman" w:hAnsi="Times New Roman"/>
          <w:color w:val="000000" w:themeColor="text1"/>
          <w:sz w:val="24"/>
          <w:szCs w:val="24"/>
        </w:rPr>
        <w:t xml:space="preserve">was also considered </w:t>
      </w:r>
      <w:r w:rsidR="007E1C2B" w:rsidRPr="0032506F">
        <w:rPr>
          <w:rFonts w:ascii="Times New Roman" w:hAnsi="Times New Roman"/>
          <w:color w:val="000000" w:themeColor="text1"/>
          <w:sz w:val="24"/>
          <w:szCs w:val="24"/>
        </w:rPr>
        <w:t>with its confidence intervals and the test of closeness of fit (PCLOSE). A RMSEA value at or below .05 is indicative of close model fit and a RMSEA value up to .08 is indicative of reasonable errors of approximation (Browne &amp; Cudeck, 1992; Byrne, 2016; Worthington &amp; Whittaker, 2006). The RMSEA value for</w:t>
      </w:r>
      <w:r w:rsidRPr="0032506F">
        <w:rPr>
          <w:rFonts w:ascii="Times New Roman" w:hAnsi="Times New Roman"/>
          <w:color w:val="000000" w:themeColor="text1"/>
          <w:sz w:val="24"/>
          <w:szCs w:val="24"/>
        </w:rPr>
        <w:t xml:space="preserve"> the final model </w:t>
      </w:r>
      <w:r w:rsidR="007E1C2B" w:rsidRPr="0032506F">
        <w:rPr>
          <w:rFonts w:ascii="Times New Roman" w:hAnsi="Times New Roman"/>
          <w:color w:val="000000" w:themeColor="text1"/>
          <w:sz w:val="24"/>
          <w:szCs w:val="24"/>
        </w:rPr>
        <w:t>was found to be .055. Researchers are strongly recommended to use and report the confidence intervals while reporting RMSEA values where “a very narrow confidence interval would argue for good precision of the RMSEA value in reflecting model fit in the population” (Byrne, 2016, p. 99). The 90 % confidence interval of the RMSEA value of the model ranged from .044 to .066, and the p-value for the test of close fit was .214.</w:t>
      </w:r>
      <w:r w:rsidR="007E1C2B" w:rsidRPr="0032506F">
        <w:t xml:space="preserve"> </w:t>
      </w:r>
      <w:r w:rsidR="007E1C2B" w:rsidRPr="0032506F">
        <w:rPr>
          <w:rFonts w:ascii="Times New Roman" w:hAnsi="Times New Roman"/>
          <w:color w:val="000000" w:themeColor="text1"/>
          <w:sz w:val="24"/>
          <w:szCs w:val="24"/>
        </w:rPr>
        <w:t xml:space="preserve">This confidence interval suggested that </w:t>
      </w:r>
      <w:r w:rsidR="00416233" w:rsidRPr="0032506F">
        <w:rPr>
          <w:rFonts w:ascii="Times New Roman" w:hAnsi="Times New Roman"/>
          <w:color w:val="000000" w:themeColor="text1"/>
          <w:sz w:val="24"/>
          <w:szCs w:val="24"/>
        </w:rPr>
        <w:t xml:space="preserve">one </w:t>
      </w:r>
      <w:r w:rsidR="007E1C2B" w:rsidRPr="0032506F">
        <w:rPr>
          <w:rFonts w:ascii="Times New Roman" w:hAnsi="Times New Roman"/>
          <w:color w:val="000000" w:themeColor="text1"/>
          <w:sz w:val="24"/>
          <w:szCs w:val="24"/>
        </w:rPr>
        <w:t xml:space="preserve">could be 90% confident that the true RMSEA in the population would be between .044 (lower bound) and .066 (upper bound), which was a </w:t>
      </w:r>
      <w:proofErr w:type="gramStart"/>
      <w:r w:rsidR="007E1C2B" w:rsidRPr="0032506F">
        <w:rPr>
          <w:rFonts w:ascii="Times New Roman" w:hAnsi="Times New Roman"/>
          <w:color w:val="000000" w:themeColor="text1"/>
          <w:sz w:val="24"/>
          <w:szCs w:val="24"/>
        </w:rPr>
        <w:t>fairly narrow</w:t>
      </w:r>
      <w:proofErr w:type="gramEnd"/>
      <w:r w:rsidR="007E1C2B" w:rsidRPr="0032506F">
        <w:rPr>
          <w:rFonts w:ascii="Times New Roman" w:hAnsi="Times New Roman"/>
          <w:color w:val="000000" w:themeColor="text1"/>
          <w:sz w:val="24"/>
          <w:szCs w:val="24"/>
        </w:rPr>
        <w:t xml:space="preserve"> confidence interval supporting a good precision of the RMSEA value. The upper limit of the 90 % confidence interval was .066, which was still less than the .08 cutoff value suggested by Browne and Cudeck (1992) as indicating reasonable error of approximation, and the p-value for the test of close fit was .240, not indicating statistical significance. As a value of .05 was contained within the confidence interval of the RMSEA </w:t>
      </w:r>
      <w:r w:rsidR="00416233" w:rsidRPr="0032506F">
        <w:rPr>
          <w:rFonts w:ascii="Times New Roman" w:hAnsi="Times New Roman"/>
          <w:color w:val="000000" w:themeColor="text1"/>
          <w:sz w:val="24"/>
          <w:szCs w:val="24"/>
        </w:rPr>
        <w:t xml:space="preserve">  </w:t>
      </w:r>
      <w:r w:rsidR="007E1C2B" w:rsidRPr="0032506F">
        <w:rPr>
          <w:rFonts w:ascii="Times New Roman" w:hAnsi="Times New Roman"/>
          <w:color w:val="000000" w:themeColor="text1"/>
          <w:sz w:val="24"/>
          <w:szCs w:val="24"/>
        </w:rPr>
        <w:t xml:space="preserve">(.044 - .066) and the RMSEA value was accompanied by a p-value of .214 greater than .05, </w:t>
      </w:r>
      <w:r w:rsidR="00416233" w:rsidRPr="0032506F">
        <w:rPr>
          <w:rFonts w:ascii="Times New Roman" w:hAnsi="Times New Roman"/>
          <w:color w:val="000000" w:themeColor="text1"/>
          <w:sz w:val="24"/>
          <w:szCs w:val="24"/>
        </w:rPr>
        <w:t>it also indicated at least an</w:t>
      </w:r>
      <w:r w:rsidR="007E1C2B" w:rsidRPr="0032506F">
        <w:rPr>
          <w:rFonts w:ascii="Times New Roman" w:hAnsi="Times New Roman"/>
          <w:color w:val="000000" w:themeColor="text1"/>
          <w:sz w:val="24"/>
          <w:szCs w:val="24"/>
        </w:rPr>
        <w:t xml:space="preserve"> acceptable model fit (Whittaker, 2016).  </w:t>
      </w:r>
    </w:p>
    <w:p w14:paraId="306B49DD" w14:textId="50975FD6" w:rsidR="007E1C2B" w:rsidRPr="0032506F" w:rsidRDefault="007E1C2B" w:rsidP="007E1C2B">
      <w:pPr>
        <w:spacing w:after="0" w:line="480" w:lineRule="auto"/>
        <w:contextualSpacing/>
        <w:rPr>
          <w:rFonts w:ascii="Times New Roman" w:hAnsi="Times New Roman"/>
          <w:color w:val="000000" w:themeColor="text1"/>
          <w:sz w:val="24"/>
          <w:szCs w:val="24"/>
        </w:rPr>
      </w:pPr>
      <w:r w:rsidRPr="0032506F">
        <w:rPr>
          <w:rFonts w:ascii="Times New Roman" w:hAnsi="Times New Roman"/>
          <w:color w:val="000000" w:themeColor="text1"/>
          <w:sz w:val="24"/>
          <w:szCs w:val="24"/>
        </w:rPr>
        <w:tab/>
        <w:t xml:space="preserve"> </w:t>
      </w:r>
    </w:p>
    <w:p w14:paraId="7C1DD8A8" w14:textId="08C9A78E" w:rsidR="007E1C2B" w:rsidRPr="0032506F" w:rsidRDefault="007E1C2B" w:rsidP="007E1C2B">
      <w:pPr>
        <w:spacing w:after="0" w:line="480" w:lineRule="auto"/>
        <w:rPr>
          <w:rFonts w:ascii="Times New Roman" w:hAnsi="Times New Roman" w:cs="Times New Roman"/>
          <w:sz w:val="24"/>
          <w:szCs w:val="24"/>
        </w:rPr>
      </w:pPr>
      <w:r w:rsidRPr="0032506F">
        <w:lastRenderedPageBreak/>
        <w:tab/>
      </w:r>
      <w:r w:rsidRPr="0032506F">
        <w:rPr>
          <w:rFonts w:ascii="Times New Roman" w:eastAsiaTheme="majorEastAsia" w:hAnsi="Times New Roman" w:cs="Times New Roman"/>
          <w:b/>
          <w:bCs/>
          <w:sz w:val="24"/>
          <w:szCs w:val="24"/>
        </w:rPr>
        <w:t>Local Fit Summary.</w:t>
      </w:r>
      <w:r w:rsidRPr="0032506F">
        <w:rPr>
          <w:rFonts w:ascii="Times New Roman" w:hAnsi="Times New Roman" w:cs="Times New Roman"/>
          <w:b/>
          <w:bCs/>
        </w:rPr>
        <w:t xml:space="preserve"> </w:t>
      </w:r>
      <w:r w:rsidR="00416233" w:rsidRPr="0032506F">
        <w:rPr>
          <w:rFonts w:ascii="Times New Roman" w:hAnsi="Times New Roman" w:cs="Times New Roman"/>
          <w:sz w:val="24"/>
          <w:szCs w:val="24"/>
        </w:rPr>
        <w:t>As shown by</w:t>
      </w:r>
      <w:r w:rsidRPr="0032506F">
        <w:rPr>
          <w:rFonts w:ascii="Times New Roman" w:hAnsi="Times New Roman" w:cs="Times New Roman"/>
          <w:sz w:val="24"/>
          <w:szCs w:val="24"/>
        </w:rPr>
        <w:t xml:space="preserve"> the unstandardized and standardized regression coefficients (factor loadings) of both ML estimates and the</w:t>
      </w:r>
      <w:r w:rsidR="00C3532B" w:rsidRPr="0032506F">
        <w:rPr>
          <w:rFonts w:ascii="Times New Roman" w:hAnsi="Times New Roman" w:cs="Times New Roman"/>
          <w:sz w:val="24"/>
          <w:szCs w:val="24"/>
        </w:rPr>
        <w:t xml:space="preserve"> </w:t>
      </w:r>
      <w:r w:rsidRPr="0032506F">
        <w:rPr>
          <w:rFonts w:ascii="Times New Roman" w:hAnsi="Times New Roman" w:cs="Times New Roman"/>
          <w:sz w:val="24"/>
          <w:szCs w:val="24"/>
        </w:rPr>
        <w:t>estimates with their bias-corrected 95 % confidence intervals</w:t>
      </w:r>
      <w:r w:rsidR="00C3532B" w:rsidRPr="0032506F">
        <w:rPr>
          <w:rFonts w:ascii="Times New Roman" w:hAnsi="Times New Roman" w:cs="Times New Roman"/>
          <w:sz w:val="24"/>
          <w:szCs w:val="24"/>
        </w:rPr>
        <w:t xml:space="preserve">, </w:t>
      </w:r>
      <w:r w:rsidRPr="0032506F">
        <w:rPr>
          <w:rFonts w:ascii="Times New Roman" w:hAnsi="Times New Roman" w:cs="Times New Roman"/>
          <w:sz w:val="24"/>
          <w:szCs w:val="24"/>
        </w:rPr>
        <w:t>all the factor loadings</w:t>
      </w:r>
      <w:r w:rsidR="00C3532B" w:rsidRPr="0032506F">
        <w:rPr>
          <w:rFonts w:ascii="Times New Roman" w:hAnsi="Times New Roman" w:cs="Times New Roman"/>
          <w:sz w:val="24"/>
          <w:szCs w:val="24"/>
        </w:rPr>
        <w:t xml:space="preserve"> were found</w:t>
      </w:r>
      <w:r w:rsidRPr="0032506F">
        <w:rPr>
          <w:rFonts w:ascii="Times New Roman" w:hAnsi="Times New Roman" w:cs="Times New Roman"/>
          <w:sz w:val="24"/>
          <w:szCs w:val="24"/>
        </w:rPr>
        <w:t xml:space="preserve"> to be positive as theoretically expected, and statistically significant at the .05 alpha level. </w:t>
      </w:r>
      <w:hyperlink w:anchor="Table45" w:history="1">
        <w:r w:rsidRPr="00346C84">
          <w:rPr>
            <w:rStyle w:val="Hyperlink"/>
            <w:rFonts w:ascii="Times New Roman" w:hAnsi="Times New Roman" w:cs="Times New Roman"/>
            <w:sz w:val="24"/>
            <w:szCs w:val="24"/>
          </w:rPr>
          <w:t>Table 4.</w:t>
        </w:r>
        <w:r w:rsidR="00346C84" w:rsidRPr="00346C84">
          <w:rPr>
            <w:rStyle w:val="Hyperlink"/>
            <w:rFonts w:ascii="Times New Roman" w:hAnsi="Times New Roman" w:cs="Times New Roman"/>
            <w:sz w:val="24"/>
            <w:szCs w:val="24"/>
          </w:rPr>
          <w:t>5</w:t>
        </w:r>
      </w:hyperlink>
      <w:r w:rsidRPr="0032506F">
        <w:rPr>
          <w:rFonts w:ascii="Times New Roman" w:hAnsi="Times New Roman" w:cs="Times New Roman"/>
          <w:sz w:val="24"/>
          <w:szCs w:val="24"/>
        </w:rPr>
        <w:t xml:space="preserve"> presents the normal theory ML unstandardized and standardized factor loadings of twenty variables in the final best-fitting model seen in </w:t>
      </w:r>
      <w:hyperlink w:anchor="Figure41" w:history="1">
        <w:r w:rsidRPr="0032506F">
          <w:rPr>
            <w:rFonts w:ascii="Times New Roman" w:hAnsi="Times New Roman" w:cs="Times New Roman"/>
            <w:color w:val="0563C1" w:themeColor="hyperlink"/>
            <w:sz w:val="24"/>
            <w:szCs w:val="24"/>
            <w:u w:val="single"/>
          </w:rPr>
          <w:t>Figure 4.</w:t>
        </w:r>
        <w:r w:rsidR="00964E41">
          <w:rPr>
            <w:rFonts w:ascii="Times New Roman" w:hAnsi="Times New Roman" w:cs="Times New Roman"/>
            <w:color w:val="0563C1" w:themeColor="hyperlink"/>
            <w:sz w:val="24"/>
            <w:szCs w:val="24"/>
            <w:u w:val="single"/>
          </w:rPr>
          <w:t>1</w:t>
        </w:r>
      </w:hyperlink>
      <w:r w:rsidRPr="0032506F">
        <w:rPr>
          <w:rFonts w:ascii="Times New Roman" w:hAnsi="Times New Roman" w:cs="Times New Roman"/>
          <w:sz w:val="24"/>
          <w:szCs w:val="24"/>
        </w:rPr>
        <w:t xml:space="preserve"> </w:t>
      </w:r>
      <w:r w:rsidR="004C5E89" w:rsidRPr="0032506F">
        <w:rPr>
          <w:rFonts w:ascii="Times New Roman" w:hAnsi="Times New Roman" w:cs="Times New Roman"/>
          <w:sz w:val="24"/>
          <w:szCs w:val="24"/>
        </w:rPr>
        <w:t xml:space="preserve">(see </w:t>
      </w:r>
      <w:hyperlink w:anchor="_Appendix_N_Unstandardized" w:history="1">
        <w:r w:rsidR="004C5E89" w:rsidRPr="00A7483E">
          <w:rPr>
            <w:rStyle w:val="Hyperlink"/>
            <w:rFonts w:ascii="Times New Roman" w:hAnsi="Times New Roman" w:cs="Times New Roman"/>
            <w:sz w:val="24"/>
            <w:szCs w:val="24"/>
          </w:rPr>
          <w:t xml:space="preserve">Appendix </w:t>
        </w:r>
        <w:r w:rsidR="002C11F0">
          <w:rPr>
            <w:rStyle w:val="Hyperlink"/>
            <w:rFonts w:ascii="Times New Roman" w:hAnsi="Times New Roman" w:cs="Times New Roman"/>
            <w:sz w:val="24"/>
            <w:szCs w:val="24"/>
          </w:rPr>
          <w:t>N</w:t>
        </w:r>
      </w:hyperlink>
      <w:r w:rsidR="004C5E89" w:rsidRPr="0032506F">
        <w:rPr>
          <w:rFonts w:ascii="Times New Roman" w:hAnsi="Times New Roman" w:cs="Times New Roman"/>
          <w:sz w:val="24"/>
          <w:szCs w:val="24"/>
        </w:rPr>
        <w:t xml:space="preserve"> for </w:t>
      </w:r>
      <w:r w:rsidRPr="0032506F">
        <w:rPr>
          <w:rFonts w:ascii="Times New Roman" w:hAnsi="Times New Roman" w:cs="Times New Roman"/>
          <w:sz w:val="24"/>
          <w:szCs w:val="24"/>
        </w:rPr>
        <w:t xml:space="preserve">the unstandardized </w:t>
      </w:r>
      <w:r w:rsidR="004C5E89" w:rsidRPr="0032506F">
        <w:rPr>
          <w:rFonts w:ascii="Times New Roman" w:hAnsi="Times New Roman" w:cs="Times New Roman"/>
          <w:sz w:val="24"/>
          <w:szCs w:val="24"/>
        </w:rPr>
        <w:t xml:space="preserve">and standardized </w:t>
      </w:r>
      <w:r w:rsidRPr="0032506F">
        <w:rPr>
          <w:rFonts w:ascii="Times New Roman" w:hAnsi="Times New Roman" w:cs="Times New Roman"/>
          <w:sz w:val="24"/>
          <w:szCs w:val="24"/>
        </w:rPr>
        <w:t>factor loadings of twenty indicator variables with their bias-corrected 95 % confidence intervals</w:t>
      </w:r>
      <w:r w:rsidR="004C5E89" w:rsidRPr="0032506F">
        <w:rPr>
          <w:rFonts w:ascii="Times New Roman" w:hAnsi="Times New Roman" w:cs="Times New Roman"/>
          <w:sz w:val="24"/>
          <w:szCs w:val="24"/>
        </w:rPr>
        <w:t>)</w:t>
      </w:r>
      <w:r w:rsidRPr="0032506F">
        <w:rPr>
          <w:rFonts w:ascii="Times New Roman" w:hAnsi="Times New Roman" w:cs="Times New Roman"/>
          <w:sz w:val="24"/>
          <w:szCs w:val="24"/>
        </w:rPr>
        <w:t>. Since each OEHE item loaded onto a single factor, these standardized factor loadings are interpreted as correlation coefficients. All the standardized regression weights were strongly positive</w:t>
      </w:r>
      <w:r w:rsidRPr="0032506F">
        <w:rPr>
          <w:rFonts w:ascii="Times New Roman" w:hAnsi="Times New Roman" w:cs="Times New Roman"/>
          <w:b/>
          <w:bCs/>
          <w:sz w:val="24"/>
          <w:szCs w:val="24"/>
        </w:rPr>
        <w:t xml:space="preserve"> </w:t>
      </w:r>
      <w:r w:rsidRPr="0032506F">
        <w:rPr>
          <w:rFonts w:ascii="Times New Roman" w:hAnsi="Times New Roman" w:cs="Times New Roman"/>
          <w:sz w:val="24"/>
          <w:szCs w:val="24"/>
        </w:rPr>
        <w:t>(&gt;.50) except for the item OBE4 (.33), and all the standardized regression weights were also statistically significant (</w:t>
      </w:r>
      <w:r w:rsidRPr="0032506F">
        <w:rPr>
          <w:rFonts w:ascii="Times New Roman" w:hAnsi="Times New Roman" w:cs="Times New Roman"/>
          <w:i/>
          <w:sz w:val="24"/>
          <w:szCs w:val="24"/>
        </w:rPr>
        <w:t>p &lt;</w:t>
      </w:r>
      <w:r w:rsidRPr="0032506F">
        <w:rPr>
          <w:rFonts w:ascii="Times New Roman" w:hAnsi="Times New Roman" w:cs="Times New Roman"/>
          <w:sz w:val="24"/>
          <w:szCs w:val="24"/>
        </w:rPr>
        <w:t xml:space="preserve"> .01), thereby indicating a reasonably good local model fit. As for the .333 factor loading of the item OBE4 on the OBE factor, the magnitude of the loading, although not as strong as the others, was still considered acceptable because “a significant factor loading, as determined by a standardized coefficient of 0.30 or above, indicates that the item is a good measure of the underlying factor” (Wang et al., 2019, p. 116). </w:t>
      </w:r>
    </w:p>
    <w:p w14:paraId="00176CFC" w14:textId="57471384" w:rsidR="00C3532B" w:rsidRPr="0032506F" w:rsidRDefault="007E1C2B" w:rsidP="00C3532B">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r>
      <w:r w:rsidR="00C3532B" w:rsidRPr="0032506F">
        <w:rPr>
          <w:rFonts w:ascii="Times New Roman" w:eastAsiaTheme="majorEastAsia" w:hAnsi="Times New Roman" w:cs="Times New Roman"/>
          <w:b/>
          <w:bCs/>
          <w:i/>
          <w:iCs/>
          <w:sz w:val="24"/>
          <w:szCs w:val="24"/>
        </w:rPr>
        <w:t>Factor Correlations.</w:t>
      </w:r>
      <w:r w:rsidR="00C3532B" w:rsidRPr="0032506F">
        <w:rPr>
          <w:rFonts w:ascii="Times New Roman" w:hAnsi="Times New Roman" w:cs="Times New Roman"/>
          <w:sz w:val="24"/>
          <w:szCs w:val="24"/>
        </w:rPr>
        <w:t xml:space="preserve"> In the final best-fitting model seen in </w:t>
      </w:r>
      <w:hyperlink w:anchor="Figure41" w:history="1">
        <w:r w:rsidR="00C3532B" w:rsidRPr="00964E41">
          <w:rPr>
            <w:rStyle w:val="Hyperlink"/>
            <w:rFonts w:ascii="Times New Roman" w:hAnsi="Times New Roman" w:cs="Times New Roman"/>
            <w:sz w:val="24"/>
            <w:szCs w:val="24"/>
          </w:rPr>
          <w:t>Figure 4.</w:t>
        </w:r>
        <w:r w:rsidR="00964E41" w:rsidRPr="00964E41">
          <w:rPr>
            <w:rStyle w:val="Hyperlink"/>
            <w:rFonts w:ascii="Times New Roman" w:hAnsi="Times New Roman" w:cs="Times New Roman"/>
            <w:sz w:val="24"/>
            <w:szCs w:val="24"/>
          </w:rPr>
          <w:t>1</w:t>
        </w:r>
      </w:hyperlink>
      <w:r w:rsidR="00C3532B" w:rsidRPr="0032506F">
        <w:rPr>
          <w:rFonts w:ascii="Times New Roman" w:hAnsi="Times New Roman" w:cs="Times New Roman"/>
          <w:sz w:val="24"/>
          <w:szCs w:val="24"/>
        </w:rPr>
        <w:t>, there were still positive and moderate to strong correlations among the three factors of online student engagement, as theoretically expected. The correlation between OBE Factor and OCE Factor was r=.392 (</w:t>
      </w:r>
      <w:r w:rsidR="00C3532B" w:rsidRPr="0032506F">
        <w:rPr>
          <w:rFonts w:ascii="Times New Roman" w:hAnsi="Times New Roman" w:cs="Times New Roman"/>
          <w:i/>
          <w:sz w:val="24"/>
          <w:szCs w:val="24"/>
        </w:rPr>
        <w:t>p</w:t>
      </w:r>
      <w:r w:rsidR="00C3532B" w:rsidRPr="0032506F">
        <w:rPr>
          <w:rFonts w:ascii="Times New Roman" w:hAnsi="Times New Roman" w:cs="Times New Roman"/>
          <w:sz w:val="24"/>
          <w:szCs w:val="24"/>
        </w:rPr>
        <w:t>=.001); the correlation between OBE Factor and OEE Factor was .689 (</w:t>
      </w:r>
      <w:r w:rsidR="00C3532B" w:rsidRPr="0032506F">
        <w:rPr>
          <w:rFonts w:ascii="Times New Roman" w:hAnsi="Times New Roman" w:cs="Times New Roman"/>
          <w:i/>
          <w:sz w:val="24"/>
          <w:szCs w:val="24"/>
        </w:rPr>
        <w:t>p</w:t>
      </w:r>
      <w:r w:rsidR="00C3532B" w:rsidRPr="0032506F">
        <w:rPr>
          <w:rFonts w:ascii="Times New Roman" w:hAnsi="Times New Roman" w:cs="Times New Roman"/>
          <w:sz w:val="24"/>
          <w:szCs w:val="24"/>
        </w:rPr>
        <w:t>=.001); and the correlation between OEE Factor and OCE Factor was .450 (</w:t>
      </w:r>
      <w:r w:rsidR="00C3532B" w:rsidRPr="0032506F">
        <w:rPr>
          <w:rFonts w:ascii="Times New Roman" w:hAnsi="Times New Roman" w:cs="Times New Roman"/>
          <w:i/>
          <w:sz w:val="24"/>
          <w:szCs w:val="24"/>
        </w:rPr>
        <w:t>p=.</w:t>
      </w:r>
      <w:r w:rsidR="00C3532B" w:rsidRPr="0032506F">
        <w:rPr>
          <w:rFonts w:ascii="Times New Roman" w:hAnsi="Times New Roman" w:cs="Times New Roman"/>
          <w:sz w:val="24"/>
          <w:szCs w:val="24"/>
        </w:rPr>
        <w:t xml:space="preserve">001). All these moderate to strong factor correlations between the three engagement dimensions specified in the final best-fitting model were consistent with the student engagement theory (Fredricks et al., 2004, 2005) and the prior research of engagement in both traditional and online learning environments (e.g., </w:t>
      </w:r>
      <w:r w:rsidR="00C3532B" w:rsidRPr="0032506F">
        <w:rPr>
          <w:rFonts w:ascii="Times New Roman" w:hAnsi="Times New Roman" w:cs="Times New Roman"/>
          <w:sz w:val="24"/>
          <w:szCs w:val="24"/>
        </w:rPr>
        <w:lastRenderedPageBreak/>
        <w:t xml:space="preserve">Kucuk &amp; Richardson, 2019; </w:t>
      </w:r>
      <w:r w:rsidR="00C3532B" w:rsidRPr="0032506F">
        <w:rPr>
          <w:rFonts w:ascii="Times New Roman" w:hAnsi="Times New Roman" w:cs="Times New Roman"/>
          <w:bCs/>
          <w:sz w:val="24"/>
          <w:szCs w:val="24"/>
        </w:rPr>
        <w:t xml:space="preserve">Li &amp; Lerner, 2013; </w:t>
      </w:r>
      <w:r w:rsidR="00C3532B" w:rsidRPr="0032506F">
        <w:rPr>
          <w:rFonts w:ascii="Times New Roman" w:hAnsi="Times New Roman" w:cs="Times New Roman"/>
          <w:sz w:val="24"/>
          <w:szCs w:val="24"/>
        </w:rPr>
        <w:t xml:space="preserve">Park &amp; Yun, 2019; </w:t>
      </w:r>
      <w:r w:rsidR="00C3532B" w:rsidRPr="0032506F">
        <w:rPr>
          <w:rFonts w:ascii="Times New Roman" w:hAnsi="Times New Roman" w:cs="Times New Roman"/>
          <w:bCs/>
          <w:sz w:val="24"/>
          <w:szCs w:val="24"/>
        </w:rPr>
        <w:t>Rimm-Kaufman</w:t>
      </w:r>
      <w:r w:rsidR="00C3532B" w:rsidRPr="0032506F">
        <w:rPr>
          <w:rFonts w:ascii="Times New Roman" w:hAnsi="Times New Roman" w:cs="Times New Roman"/>
          <w:sz w:val="24"/>
          <w:szCs w:val="24"/>
        </w:rPr>
        <w:t xml:space="preserve"> et al., 2015; Sun &amp; Rueda, 2012).  </w:t>
      </w:r>
    </w:p>
    <w:p w14:paraId="716ABF4B" w14:textId="76353CD6" w:rsidR="007E1C2B" w:rsidRPr="0032506F" w:rsidRDefault="007E1C2B" w:rsidP="007E1C2B">
      <w:pPr>
        <w:spacing w:after="0" w:line="480" w:lineRule="auto"/>
        <w:rPr>
          <w:rFonts w:ascii="Times New Roman" w:eastAsia="SimSun" w:hAnsi="Times New Roman" w:cs="Times New Roman"/>
          <w:b/>
          <w:bCs/>
          <w:sz w:val="24"/>
          <w:szCs w:val="24"/>
        </w:rPr>
      </w:pPr>
      <w:bookmarkStart w:id="116" w:name="Table419"/>
      <w:bookmarkStart w:id="117" w:name="Table45"/>
      <w:r w:rsidRPr="0032506F">
        <w:rPr>
          <w:rFonts w:ascii="Times New Roman" w:eastAsia="SimSun" w:hAnsi="Times New Roman" w:cs="Times New Roman"/>
          <w:b/>
          <w:bCs/>
          <w:sz w:val="24"/>
          <w:szCs w:val="24"/>
        </w:rPr>
        <w:t>Table 4.</w:t>
      </w:r>
      <w:r w:rsidR="00346C84">
        <w:rPr>
          <w:rFonts w:ascii="Times New Roman" w:eastAsia="SimSun" w:hAnsi="Times New Roman" w:cs="Times New Roman"/>
          <w:b/>
          <w:bCs/>
          <w:sz w:val="24"/>
          <w:szCs w:val="24"/>
        </w:rPr>
        <w:t>5</w:t>
      </w:r>
    </w:p>
    <w:bookmarkEnd w:id="116"/>
    <w:bookmarkEnd w:id="117"/>
    <w:p w14:paraId="273998CF"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ML Unstandardized and Standardized Factor Loadings of the 20 Indicator Variables (N=235)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3"/>
        <w:gridCol w:w="1989"/>
        <w:gridCol w:w="1428"/>
        <w:gridCol w:w="1106"/>
        <w:gridCol w:w="1106"/>
        <w:gridCol w:w="1179"/>
        <w:gridCol w:w="1179"/>
      </w:tblGrid>
      <w:tr w:rsidR="007E1C2B" w:rsidRPr="0032506F" w14:paraId="03B0D24C" w14:textId="77777777" w:rsidTr="00791EF5">
        <w:trPr>
          <w:trHeight w:val="300"/>
        </w:trPr>
        <w:tc>
          <w:tcPr>
            <w:tcW w:w="733" w:type="pct"/>
            <w:tcBorders>
              <w:top w:val="single" w:sz="4" w:space="0" w:color="auto"/>
              <w:left w:val="nil"/>
              <w:bottom w:val="single" w:sz="4" w:space="0" w:color="auto"/>
              <w:right w:val="nil"/>
            </w:tcBorders>
            <w:shd w:val="clear" w:color="auto" w:fill="auto"/>
            <w:vAlign w:val="center"/>
            <w:hideMark/>
          </w:tcPr>
          <w:p w14:paraId="67A7FAB7" w14:textId="77777777" w:rsidR="007E1C2B" w:rsidRPr="0032506F" w:rsidRDefault="007E1C2B" w:rsidP="007E1C2B">
            <w:pPr>
              <w:spacing w:after="0" w:line="240" w:lineRule="auto"/>
              <w:ind w:firstLineChars="100" w:firstLine="240"/>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062" w:type="pct"/>
            <w:tcBorders>
              <w:top w:val="single" w:sz="4" w:space="0" w:color="auto"/>
              <w:left w:val="nil"/>
              <w:bottom w:val="single" w:sz="4" w:space="0" w:color="auto"/>
              <w:right w:val="nil"/>
            </w:tcBorders>
            <w:shd w:val="clear" w:color="auto" w:fill="auto"/>
            <w:vAlign w:val="center"/>
            <w:hideMark/>
          </w:tcPr>
          <w:p w14:paraId="324A1D31"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763" w:type="pct"/>
            <w:tcBorders>
              <w:top w:val="single" w:sz="4" w:space="0" w:color="auto"/>
              <w:left w:val="nil"/>
              <w:bottom w:val="single" w:sz="4" w:space="0" w:color="auto"/>
              <w:right w:val="nil"/>
            </w:tcBorders>
            <w:shd w:val="clear" w:color="auto" w:fill="auto"/>
            <w:vAlign w:val="center"/>
            <w:hideMark/>
          </w:tcPr>
          <w:p w14:paraId="604EAB0E" w14:textId="77777777" w:rsidR="007E1C2B" w:rsidRPr="0032506F" w:rsidRDefault="007E1C2B" w:rsidP="007E1C2B">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B</w:t>
            </w:r>
          </w:p>
        </w:tc>
        <w:tc>
          <w:tcPr>
            <w:tcW w:w="591" w:type="pct"/>
            <w:tcBorders>
              <w:top w:val="single" w:sz="4" w:space="0" w:color="auto"/>
              <w:left w:val="nil"/>
              <w:bottom w:val="single" w:sz="4" w:space="0" w:color="auto"/>
              <w:right w:val="nil"/>
            </w:tcBorders>
            <w:shd w:val="clear" w:color="auto" w:fill="auto"/>
            <w:vAlign w:val="center"/>
            <w:hideMark/>
          </w:tcPr>
          <w:p w14:paraId="45051226"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S.E.</w:t>
            </w:r>
          </w:p>
        </w:tc>
        <w:tc>
          <w:tcPr>
            <w:tcW w:w="591" w:type="pct"/>
            <w:tcBorders>
              <w:top w:val="single" w:sz="4" w:space="0" w:color="auto"/>
              <w:left w:val="nil"/>
              <w:bottom w:val="single" w:sz="4" w:space="0" w:color="auto"/>
              <w:right w:val="nil"/>
            </w:tcBorders>
            <w:shd w:val="clear" w:color="auto" w:fill="auto"/>
            <w:vAlign w:val="center"/>
            <w:hideMark/>
          </w:tcPr>
          <w:p w14:paraId="6E962261" w14:textId="77777777" w:rsidR="007E1C2B" w:rsidRPr="0032506F" w:rsidRDefault="007E1C2B" w:rsidP="007E1C2B">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C.R.</w:t>
            </w:r>
          </w:p>
        </w:tc>
        <w:tc>
          <w:tcPr>
            <w:tcW w:w="630" w:type="pct"/>
            <w:tcBorders>
              <w:top w:val="single" w:sz="4" w:space="0" w:color="auto"/>
              <w:left w:val="nil"/>
              <w:bottom w:val="single" w:sz="4" w:space="0" w:color="auto"/>
              <w:right w:val="nil"/>
            </w:tcBorders>
            <w:shd w:val="clear" w:color="auto" w:fill="auto"/>
            <w:vAlign w:val="center"/>
            <w:hideMark/>
          </w:tcPr>
          <w:p w14:paraId="10B1D6A2"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 xml:space="preserve">    P</w:t>
            </w:r>
          </w:p>
        </w:tc>
        <w:tc>
          <w:tcPr>
            <w:tcW w:w="630" w:type="pct"/>
            <w:tcBorders>
              <w:top w:val="single" w:sz="4" w:space="0" w:color="auto"/>
              <w:left w:val="nil"/>
              <w:bottom w:val="single" w:sz="4" w:space="0" w:color="auto"/>
              <w:right w:val="nil"/>
            </w:tcBorders>
          </w:tcPr>
          <w:p w14:paraId="1183ADD7" w14:textId="77777777" w:rsidR="007E1C2B" w:rsidRPr="0032506F" w:rsidRDefault="007E1C2B" w:rsidP="007E1C2B">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β</w:t>
            </w:r>
          </w:p>
        </w:tc>
      </w:tr>
      <w:tr w:rsidR="007E1C2B" w:rsidRPr="0032506F" w14:paraId="33496323" w14:textId="77777777" w:rsidTr="00791EF5">
        <w:trPr>
          <w:trHeight w:val="233"/>
        </w:trPr>
        <w:tc>
          <w:tcPr>
            <w:tcW w:w="733" w:type="pct"/>
            <w:tcBorders>
              <w:top w:val="single" w:sz="4" w:space="0" w:color="auto"/>
              <w:left w:val="nil"/>
              <w:bottom w:val="nil"/>
              <w:right w:val="nil"/>
            </w:tcBorders>
            <w:shd w:val="clear" w:color="auto" w:fill="auto"/>
            <w:vAlign w:val="center"/>
          </w:tcPr>
          <w:p w14:paraId="3180622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062" w:type="pct"/>
            <w:tcBorders>
              <w:top w:val="single" w:sz="4" w:space="0" w:color="auto"/>
              <w:left w:val="nil"/>
              <w:bottom w:val="nil"/>
              <w:right w:val="nil"/>
            </w:tcBorders>
            <w:shd w:val="clear" w:color="auto" w:fill="auto"/>
            <w:vAlign w:val="center"/>
          </w:tcPr>
          <w:p w14:paraId="254198D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single" w:sz="4" w:space="0" w:color="auto"/>
              <w:left w:val="nil"/>
              <w:bottom w:val="nil"/>
              <w:right w:val="nil"/>
            </w:tcBorders>
            <w:shd w:val="clear" w:color="auto" w:fill="auto"/>
          </w:tcPr>
          <w:p w14:paraId="6091CF9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single" w:sz="4" w:space="0" w:color="auto"/>
              <w:left w:val="nil"/>
              <w:bottom w:val="nil"/>
              <w:right w:val="nil"/>
            </w:tcBorders>
            <w:shd w:val="clear" w:color="auto" w:fill="auto"/>
          </w:tcPr>
          <w:p w14:paraId="54D6B3D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single" w:sz="4" w:space="0" w:color="auto"/>
              <w:left w:val="nil"/>
              <w:bottom w:val="nil"/>
              <w:right w:val="nil"/>
            </w:tcBorders>
            <w:shd w:val="clear" w:color="auto" w:fill="auto"/>
            <w:vAlign w:val="bottom"/>
          </w:tcPr>
          <w:p w14:paraId="4BBF32D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single" w:sz="4" w:space="0" w:color="auto"/>
              <w:left w:val="nil"/>
              <w:bottom w:val="nil"/>
              <w:right w:val="nil"/>
            </w:tcBorders>
            <w:shd w:val="clear" w:color="auto" w:fill="auto"/>
            <w:vAlign w:val="center"/>
          </w:tcPr>
          <w:p w14:paraId="010DA71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single" w:sz="4" w:space="0" w:color="auto"/>
              <w:left w:val="nil"/>
              <w:bottom w:val="nil"/>
              <w:right w:val="nil"/>
            </w:tcBorders>
          </w:tcPr>
          <w:p w14:paraId="03CEE58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.731</w:t>
            </w:r>
          </w:p>
        </w:tc>
      </w:tr>
      <w:tr w:rsidR="007E1C2B" w:rsidRPr="0032506F" w14:paraId="389753CE" w14:textId="77777777" w:rsidTr="00791EF5">
        <w:trPr>
          <w:trHeight w:val="170"/>
        </w:trPr>
        <w:tc>
          <w:tcPr>
            <w:tcW w:w="733" w:type="pct"/>
            <w:tcBorders>
              <w:top w:val="nil"/>
              <w:left w:val="nil"/>
              <w:bottom w:val="nil"/>
              <w:right w:val="nil"/>
            </w:tcBorders>
            <w:shd w:val="clear" w:color="auto" w:fill="auto"/>
          </w:tcPr>
          <w:p w14:paraId="216CFFE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062" w:type="pct"/>
            <w:tcBorders>
              <w:top w:val="nil"/>
              <w:left w:val="nil"/>
              <w:bottom w:val="nil"/>
              <w:right w:val="nil"/>
            </w:tcBorders>
            <w:shd w:val="clear" w:color="auto" w:fill="auto"/>
            <w:vAlign w:val="center"/>
          </w:tcPr>
          <w:p w14:paraId="6DA3093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22A56A92"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.731</w:t>
            </w:r>
          </w:p>
        </w:tc>
        <w:tc>
          <w:tcPr>
            <w:tcW w:w="591" w:type="pct"/>
            <w:tcBorders>
              <w:top w:val="nil"/>
              <w:left w:val="nil"/>
              <w:bottom w:val="nil"/>
              <w:right w:val="nil"/>
            </w:tcBorders>
            <w:shd w:val="clear" w:color="auto" w:fill="auto"/>
          </w:tcPr>
          <w:p w14:paraId="3EF62E5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.169</w:t>
            </w:r>
          </w:p>
        </w:tc>
        <w:tc>
          <w:tcPr>
            <w:tcW w:w="591" w:type="pct"/>
            <w:tcBorders>
              <w:top w:val="nil"/>
              <w:left w:val="nil"/>
              <w:bottom w:val="nil"/>
              <w:right w:val="nil"/>
            </w:tcBorders>
            <w:shd w:val="clear" w:color="auto" w:fill="auto"/>
            <w:vAlign w:val="bottom"/>
          </w:tcPr>
          <w:p w14:paraId="055CAE8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4.328</w:t>
            </w:r>
          </w:p>
        </w:tc>
        <w:tc>
          <w:tcPr>
            <w:tcW w:w="630" w:type="pct"/>
            <w:tcBorders>
              <w:top w:val="nil"/>
              <w:left w:val="nil"/>
              <w:bottom w:val="nil"/>
              <w:right w:val="nil"/>
            </w:tcBorders>
            <w:shd w:val="clear" w:color="auto" w:fill="auto"/>
            <w:noWrap/>
            <w:vAlign w:val="bottom"/>
          </w:tcPr>
          <w:p w14:paraId="4F9F37B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2A2A6CA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.333</w:t>
            </w:r>
          </w:p>
        </w:tc>
      </w:tr>
      <w:tr w:rsidR="007E1C2B" w:rsidRPr="0032506F" w14:paraId="6821D8FA" w14:textId="77777777" w:rsidTr="00791EF5">
        <w:trPr>
          <w:trHeight w:val="296"/>
        </w:trPr>
        <w:tc>
          <w:tcPr>
            <w:tcW w:w="733" w:type="pct"/>
            <w:tcBorders>
              <w:top w:val="nil"/>
              <w:left w:val="nil"/>
              <w:bottom w:val="nil"/>
              <w:right w:val="nil"/>
            </w:tcBorders>
            <w:shd w:val="clear" w:color="auto" w:fill="auto"/>
          </w:tcPr>
          <w:p w14:paraId="2076D97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062" w:type="pct"/>
            <w:tcBorders>
              <w:top w:val="nil"/>
              <w:left w:val="nil"/>
              <w:bottom w:val="nil"/>
              <w:right w:val="nil"/>
            </w:tcBorders>
            <w:shd w:val="clear" w:color="auto" w:fill="auto"/>
            <w:vAlign w:val="center"/>
          </w:tcPr>
          <w:p w14:paraId="0A812C4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188B8FC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1.077</w:t>
            </w:r>
          </w:p>
        </w:tc>
        <w:tc>
          <w:tcPr>
            <w:tcW w:w="591" w:type="pct"/>
            <w:tcBorders>
              <w:top w:val="nil"/>
              <w:left w:val="nil"/>
              <w:bottom w:val="nil"/>
              <w:right w:val="nil"/>
            </w:tcBorders>
            <w:shd w:val="clear" w:color="auto" w:fill="auto"/>
          </w:tcPr>
          <w:p w14:paraId="3D17C12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.168</w:t>
            </w:r>
          </w:p>
        </w:tc>
        <w:tc>
          <w:tcPr>
            <w:tcW w:w="591" w:type="pct"/>
            <w:tcBorders>
              <w:top w:val="nil"/>
              <w:left w:val="nil"/>
              <w:bottom w:val="nil"/>
              <w:right w:val="nil"/>
            </w:tcBorders>
            <w:shd w:val="clear" w:color="auto" w:fill="auto"/>
            <w:vAlign w:val="bottom"/>
          </w:tcPr>
          <w:p w14:paraId="5359B24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6.411</w:t>
            </w:r>
          </w:p>
        </w:tc>
        <w:tc>
          <w:tcPr>
            <w:tcW w:w="630" w:type="pct"/>
            <w:tcBorders>
              <w:top w:val="nil"/>
              <w:left w:val="nil"/>
              <w:bottom w:val="nil"/>
              <w:right w:val="nil"/>
            </w:tcBorders>
            <w:shd w:val="clear" w:color="auto" w:fill="auto"/>
            <w:hideMark/>
          </w:tcPr>
          <w:p w14:paraId="331A62E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1652235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.504</w:t>
            </w:r>
          </w:p>
        </w:tc>
      </w:tr>
      <w:tr w:rsidR="007E1C2B" w:rsidRPr="0032506F" w14:paraId="1B7708ED" w14:textId="77777777" w:rsidTr="00791EF5">
        <w:trPr>
          <w:trHeight w:val="242"/>
        </w:trPr>
        <w:tc>
          <w:tcPr>
            <w:tcW w:w="733" w:type="pct"/>
            <w:tcBorders>
              <w:top w:val="nil"/>
              <w:left w:val="nil"/>
              <w:bottom w:val="nil"/>
              <w:right w:val="nil"/>
            </w:tcBorders>
            <w:shd w:val="clear" w:color="auto" w:fill="auto"/>
          </w:tcPr>
          <w:p w14:paraId="758DE70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062" w:type="pct"/>
            <w:tcBorders>
              <w:top w:val="nil"/>
              <w:left w:val="nil"/>
              <w:bottom w:val="nil"/>
              <w:right w:val="nil"/>
            </w:tcBorders>
            <w:shd w:val="clear" w:color="auto" w:fill="auto"/>
            <w:vAlign w:val="center"/>
          </w:tcPr>
          <w:p w14:paraId="5FE3F8B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763" w:type="pct"/>
            <w:tcBorders>
              <w:top w:val="nil"/>
              <w:left w:val="nil"/>
              <w:bottom w:val="nil"/>
              <w:right w:val="nil"/>
            </w:tcBorders>
            <w:shd w:val="clear" w:color="auto" w:fill="auto"/>
          </w:tcPr>
          <w:p w14:paraId="47C8645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1.159</w:t>
            </w:r>
          </w:p>
        </w:tc>
        <w:tc>
          <w:tcPr>
            <w:tcW w:w="591" w:type="pct"/>
            <w:tcBorders>
              <w:top w:val="nil"/>
              <w:left w:val="nil"/>
              <w:bottom w:val="nil"/>
              <w:right w:val="nil"/>
            </w:tcBorders>
            <w:shd w:val="clear" w:color="auto" w:fill="auto"/>
          </w:tcPr>
          <w:p w14:paraId="6DBEF0E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.142</w:t>
            </w:r>
          </w:p>
        </w:tc>
        <w:tc>
          <w:tcPr>
            <w:tcW w:w="591" w:type="pct"/>
            <w:tcBorders>
              <w:top w:val="nil"/>
              <w:left w:val="nil"/>
              <w:bottom w:val="nil"/>
              <w:right w:val="nil"/>
            </w:tcBorders>
            <w:shd w:val="clear" w:color="auto" w:fill="auto"/>
            <w:vAlign w:val="bottom"/>
          </w:tcPr>
          <w:p w14:paraId="512C420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8.149</w:t>
            </w:r>
          </w:p>
        </w:tc>
        <w:tc>
          <w:tcPr>
            <w:tcW w:w="630" w:type="pct"/>
            <w:tcBorders>
              <w:top w:val="nil"/>
              <w:left w:val="nil"/>
              <w:bottom w:val="nil"/>
              <w:right w:val="nil"/>
            </w:tcBorders>
            <w:shd w:val="clear" w:color="auto" w:fill="auto"/>
            <w:hideMark/>
          </w:tcPr>
          <w:p w14:paraId="29ECFED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03F9A68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.700</w:t>
            </w:r>
          </w:p>
        </w:tc>
      </w:tr>
      <w:tr w:rsidR="007E1C2B" w:rsidRPr="0032506F" w14:paraId="58DD52CC" w14:textId="77777777" w:rsidTr="00791EF5">
        <w:trPr>
          <w:trHeight w:val="233"/>
        </w:trPr>
        <w:tc>
          <w:tcPr>
            <w:tcW w:w="733" w:type="pct"/>
            <w:tcBorders>
              <w:top w:val="nil"/>
              <w:left w:val="nil"/>
              <w:bottom w:val="nil"/>
              <w:right w:val="nil"/>
            </w:tcBorders>
            <w:shd w:val="clear" w:color="auto" w:fill="auto"/>
          </w:tcPr>
          <w:p w14:paraId="409E2B3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062" w:type="pct"/>
            <w:tcBorders>
              <w:top w:val="nil"/>
              <w:left w:val="nil"/>
              <w:bottom w:val="nil"/>
              <w:right w:val="nil"/>
            </w:tcBorders>
            <w:shd w:val="clear" w:color="auto" w:fill="auto"/>
            <w:vAlign w:val="center"/>
          </w:tcPr>
          <w:p w14:paraId="0EEBA80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tcPr>
          <w:p w14:paraId="0199FB5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nil"/>
              <w:left w:val="nil"/>
              <w:bottom w:val="nil"/>
              <w:right w:val="nil"/>
            </w:tcBorders>
            <w:shd w:val="clear" w:color="auto" w:fill="auto"/>
          </w:tcPr>
          <w:p w14:paraId="0B4C40E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nil"/>
              <w:left w:val="nil"/>
              <w:bottom w:val="nil"/>
              <w:right w:val="nil"/>
            </w:tcBorders>
            <w:shd w:val="clear" w:color="auto" w:fill="auto"/>
            <w:vAlign w:val="bottom"/>
          </w:tcPr>
          <w:p w14:paraId="0762A0E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shd w:val="clear" w:color="auto" w:fill="auto"/>
            <w:hideMark/>
          </w:tcPr>
          <w:p w14:paraId="6DC3B21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tcPr>
          <w:p w14:paraId="079421B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.814</w:t>
            </w:r>
          </w:p>
        </w:tc>
      </w:tr>
      <w:tr w:rsidR="007E1C2B" w:rsidRPr="0032506F" w14:paraId="3348D81E" w14:textId="77777777" w:rsidTr="00791EF5">
        <w:trPr>
          <w:trHeight w:val="206"/>
        </w:trPr>
        <w:tc>
          <w:tcPr>
            <w:tcW w:w="733" w:type="pct"/>
            <w:tcBorders>
              <w:top w:val="nil"/>
              <w:left w:val="nil"/>
              <w:bottom w:val="nil"/>
              <w:right w:val="nil"/>
            </w:tcBorders>
            <w:shd w:val="clear" w:color="auto" w:fill="auto"/>
            <w:vAlign w:val="center"/>
          </w:tcPr>
          <w:p w14:paraId="3DBE519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062" w:type="pct"/>
            <w:tcBorders>
              <w:top w:val="nil"/>
              <w:left w:val="nil"/>
              <w:bottom w:val="nil"/>
              <w:right w:val="nil"/>
            </w:tcBorders>
            <w:shd w:val="clear" w:color="auto" w:fill="auto"/>
            <w:vAlign w:val="center"/>
          </w:tcPr>
          <w:p w14:paraId="494D2D3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30CCF153"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1.002</w:t>
            </w:r>
          </w:p>
        </w:tc>
        <w:tc>
          <w:tcPr>
            <w:tcW w:w="591" w:type="pct"/>
            <w:tcBorders>
              <w:top w:val="nil"/>
              <w:left w:val="nil"/>
              <w:bottom w:val="nil"/>
              <w:right w:val="nil"/>
            </w:tcBorders>
            <w:shd w:val="clear" w:color="auto" w:fill="auto"/>
          </w:tcPr>
          <w:p w14:paraId="4152BC2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.069</w:t>
            </w:r>
          </w:p>
        </w:tc>
        <w:tc>
          <w:tcPr>
            <w:tcW w:w="591" w:type="pct"/>
            <w:tcBorders>
              <w:top w:val="nil"/>
              <w:left w:val="nil"/>
              <w:bottom w:val="nil"/>
              <w:right w:val="nil"/>
            </w:tcBorders>
            <w:shd w:val="clear" w:color="auto" w:fill="auto"/>
            <w:vAlign w:val="bottom"/>
          </w:tcPr>
          <w:p w14:paraId="1E098E3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14.530</w:t>
            </w:r>
          </w:p>
        </w:tc>
        <w:tc>
          <w:tcPr>
            <w:tcW w:w="630" w:type="pct"/>
            <w:tcBorders>
              <w:top w:val="nil"/>
              <w:left w:val="nil"/>
              <w:bottom w:val="nil"/>
              <w:right w:val="nil"/>
            </w:tcBorders>
            <w:shd w:val="clear" w:color="auto" w:fill="auto"/>
            <w:noWrap/>
            <w:hideMark/>
          </w:tcPr>
          <w:p w14:paraId="6FA2CB7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5363B5F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.812</w:t>
            </w:r>
          </w:p>
        </w:tc>
      </w:tr>
      <w:tr w:rsidR="007E1C2B" w:rsidRPr="0032506F" w14:paraId="18660F6A" w14:textId="77777777" w:rsidTr="00791EF5">
        <w:trPr>
          <w:trHeight w:val="161"/>
        </w:trPr>
        <w:tc>
          <w:tcPr>
            <w:tcW w:w="733" w:type="pct"/>
            <w:tcBorders>
              <w:top w:val="nil"/>
              <w:left w:val="nil"/>
              <w:bottom w:val="nil"/>
              <w:right w:val="nil"/>
            </w:tcBorders>
            <w:shd w:val="clear" w:color="auto" w:fill="auto"/>
          </w:tcPr>
          <w:p w14:paraId="0C97B564"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062" w:type="pct"/>
            <w:tcBorders>
              <w:top w:val="nil"/>
              <w:left w:val="nil"/>
              <w:bottom w:val="nil"/>
              <w:right w:val="nil"/>
            </w:tcBorders>
            <w:shd w:val="clear" w:color="auto" w:fill="auto"/>
            <w:vAlign w:val="center"/>
            <w:hideMark/>
          </w:tcPr>
          <w:p w14:paraId="3316838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01C1002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.837</w:t>
            </w:r>
          </w:p>
        </w:tc>
        <w:tc>
          <w:tcPr>
            <w:tcW w:w="591" w:type="pct"/>
            <w:tcBorders>
              <w:top w:val="nil"/>
              <w:left w:val="nil"/>
              <w:bottom w:val="nil"/>
              <w:right w:val="nil"/>
            </w:tcBorders>
            <w:shd w:val="clear" w:color="auto" w:fill="auto"/>
          </w:tcPr>
          <w:p w14:paraId="64309D4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.073</w:t>
            </w:r>
          </w:p>
        </w:tc>
        <w:tc>
          <w:tcPr>
            <w:tcW w:w="591" w:type="pct"/>
            <w:tcBorders>
              <w:top w:val="nil"/>
              <w:left w:val="nil"/>
              <w:bottom w:val="nil"/>
              <w:right w:val="nil"/>
            </w:tcBorders>
            <w:shd w:val="clear" w:color="auto" w:fill="auto"/>
            <w:vAlign w:val="bottom"/>
          </w:tcPr>
          <w:p w14:paraId="380EB25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11.519</w:t>
            </w:r>
          </w:p>
        </w:tc>
        <w:tc>
          <w:tcPr>
            <w:tcW w:w="630" w:type="pct"/>
            <w:tcBorders>
              <w:top w:val="nil"/>
              <w:left w:val="nil"/>
              <w:bottom w:val="nil"/>
              <w:right w:val="nil"/>
            </w:tcBorders>
            <w:shd w:val="clear" w:color="auto" w:fill="auto"/>
            <w:noWrap/>
            <w:hideMark/>
          </w:tcPr>
          <w:p w14:paraId="26DBB22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554D7A9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.685</w:t>
            </w:r>
          </w:p>
        </w:tc>
      </w:tr>
      <w:tr w:rsidR="007E1C2B" w:rsidRPr="0032506F" w14:paraId="6CF5DB9E" w14:textId="77777777" w:rsidTr="00791EF5">
        <w:trPr>
          <w:trHeight w:val="278"/>
        </w:trPr>
        <w:tc>
          <w:tcPr>
            <w:tcW w:w="733" w:type="pct"/>
            <w:tcBorders>
              <w:top w:val="nil"/>
              <w:left w:val="nil"/>
              <w:bottom w:val="nil"/>
              <w:right w:val="nil"/>
            </w:tcBorders>
            <w:shd w:val="clear" w:color="auto" w:fill="auto"/>
          </w:tcPr>
          <w:p w14:paraId="1E6A0D5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062" w:type="pct"/>
            <w:tcBorders>
              <w:top w:val="nil"/>
              <w:left w:val="nil"/>
              <w:bottom w:val="nil"/>
              <w:right w:val="nil"/>
            </w:tcBorders>
            <w:shd w:val="clear" w:color="auto" w:fill="auto"/>
            <w:vAlign w:val="center"/>
            <w:hideMark/>
          </w:tcPr>
          <w:p w14:paraId="658E35B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1BAFA46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1.043</w:t>
            </w:r>
          </w:p>
        </w:tc>
        <w:tc>
          <w:tcPr>
            <w:tcW w:w="591" w:type="pct"/>
            <w:tcBorders>
              <w:top w:val="nil"/>
              <w:left w:val="nil"/>
              <w:bottom w:val="nil"/>
              <w:right w:val="nil"/>
            </w:tcBorders>
            <w:shd w:val="clear" w:color="auto" w:fill="auto"/>
          </w:tcPr>
          <w:p w14:paraId="3C42744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.063</w:t>
            </w:r>
          </w:p>
        </w:tc>
        <w:tc>
          <w:tcPr>
            <w:tcW w:w="591" w:type="pct"/>
            <w:tcBorders>
              <w:top w:val="nil"/>
              <w:left w:val="nil"/>
              <w:bottom w:val="nil"/>
              <w:right w:val="nil"/>
            </w:tcBorders>
            <w:shd w:val="clear" w:color="auto" w:fill="auto"/>
            <w:vAlign w:val="bottom"/>
          </w:tcPr>
          <w:p w14:paraId="5C73D3D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16.497</w:t>
            </w:r>
          </w:p>
        </w:tc>
        <w:tc>
          <w:tcPr>
            <w:tcW w:w="630" w:type="pct"/>
            <w:tcBorders>
              <w:top w:val="nil"/>
              <w:left w:val="nil"/>
              <w:bottom w:val="nil"/>
              <w:right w:val="nil"/>
            </w:tcBorders>
            <w:shd w:val="clear" w:color="auto" w:fill="auto"/>
            <w:hideMark/>
          </w:tcPr>
          <w:p w14:paraId="62927EE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291A31D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.884</w:t>
            </w:r>
          </w:p>
        </w:tc>
      </w:tr>
      <w:tr w:rsidR="007E1C2B" w:rsidRPr="0032506F" w14:paraId="2CB1287E" w14:textId="77777777" w:rsidTr="00791EF5">
        <w:trPr>
          <w:trHeight w:val="314"/>
        </w:trPr>
        <w:tc>
          <w:tcPr>
            <w:tcW w:w="733" w:type="pct"/>
            <w:tcBorders>
              <w:top w:val="nil"/>
              <w:left w:val="nil"/>
              <w:bottom w:val="nil"/>
              <w:right w:val="nil"/>
            </w:tcBorders>
            <w:shd w:val="clear" w:color="auto" w:fill="auto"/>
          </w:tcPr>
          <w:p w14:paraId="2EF71B2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062" w:type="pct"/>
            <w:tcBorders>
              <w:top w:val="nil"/>
              <w:left w:val="nil"/>
              <w:bottom w:val="nil"/>
              <w:right w:val="nil"/>
            </w:tcBorders>
            <w:shd w:val="clear" w:color="auto" w:fill="auto"/>
            <w:vAlign w:val="center"/>
            <w:hideMark/>
          </w:tcPr>
          <w:p w14:paraId="58DAAB5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57ED386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.936</w:t>
            </w:r>
          </w:p>
        </w:tc>
        <w:tc>
          <w:tcPr>
            <w:tcW w:w="591" w:type="pct"/>
            <w:tcBorders>
              <w:top w:val="nil"/>
              <w:left w:val="nil"/>
              <w:bottom w:val="nil"/>
              <w:right w:val="nil"/>
            </w:tcBorders>
            <w:shd w:val="clear" w:color="auto" w:fill="auto"/>
          </w:tcPr>
          <w:p w14:paraId="429A6A1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.064</w:t>
            </w:r>
          </w:p>
        </w:tc>
        <w:tc>
          <w:tcPr>
            <w:tcW w:w="591" w:type="pct"/>
            <w:tcBorders>
              <w:top w:val="nil"/>
              <w:left w:val="nil"/>
              <w:bottom w:val="nil"/>
              <w:right w:val="nil"/>
            </w:tcBorders>
            <w:shd w:val="clear" w:color="auto" w:fill="auto"/>
            <w:vAlign w:val="bottom"/>
          </w:tcPr>
          <w:p w14:paraId="38E3D80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14.603</w:t>
            </w:r>
          </w:p>
        </w:tc>
        <w:tc>
          <w:tcPr>
            <w:tcW w:w="630" w:type="pct"/>
            <w:tcBorders>
              <w:top w:val="nil"/>
              <w:left w:val="nil"/>
              <w:bottom w:val="nil"/>
              <w:right w:val="nil"/>
            </w:tcBorders>
            <w:shd w:val="clear" w:color="auto" w:fill="auto"/>
            <w:hideMark/>
          </w:tcPr>
          <w:p w14:paraId="17E46EA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3176914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.815</w:t>
            </w:r>
          </w:p>
        </w:tc>
      </w:tr>
      <w:tr w:rsidR="007E1C2B" w:rsidRPr="0032506F" w14:paraId="0A917F5B" w14:textId="77777777" w:rsidTr="00791EF5">
        <w:trPr>
          <w:trHeight w:val="251"/>
        </w:trPr>
        <w:tc>
          <w:tcPr>
            <w:tcW w:w="733" w:type="pct"/>
            <w:tcBorders>
              <w:top w:val="nil"/>
              <w:left w:val="nil"/>
              <w:bottom w:val="nil"/>
              <w:right w:val="nil"/>
            </w:tcBorders>
            <w:shd w:val="clear" w:color="auto" w:fill="auto"/>
          </w:tcPr>
          <w:p w14:paraId="236B245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062" w:type="pct"/>
            <w:tcBorders>
              <w:top w:val="nil"/>
              <w:left w:val="nil"/>
              <w:bottom w:val="nil"/>
              <w:right w:val="nil"/>
            </w:tcBorders>
            <w:shd w:val="clear" w:color="auto" w:fill="auto"/>
            <w:vAlign w:val="center"/>
            <w:hideMark/>
          </w:tcPr>
          <w:p w14:paraId="605F05A2"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38680FBD"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1.071</w:t>
            </w:r>
          </w:p>
        </w:tc>
        <w:tc>
          <w:tcPr>
            <w:tcW w:w="591" w:type="pct"/>
            <w:tcBorders>
              <w:top w:val="nil"/>
              <w:left w:val="nil"/>
              <w:bottom w:val="nil"/>
              <w:right w:val="nil"/>
            </w:tcBorders>
            <w:shd w:val="clear" w:color="auto" w:fill="auto"/>
          </w:tcPr>
          <w:p w14:paraId="0B30911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.074</w:t>
            </w:r>
          </w:p>
        </w:tc>
        <w:tc>
          <w:tcPr>
            <w:tcW w:w="591" w:type="pct"/>
            <w:tcBorders>
              <w:top w:val="nil"/>
              <w:left w:val="nil"/>
              <w:bottom w:val="nil"/>
              <w:right w:val="nil"/>
            </w:tcBorders>
            <w:shd w:val="clear" w:color="auto" w:fill="auto"/>
            <w:vAlign w:val="bottom"/>
          </w:tcPr>
          <w:p w14:paraId="613BDC00"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14.547</w:t>
            </w:r>
          </w:p>
        </w:tc>
        <w:tc>
          <w:tcPr>
            <w:tcW w:w="630" w:type="pct"/>
            <w:tcBorders>
              <w:top w:val="nil"/>
              <w:left w:val="nil"/>
              <w:bottom w:val="nil"/>
              <w:right w:val="nil"/>
            </w:tcBorders>
            <w:shd w:val="clear" w:color="auto" w:fill="auto"/>
            <w:hideMark/>
          </w:tcPr>
          <w:p w14:paraId="5073DD5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0800322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.813</w:t>
            </w:r>
          </w:p>
        </w:tc>
      </w:tr>
      <w:tr w:rsidR="007E1C2B" w:rsidRPr="0032506F" w14:paraId="7E8DB0F2" w14:textId="77777777" w:rsidTr="00791EF5">
        <w:trPr>
          <w:trHeight w:val="197"/>
        </w:trPr>
        <w:tc>
          <w:tcPr>
            <w:tcW w:w="733" w:type="pct"/>
            <w:tcBorders>
              <w:top w:val="nil"/>
              <w:left w:val="nil"/>
              <w:bottom w:val="nil"/>
              <w:right w:val="nil"/>
            </w:tcBorders>
            <w:shd w:val="clear" w:color="auto" w:fill="auto"/>
          </w:tcPr>
          <w:p w14:paraId="0ACF707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062" w:type="pct"/>
            <w:tcBorders>
              <w:top w:val="nil"/>
              <w:left w:val="nil"/>
              <w:bottom w:val="nil"/>
              <w:right w:val="nil"/>
            </w:tcBorders>
            <w:shd w:val="clear" w:color="auto" w:fill="auto"/>
            <w:vAlign w:val="center"/>
            <w:hideMark/>
          </w:tcPr>
          <w:p w14:paraId="531A7E17"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763" w:type="pct"/>
            <w:tcBorders>
              <w:top w:val="nil"/>
              <w:left w:val="nil"/>
              <w:bottom w:val="nil"/>
              <w:right w:val="nil"/>
            </w:tcBorders>
            <w:shd w:val="clear" w:color="auto" w:fill="auto"/>
            <w:vAlign w:val="bottom"/>
          </w:tcPr>
          <w:p w14:paraId="3A6411A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.971</w:t>
            </w:r>
          </w:p>
        </w:tc>
        <w:tc>
          <w:tcPr>
            <w:tcW w:w="591" w:type="pct"/>
            <w:tcBorders>
              <w:top w:val="nil"/>
              <w:left w:val="nil"/>
              <w:bottom w:val="nil"/>
              <w:right w:val="nil"/>
            </w:tcBorders>
            <w:shd w:val="clear" w:color="auto" w:fill="auto"/>
          </w:tcPr>
          <w:p w14:paraId="2C06BABE"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.061</w:t>
            </w:r>
          </w:p>
        </w:tc>
        <w:tc>
          <w:tcPr>
            <w:tcW w:w="591" w:type="pct"/>
            <w:tcBorders>
              <w:top w:val="nil"/>
              <w:left w:val="nil"/>
              <w:bottom w:val="nil"/>
              <w:right w:val="nil"/>
            </w:tcBorders>
            <w:shd w:val="clear" w:color="auto" w:fill="auto"/>
            <w:vAlign w:val="bottom"/>
          </w:tcPr>
          <w:p w14:paraId="1936DAE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16.030</w:t>
            </w:r>
          </w:p>
        </w:tc>
        <w:tc>
          <w:tcPr>
            <w:tcW w:w="630" w:type="pct"/>
            <w:tcBorders>
              <w:top w:val="nil"/>
              <w:left w:val="nil"/>
              <w:bottom w:val="nil"/>
              <w:right w:val="nil"/>
            </w:tcBorders>
            <w:shd w:val="clear" w:color="auto" w:fill="auto"/>
            <w:hideMark/>
          </w:tcPr>
          <w:p w14:paraId="6878752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703363E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.868</w:t>
            </w:r>
          </w:p>
        </w:tc>
      </w:tr>
      <w:tr w:rsidR="007E1C2B" w:rsidRPr="0032506F" w14:paraId="7FCA6C52" w14:textId="77777777" w:rsidTr="00791EF5">
        <w:trPr>
          <w:trHeight w:val="206"/>
        </w:trPr>
        <w:tc>
          <w:tcPr>
            <w:tcW w:w="733" w:type="pct"/>
            <w:tcBorders>
              <w:top w:val="nil"/>
              <w:left w:val="nil"/>
              <w:bottom w:val="nil"/>
              <w:right w:val="nil"/>
            </w:tcBorders>
            <w:shd w:val="clear" w:color="auto" w:fill="auto"/>
          </w:tcPr>
          <w:p w14:paraId="1CCA2E20"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062" w:type="pct"/>
            <w:tcBorders>
              <w:top w:val="nil"/>
              <w:left w:val="nil"/>
              <w:bottom w:val="nil"/>
              <w:right w:val="nil"/>
            </w:tcBorders>
            <w:shd w:val="clear" w:color="auto" w:fill="auto"/>
            <w:vAlign w:val="center"/>
            <w:hideMark/>
          </w:tcPr>
          <w:p w14:paraId="13583EF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3B75670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591" w:type="pct"/>
            <w:tcBorders>
              <w:top w:val="nil"/>
              <w:left w:val="nil"/>
              <w:bottom w:val="nil"/>
              <w:right w:val="nil"/>
            </w:tcBorders>
            <w:shd w:val="clear" w:color="auto" w:fill="auto"/>
            <w:vAlign w:val="bottom"/>
          </w:tcPr>
          <w:p w14:paraId="21FF09DC"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591" w:type="pct"/>
            <w:tcBorders>
              <w:top w:val="nil"/>
              <w:left w:val="nil"/>
              <w:bottom w:val="nil"/>
              <w:right w:val="nil"/>
            </w:tcBorders>
            <w:shd w:val="clear" w:color="auto" w:fill="auto"/>
            <w:vAlign w:val="bottom"/>
          </w:tcPr>
          <w:p w14:paraId="5029EFD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shd w:val="clear" w:color="auto" w:fill="auto"/>
            <w:hideMark/>
          </w:tcPr>
          <w:p w14:paraId="73E42BA1"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p>
        </w:tc>
        <w:tc>
          <w:tcPr>
            <w:tcW w:w="630" w:type="pct"/>
            <w:tcBorders>
              <w:top w:val="nil"/>
              <w:left w:val="nil"/>
              <w:bottom w:val="nil"/>
              <w:right w:val="nil"/>
            </w:tcBorders>
          </w:tcPr>
          <w:p w14:paraId="136AB5B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.639</w:t>
            </w:r>
          </w:p>
        </w:tc>
      </w:tr>
      <w:tr w:rsidR="007E1C2B" w:rsidRPr="0032506F" w14:paraId="7B1C16C6" w14:textId="77777777" w:rsidTr="00791EF5">
        <w:trPr>
          <w:trHeight w:val="242"/>
        </w:trPr>
        <w:tc>
          <w:tcPr>
            <w:tcW w:w="733" w:type="pct"/>
            <w:tcBorders>
              <w:top w:val="nil"/>
              <w:left w:val="nil"/>
              <w:bottom w:val="nil"/>
              <w:right w:val="nil"/>
            </w:tcBorders>
            <w:shd w:val="clear" w:color="auto" w:fill="auto"/>
          </w:tcPr>
          <w:p w14:paraId="13AA7822"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062" w:type="pct"/>
            <w:tcBorders>
              <w:top w:val="nil"/>
              <w:left w:val="nil"/>
              <w:bottom w:val="nil"/>
              <w:right w:val="nil"/>
            </w:tcBorders>
            <w:shd w:val="clear" w:color="auto" w:fill="auto"/>
            <w:vAlign w:val="center"/>
            <w:hideMark/>
          </w:tcPr>
          <w:p w14:paraId="0DCF6B0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6949814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.932</w:t>
            </w:r>
          </w:p>
        </w:tc>
        <w:tc>
          <w:tcPr>
            <w:tcW w:w="591" w:type="pct"/>
            <w:tcBorders>
              <w:top w:val="nil"/>
              <w:left w:val="nil"/>
              <w:bottom w:val="nil"/>
              <w:right w:val="nil"/>
            </w:tcBorders>
            <w:shd w:val="clear" w:color="auto" w:fill="auto"/>
            <w:vAlign w:val="bottom"/>
          </w:tcPr>
          <w:p w14:paraId="43F127D5"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.083</w:t>
            </w:r>
          </w:p>
        </w:tc>
        <w:tc>
          <w:tcPr>
            <w:tcW w:w="591" w:type="pct"/>
            <w:tcBorders>
              <w:top w:val="nil"/>
              <w:left w:val="nil"/>
              <w:bottom w:val="nil"/>
              <w:right w:val="nil"/>
            </w:tcBorders>
            <w:shd w:val="clear" w:color="auto" w:fill="auto"/>
            <w:vAlign w:val="bottom"/>
          </w:tcPr>
          <w:p w14:paraId="1591E23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11.271</w:t>
            </w:r>
          </w:p>
        </w:tc>
        <w:tc>
          <w:tcPr>
            <w:tcW w:w="630" w:type="pct"/>
            <w:tcBorders>
              <w:top w:val="nil"/>
              <w:left w:val="nil"/>
              <w:bottom w:val="nil"/>
              <w:right w:val="nil"/>
            </w:tcBorders>
            <w:shd w:val="clear" w:color="auto" w:fill="auto"/>
            <w:hideMark/>
          </w:tcPr>
          <w:p w14:paraId="189FDE3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&lt;.001</w:t>
            </w:r>
          </w:p>
        </w:tc>
        <w:tc>
          <w:tcPr>
            <w:tcW w:w="630" w:type="pct"/>
            <w:tcBorders>
              <w:top w:val="nil"/>
              <w:left w:val="nil"/>
              <w:bottom w:val="nil"/>
              <w:right w:val="nil"/>
            </w:tcBorders>
          </w:tcPr>
          <w:p w14:paraId="481C274A"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.718</w:t>
            </w:r>
          </w:p>
        </w:tc>
      </w:tr>
      <w:tr w:rsidR="007E1C2B" w:rsidRPr="0032506F" w14:paraId="1CE05006" w14:textId="77777777" w:rsidTr="00791EF5">
        <w:trPr>
          <w:trHeight w:val="278"/>
        </w:trPr>
        <w:tc>
          <w:tcPr>
            <w:tcW w:w="733" w:type="pct"/>
            <w:tcBorders>
              <w:top w:val="nil"/>
              <w:left w:val="nil"/>
              <w:bottom w:val="nil"/>
              <w:right w:val="nil"/>
            </w:tcBorders>
            <w:shd w:val="clear" w:color="auto" w:fill="auto"/>
          </w:tcPr>
          <w:p w14:paraId="7FA2A269"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OCE8</w:t>
            </w:r>
          </w:p>
        </w:tc>
        <w:tc>
          <w:tcPr>
            <w:tcW w:w="1062" w:type="pct"/>
            <w:tcBorders>
              <w:top w:val="nil"/>
              <w:left w:val="nil"/>
              <w:bottom w:val="nil"/>
              <w:right w:val="nil"/>
            </w:tcBorders>
            <w:shd w:val="clear" w:color="auto" w:fill="auto"/>
            <w:vAlign w:val="center"/>
            <w:hideMark/>
          </w:tcPr>
          <w:p w14:paraId="1D3D9959"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5F30A0E7" w14:textId="77777777" w:rsidR="007E1C2B" w:rsidRPr="0032506F" w:rsidRDefault="007E1C2B" w:rsidP="007E1C2B">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.855</w:t>
            </w:r>
          </w:p>
        </w:tc>
        <w:tc>
          <w:tcPr>
            <w:tcW w:w="591" w:type="pct"/>
            <w:tcBorders>
              <w:top w:val="nil"/>
              <w:left w:val="nil"/>
              <w:bottom w:val="nil"/>
              <w:right w:val="nil"/>
            </w:tcBorders>
            <w:shd w:val="clear" w:color="auto" w:fill="auto"/>
            <w:vAlign w:val="bottom"/>
          </w:tcPr>
          <w:p w14:paraId="6799B93F"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.101</w:t>
            </w:r>
          </w:p>
        </w:tc>
        <w:tc>
          <w:tcPr>
            <w:tcW w:w="591" w:type="pct"/>
            <w:tcBorders>
              <w:top w:val="nil"/>
              <w:left w:val="nil"/>
              <w:bottom w:val="nil"/>
              <w:right w:val="nil"/>
            </w:tcBorders>
            <w:shd w:val="clear" w:color="auto" w:fill="auto"/>
            <w:vAlign w:val="bottom"/>
          </w:tcPr>
          <w:p w14:paraId="0F64A55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8.445</w:t>
            </w:r>
          </w:p>
        </w:tc>
        <w:tc>
          <w:tcPr>
            <w:tcW w:w="630" w:type="pct"/>
            <w:tcBorders>
              <w:top w:val="nil"/>
              <w:left w:val="nil"/>
              <w:bottom w:val="nil"/>
              <w:right w:val="nil"/>
            </w:tcBorders>
            <w:shd w:val="clear" w:color="auto" w:fill="auto"/>
            <w:hideMark/>
          </w:tcPr>
          <w:p w14:paraId="2327D353"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49E2CD0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.642</w:t>
            </w:r>
          </w:p>
        </w:tc>
      </w:tr>
      <w:tr w:rsidR="007E1C2B" w:rsidRPr="0032506F" w14:paraId="4F7D17A7" w14:textId="77777777" w:rsidTr="00791EF5">
        <w:trPr>
          <w:trHeight w:val="278"/>
        </w:trPr>
        <w:tc>
          <w:tcPr>
            <w:tcW w:w="733" w:type="pct"/>
            <w:tcBorders>
              <w:top w:val="nil"/>
              <w:left w:val="nil"/>
              <w:bottom w:val="nil"/>
              <w:right w:val="nil"/>
            </w:tcBorders>
            <w:shd w:val="clear" w:color="auto" w:fill="auto"/>
          </w:tcPr>
          <w:p w14:paraId="646ABEC9"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062" w:type="pct"/>
            <w:tcBorders>
              <w:top w:val="nil"/>
              <w:left w:val="nil"/>
              <w:bottom w:val="nil"/>
              <w:right w:val="nil"/>
            </w:tcBorders>
            <w:shd w:val="clear" w:color="auto" w:fill="auto"/>
            <w:vAlign w:val="center"/>
          </w:tcPr>
          <w:p w14:paraId="6E25FF3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42BD6EF2"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1.088</w:t>
            </w:r>
          </w:p>
        </w:tc>
        <w:tc>
          <w:tcPr>
            <w:tcW w:w="591" w:type="pct"/>
            <w:tcBorders>
              <w:top w:val="nil"/>
              <w:left w:val="nil"/>
              <w:bottom w:val="nil"/>
              <w:right w:val="nil"/>
            </w:tcBorders>
            <w:shd w:val="clear" w:color="auto" w:fill="auto"/>
            <w:vAlign w:val="bottom"/>
          </w:tcPr>
          <w:p w14:paraId="78562522"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.117</w:t>
            </w:r>
          </w:p>
        </w:tc>
        <w:tc>
          <w:tcPr>
            <w:tcW w:w="591" w:type="pct"/>
            <w:tcBorders>
              <w:top w:val="nil"/>
              <w:left w:val="nil"/>
              <w:bottom w:val="nil"/>
              <w:right w:val="nil"/>
            </w:tcBorders>
            <w:shd w:val="clear" w:color="auto" w:fill="auto"/>
            <w:vAlign w:val="bottom"/>
          </w:tcPr>
          <w:p w14:paraId="1BDB86C9"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9.322</w:t>
            </w:r>
          </w:p>
        </w:tc>
        <w:tc>
          <w:tcPr>
            <w:tcW w:w="630" w:type="pct"/>
            <w:tcBorders>
              <w:top w:val="nil"/>
              <w:left w:val="nil"/>
              <w:bottom w:val="nil"/>
              <w:right w:val="nil"/>
            </w:tcBorders>
            <w:shd w:val="clear" w:color="auto" w:fill="auto"/>
          </w:tcPr>
          <w:p w14:paraId="4FCE8331"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408BD527"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.727</w:t>
            </w:r>
          </w:p>
        </w:tc>
      </w:tr>
      <w:tr w:rsidR="007E1C2B" w:rsidRPr="0032506F" w14:paraId="33EF1026" w14:textId="77777777" w:rsidTr="00791EF5">
        <w:trPr>
          <w:trHeight w:val="278"/>
        </w:trPr>
        <w:tc>
          <w:tcPr>
            <w:tcW w:w="733" w:type="pct"/>
            <w:tcBorders>
              <w:top w:val="nil"/>
              <w:left w:val="nil"/>
              <w:bottom w:val="nil"/>
              <w:right w:val="nil"/>
            </w:tcBorders>
            <w:shd w:val="clear" w:color="auto" w:fill="auto"/>
          </w:tcPr>
          <w:p w14:paraId="0D013D62"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062" w:type="pct"/>
            <w:tcBorders>
              <w:top w:val="nil"/>
              <w:left w:val="nil"/>
              <w:bottom w:val="nil"/>
              <w:right w:val="nil"/>
            </w:tcBorders>
            <w:shd w:val="clear" w:color="auto" w:fill="auto"/>
            <w:vAlign w:val="center"/>
          </w:tcPr>
          <w:p w14:paraId="039C98A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29999736"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.820</w:t>
            </w:r>
          </w:p>
        </w:tc>
        <w:tc>
          <w:tcPr>
            <w:tcW w:w="591" w:type="pct"/>
            <w:tcBorders>
              <w:top w:val="nil"/>
              <w:left w:val="nil"/>
              <w:bottom w:val="nil"/>
              <w:right w:val="nil"/>
            </w:tcBorders>
            <w:shd w:val="clear" w:color="auto" w:fill="auto"/>
            <w:vAlign w:val="bottom"/>
          </w:tcPr>
          <w:p w14:paraId="044ACA36"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.091</w:t>
            </w:r>
          </w:p>
        </w:tc>
        <w:tc>
          <w:tcPr>
            <w:tcW w:w="591" w:type="pct"/>
            <w:tcBorders>
              <w:top w:val="nil"/>
              <w:left w:val="nil"/>
              <w:bottom w:val="nil"/>
              <w:right w:val="nil"/>
            </w:tcBorders>
            <w:shd w:val="clear" w:color="auto" w:fill="auto"/>
            <w:vAlign w:val="bottom"/>
          </w:tcPr>
          <w:p w14:paraId="443C3A0E"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9.046</w:t>
            </w:r>
          </w:p>
        </w:tc>
        <w:tc>
          <w:tcPr>
            <w:tcW w:w="630" w:type="pct"/>
            <w:tcBorders>
              <w:top w:val="nil"/>
              <w:left w:val="nil"/>
              <w:bottom w:val="nil"/>
              <w:right w:val="nil"/>
            </w:tcBorders>
            <w:shd w:val="clear" w:color="auto" w:fill="auto"/>
          </w:tcPr>
          <w:p w14:paraId="558C0D04"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78DC3BCD"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.701</w:t>
            </w:r>
          </w:p>
        </w:tc>
      </w:tr>
      <w:tr w:rsidR="007E1C2B" w:rsidRPr="0032506F" w14:paraId="082F80A2" w14:textId="77777777" w:rsidTr="00791EF5">
        <w:trPr>
          <w:trHeight w:val="278"/>
        </w:trPr>
        <w:tc>
          <w:tcPr>
            <w:tcW w:w="733" w:type="pct"/>
            <w:tcBorders>
              <w:top w:val="nil"/>
              <w:left w:val="nil"/>
              <w:bottom w:val="nil"/>
              <w:right w:val="nil"/>
            </w:tcBorders>
            <w:shd w:val="clear" w:color="auto" w:fill="auto"/>
          </w:tcPr>
          <w:p w14:paraId="754B5233"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062" w:type="pct"/>
            <w:tcBorders>
              <w:top w:val="nil"/>
              <w:left w:val="nil"/>
              <w:bottom w:val="nil"/>
              <w:right w:val="nil"/>
            </w:tcBorders>
            <w:shd w:val="clear" w:color="auto" w:fill="auto"/>
            <w:vAlign w:val="center"/>
          </w:tcPr>
          <w:p w14:paraId="659D6AE8"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631B3433"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.916</w:t>
            </w:r>
          </w:p>
        </w:tc>
        <w:tc>
          <w:tcPr>
            <w:tcW w:w="591" w:type="pct"/>
            <w:tcBorders>
              <w:top w:val="nil"/>
              <w:left w:val="nil"/>
              <w:bottom w:val="nil"/>
              <w:right w:val="nil"/>
            </w:tcBorders>
            <w:shd w:val="clear" w:color="auto" w:fill="auto"/>
            <w:vAlign w:val="bottom"/>
          </w:tcPr>
          <w:p w14:paraId="25AE7447"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.108</w:t>
            </w:r>
          </w:p>
        </w:tc>
        <w:tc>
          <w:tcPr>
            <w:tcW w:w="591" w:type="pct"/>
            <w:tcBorders>
              <w:top w:val="nil"/>
              <w:left w:val="nil"/>
              <w:bottom w:val="nil"/>
              <w:right w:val="nil"/>
            </w:tcBorders>
            <w:shd w:val="clear" w:color="auto" w:fill="auto"/>
            <w:vAlign w:val="bottom"/>
          </w:tcPr>
          <w:p w14:paraId="30AF82E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8.501</w:t>
            </w:r>
          </w:p>
        </w:tc>
        <w:tc>
          <w:tcPr>
            <w:tcW w:w="630" w:type="pct"/>
            <w:tcBorders>
              <w:top w:val="nil"/>
              <w:left w:val="nil"/>
              <w:bottom w:val="nil"/>
              <w:right w:val="nil"/>
            </w:tcBorders>
            <w:shd w:val="clear" w:color="auto" w:fill="auto"/>
          </w:tcPr>
          <w:p w14:paraId="583E0A8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5F2777E5"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.647</w:t>
            </w:r>
          </w:p>
        </w:tc>
      </w:tr>
      <w:tr w:rsidR="007E1C2B" w:rsidRPr="0032506F" w14:paraId="522C310E" w14:textId="77777777" w:rsidTr="00791EF5">
        <w:trPr>
          <w:trHeight w:val="278"/>
        </w:trPr>
        <w:tc>
          <w:tcPr>
            <w:tcW w:w="733" w:type="pct"/>
            <w:tcBorders>
              <w:top w:val="nil"/>
              <w:left w:val="nil"/>
              <w:bottom w:val="nil"/>
              <w:right w:val="nil"/>
            </w:tcBorders>
            <w:shd w:val="clear" w:color="auto" w:fill="auto"/>
          </w:tcPr>
          <w:p w14:paraId="216684AB"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062" w:type="pct"/>
            <w:tcBorders>
              <w:top w:val="nil"/>
              <w:left w:val="nil"/>
              <w:bottom w:val="nil"/>
              <w:right w:val="nil"/>
            </w:tcBorders>
            <w:shd w:val="clear" w:color="auto" w:fill="auto"/>
            <w:vAlign w:val="center"/>
          </w:tcPr>
          <w:p w14:paraId="74FC6856"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123BB1BE"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1.068</w:t>
            </w:r>
          </w:p>
        </w:tc>
        <w:tc>
          <w:tcPr>
            <w:tcW w:w="591" w:type="pct"/>
            <w:tcBorders>
              <w:top w:val="nil"/>
              <w:left w:val="nil"/>
              <w:bottom w:val="nil"/>
              <w:right w:val="nil"/>
            </w:tcBorders>
            <w:shd w:val="clear" w:color="auto" w:fill="auto"/>
            <w:vAlign w:val="bottom"/>
          </w:tcPr>
          <w:p w14:paraId="171E7B4D"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.102</w:t>
            </w:r>
          </w:p>
        </w:tc>
        <w:tc>
          <w:tcPr>
            <w:tcW w:w="591" w:type="pct"/>
            <w:tcBorders>
              <w:top w:val="nil"/>
              <w:left w:val="nil"/>
              <w:bottom w:val="nil"/>
              <w:right w:val="nil"/>
            </w:tcBorders>
            <w:shd w:val="clear" w:color="auto" w:fill="auto"/>
            <w:vAlign w:val="bottom"/>
          </w:tcPr>
          <w:p w14:paraId="076CF212"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10.517</w:t>
            </w:r>
          </w:p>
        </w:tc>
        <w:tc>
          <w:tcPr>
            <w:tcW w:w="630" w:type="pct"/>
            <w:tcBorders>
              <w:top w:val="nil"/>
              <w:left w:val="nil"/>
              <w:bottom w:val="nil"/>
              <w:right w:val="nil"/>
            </w:tcBorders>
            <w:shd w:val="clear" w:color="auto" w:fill="auto"/>
          </w:tcPr>
          <w:p w14:paraId="798F5FBF"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0C591FF8"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.859</w:t>
            </w:r>
          </w:p>
        </w:tc>
      </w:tr>
      <w:tr w:rsidR="007E1C2B" w:rsidRPr="0032506F" w14:paraId="4B2A3BF8" w14:textId="77777777" w:rsidTr="00791EF5">
        <w:trPr>
          <w:trHeight w:val="278"/>
        </w:trPr>
        <w:tc>
          <w:tcPr>
            <w:tcW w:w="733" w:type="pct"/>
            <w:tcBorders>
              <w:top w:val="nil"/>
              <w:left w:val="nil"/>
              <w:bottom w:val="nil"/>
              <w:right w:val="nil"/>
            </w:tcBorders>
            <w:shd w:val="clear" w:color="auto" w:fill="auto"/>
          </w:tcPr>
          <w:p w14:paraId="0462B643"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062" w:type="pct"/>
            <w:tcBorders>
              <w:top w:val="nil"/>
              <w:left w:val="nil"/>
              <w:bottom w:val="nil"/>
              <w:right w:val="nil"/>
            </w:tcBorders>
            <w:shd w:val="clear" w:color="auto" w:fill="auto"/>
            <w:vAlign w:val="center"/>
          </w:tcPr>
          <w:p w14:paraId="59F6E974"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nil"/>
              <w:right w:val="nil"/>
            </w:tcBorders>
            <w:shd w:val="clear" w:color="auto" w:fill="auto"/>
            <w:vAlign w:val="bottom"/>
          </w:tcPr>
          <w:p w14:paraId="7066DB0F"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.995</w:t>
            </w:r>
          </w:p>
        </w:tc>
        <w:tc>
          <w:tcPr>
            <w:tcW w:w="591" w:type="pct"/>
            <w:tcBorders>
              <w:top w:val="nil"/>
              <w:left w:val="nil"/>
              <w:bottom w:val="nil"/>
              <w:right w:val="nil"/>
            </w:tcBorders>
            <w:shd w:val="clear" w:color="auto" w:fill="auto"/>
            <w:vAlign w:val="bottom"/>
          </w:tcPr>
          <w:p w14:paraId="34EEB913"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.115</w:t>
            </w:r>
          </w:p>
        </w:tc>
        <w:tc>
          <w:tcPr>
            <w:tcW w:w="591" w:type="pct"/>
            <w:tcBorders>
              <w:top w:val="nil"/>
              <w:left w:val="nil"/>
              <w:bottom w:val="nil"/>
              <w:right w:val="nil"/>
            </w:tcBorders>
            <w:shd w:val="clear" w:color="auto" w:fill="auto"/>
            <w:vAlign w:val="bottom"/>
          </w:tcPr>
          <w:p w14:paraId="453ED3A9"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8.660</w:t>
            </w:r>
          </w:p>
        </w:tc>
        <w:tc>
          <w:tcPr>
            <w:tcW w:w="630" w:type="pct"/>
            <w:tcBorders>
              <w:top w:val="nil"/>
              <w:left w:val="nil"/>
              <w:bottom w:val="nil"/>
              <w:right w:val="nil"/>
            </w:tcBorders>
            <w:shd w:val="clear" w:color="auto" w:fill="auto"/>
          </w:tcPr>
          <w:p w14:paraId="164AD85C"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nil"/>
              <w:right w:val="nil"/>
            </w:tcBorders>
          </w:tcPr>
          <w:p w14:paraId="505AEC5B"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.662</w:t>
            </w:r>
          </w:p>
        </w:tc>
      </w:tr>
      <w:tr w:rsidR="007E1C2B" w:rsidRPr="0032506F" w14:paraId="5C716AC8" w14:textId="77777777" w:rsidTr="00791EF5">
        <w:trPr>
          <w:trHeight w:val="278"/>
        </w:trPr>
        <w:tc>
          <w:tcPr>
            <w:tcW w:w="733" w:type="pct"/>
            <w:tcBorders>
              <w:top w:val="nil"/>
              <w:left w:val="nil"/>
              <w:bottom w:val="single" w:sz="4" w:space="0" w:color="auto"/>
              <w:right w:val="nil"/>
            </w:tcBorders>
            <w:shd w:val="clear" w:color="auto" w:fill="auto"/>
          </w:tcPr>
          <w:p w14:paraId="2E4B7BED" w14:textId="77777777" w:rsidR="007E1C2B" w:rsidRPr="0032506F" w:rsidRDefault="007E1C2B" w:rsidP="007E1C2B">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062" w:type="pct"/>
            <w:tcBorders>
              <w:top w:val="nil"/>
              <w:left w:val="nil"/>
              <w:bottom w:val="single" w:sz="4" w:space="0" w:color="auto"/>
              <w:right w:val="nil"/>
            </w:tcBorders>
            <w:shd w:val="clear" w:color="auto" w:fill="auto"/>
            <w:vAlign w:val="center"/>
          </w:tcPr>
          <w:p w14:paraId="20DDFCFB" w14:textId="77777777" w:rsidR="007E1C2B" w:rsidRPr="0032506F" w:rsidRDefault="007E1C2B" w:rsidP="007E1C2B">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763" w:type="pct"/>
            <w:tcBorders>
              <w:top w:val="nil"/>
              <w:left w:val="nil"/>
              <w:bottom w:val="single" w:sz="4" w:space="0" w:color="auto"/>
              <w:right w:val="nil"/>
            </w:tcBorders>
            <w:shd w:val="clear" w:color="auto" w:fill="auto"/>
            <w:vAlign w:val="bottom"/>
          </w:tcPr>
          <w:p w14:paraId="7F3EE067" w14:textId="77777777" w:rsidR="007E1C2B" w:rsidRPr="0032506F" w:rsidRDefault="007E1C2B" w:rsidP="007E1C2B">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.969</w:t>
            </w:r>
          </w:p>
        </w:tc>
        <w:tc>
          <w:tcPr>
            <w:tcW w:w="591" w:type="pct"/>
            <w:tcBorders>
              <w:top w:val="nil"/>
              <w:left w:val="nil"/>
              <w:bottom w:val="single" w:sz="4" w:space="0" w:color="auto"/>
              <w:right w:val="nil"/>
            </w:tcBorders>
            <w:shd w:val="clear" w:color="auto" w:fill="auto"/>
            <w:vAlign w:val="bottom"/>
          </w:tcPr>
          <w:p w14:paraId="2A33CA9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.108</w:t>
            </w:r>
          </w:p>
        </w:tc>
        <w:tc>
          <w:tcPr>
            <w:tcW w:w="591" w:type="pct"/>
            <w:tcBorders>
              <w:top w:val="nil"/>
              <w:left w:val="nil"/>
              <w:bottom w:val="single" w:sz="4" w:space="0" w:color="auto"/>
              <w:right w:val="nil"/>
            </w:tcBorders>
            <w:shd w:val="clear" w:color="auto" w:fill="auto"/>
            <w:vAlign w:val="bottom"/>
          </w:tcPr>
          <w:p w14:paraId="1FF0411A" w14:textId="77777777" w:rsidR="007E1C2B" w:rsidRPr="0032506F" w:rsidRDefault="007E1C2B" w:rsidP="007E1C2B">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8.990</w:t>
            </w:r>
          </w:p>
        </w:tc>
        <w:tc>
          <w:tcPr>
            <w:tcW w:w="630" w:type="pct"/>
            <w:tcBorders>
              <w:top w:val="nil"/>
              <w:left w:val="nil"/>
              <w:bottom w:val="single" w:sz="4" w:space="0" w:color="auto"/>
              <w:right w:val="nil"/>
            </w:tcBorders>
            <w:shd w:val="clear" w:color="auto" w:fill="auto"/>
          </w:tcPr>
          <w:p w14:paraId="5EFE3D0A"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&lt;.001</w:t>
            </w:r>
          </w:p>
        </w:tc>
        <w:tc>
          <w:tcPr>
            <w:tcW w:w="630" w:type="pct"/>
            <w:tcBorders>
              <w:top w:val="nil"/>
              <w:left w:val="nil"/>
              <w:bottom w:val="single" w:sz="4" w:space="0" w:color="auto"/>
              <w:right w:val="nil"/>
            </w:tcBorders>
          </w:tcPr>
          <w:p w14:paraId="5A78841E" w14:textId="77777777" w:rsidR="007E1C2B" w:rsidRPr="0032506F" w:rsidRDefault="007E1C2B" w:rsidP="007E1C2B">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.693</w:t>
            </w:r>
          </w:p>
        </w:tc>
      </w:tr>
    </w:tbl>
    <w:p w14:paraId="061A6C7A" w14:textId="77777777" w:rsidR="007E1C2B" w:rsidRPr="0032506F" w:rsidRDefault="007E1C2B" w:rsidP="007E1C2B">
      <w:pPr>
        <w:spacing w:after="0" w:line="480" w:lineRule="auto"/>
        <w:rPr>
          <w:rFonts w:ascii="Times New Roman" w:hAnsi="Times New Roman" w:cs="Times New Roman"/>
          <w:sz w:val="24"/>
          <w:szCs w:val="24"/>
        </w:rPr>
      </w:pPr>
      <w:r w:rsidRPr="0032506F">
        <w:rPr>
          <w:rFonts w:ascii="Times New Roman" w:eastAsia="Times New Roman" w:hAnsi="Times New Roman" w:cs="Times New Roman"/>
          <w:i/>
          <w:sz w:val="24"/>
          <w:szCs w:val="24"/>
          <w:lang w:eastAsia="tr-TR"/>
        </w:rPr>
        <w:t xml:space="preserve">Note: </w:t>
      </w:r>
      <w:r w:rsidRPr="0032506F">
        <w:rPr>
          <w:rFonts w:ascii="Times New Roman" w:eastAsia="Times New Roman" w:hAnsi="Times New Roman" w:cs="Times New Roman"/>
          <w:sz w:val="24"/>
          <w:szCs w:val="24"/>
          <w:lang w:eastAsia="tr-TR"/>
        </w:rPr>
        <w:t>B=Unstandardized, S.E=Standard Error, C.R.=Critical Ratio, β=Standardized</w:t>
      </w:r>
    </w:p>
    <w:p w14:paraId="7CDD9705" w14:textId="5D58E92E" w:rsidR="007E1C2B" w:rsidRPr="0032506F" w:rsidRDefault="007E1C2B" w:rsidP="007E1C2B">
      <w:pPr>
        <w:spacing w:after="0" w:line="480" w:lineRule="auto"/>
        <w:rPr>
          <w:rFonts w:ascii="Times New Roman" w:hAnsi="Times New Roman" w:cs="Times New Roman"/>
          <w:sz w:val="24"/>
          <w:szCs w:val="24"/>
        </w:rPr>
      </w:pPr>
      <w:r w:rsidRPr="0032506F">
        <w:rPr>
          <w:rFonts w:ascii="Times New Roman" w:hAnsi="Times New Roman" w:cs="Times New Roman"/>
          <w:sz w:val="24"/>
          <w:szCs w:val="24"/>
        </w:rPr>
        <w:tab/>
        <w:t>The final best-fitting model has four items for the underlying factor of online behavioral engagement, seven items for the underlying factor of online emotional engagement, and nine items for the underlying factor of online cognitive engagement</w:t>
      </w:r>
      <w:r w:rsidR="00F67517">
        <w:rPr>
          <w:rFonts w:ascii="Times New Roman" w:hAnsi="Times New Roman" w:cs="Times New Roman"/>
          <w:sz w:val="24"/>
          <w:szCs w:val="24"/>
        </w:rPr>
        <w:t xml:space="preserve"> (See </w:t>
      </w:r>
      <w:hyperlink w:anchor="_Appendix_O_Final" w:history="1">
        <w:r w:rsidR="00F67517" w:rsidRPr="00A7483E">
          <w:rPr>
            <w:rStyle w:val="Hyperlink"/>
            <w:rFonts w:ascii="Times New Roman" w:hAnsi="Times New Roman" w:cs="Times New Roman"/>
            <w:sz w:val="24"/>
            <w:szCs w:val="24"/>
          </w:rPr>
          <w:t xml:space="preserve">Appendix </w:t>
        </w:r>
        <w:r w:rsidR="00E02E56">
          <w:rPr>
            <w:rStyle w:val="Hyperlink"/>
            <w:rFonts w:ascii="Times New Roman" w:hAnsi="Times New Roman" w:cs="Times New Roman"/>
            <w:sz w:val="24"/>
            <w:szCs w:val="24"/>
          </w:rPr>
          <w:t>O</w:t>
        </w:r>
      </w:hyperlink>
      <w:r w:rsidRPr="0032506F">
        <w:rPr>
          <w:rFonts w:ascii="Times New Roman" w:hAnsi="Times New Roman" w:cs="Times New Roman"/>
          <w:sz w:val="24"/>
          <w:szCs w:val="24"/>
        </w:rPr>
        <w:t xml:space="preserve"> </w:t>
      </w:r>
      <w:r w:rsidR="00F67517">
        <w:rPr>
          <w:rFonts w:ascii="Times New Roman" w:hAnsi="Times New Roman" w:cs="Times New Roman"/>
          <w:sz w:val="24"/>
          <w:szCs w:val="24"/>
        </w:rPr>
        <w:t>for</w:t>
      </w:r>
      <w:r w:rsidRPr="0032506F">
        <w:rPr>
          <w:rFonts w:ascii="Times New Roman" w:hAnsi="Times New Roman" w:cs="Times New Roman"/>
          <w:sz w:val="24"/>
          <w:szCs w:val="24"/>
        </w:rPr>
        <w:t xml:space="preserve"> the item content and descriptive statistics of each indicator variable in the final-best fitting model</w:t>
      </w:r>
      <w:r w:rsidR="00F67517">
        <w:rPr>
          <w:rFonts w:ascii="Times New Roman" w:hAnsi="Times New Roman" w:cs="Times New Roman"/>
          <w:sz w:val="24"/>
          <w:szCs w:val="24"/>
        </w:rPr>
        <w:t>)</w:t>
      </w:r>
      <w:r w:rsidRPr="0032506F">
        <w:rPr>
          <w:rFonts w:ascii="Times New Roman" w:hAnsi="Times New Roman" w:cs="Times New Roman"/>
          <w:sz w:val="24"/>
          <w:szCs w:val="24"/>
        </w:rPr>
        <w:t>.</w:t>
      </w:r>
      <w:r w:rsidR="00075FCF">
        <w:rPr>
          <w:rFonts w:ascii="Times New Roman" w:hAnsi="Times New Roman" w:cs="Times New Roman"/>
          <w:sz w:val="24"/>
          <w:szCs w:val="24"/>
        </w:rPr>
        <w:t xml:space="preserve"> </w:t>
      </w:r>
      <w:r w:rsidRPr="0032506F">
        <w:rPr>
          <w:rFonts w:ascii="Times New Roman" w:hAnsi="Times New Roman" w:cs="Times New Roman"/>
          <w:sz w:val="24"/>
          <w:szCs w:val="24"/>
        </w:rPr>
        <w:t xml:space="preserve">Although the number of measures for the latent variable of online behavioral engagement was relatively lower than the other two factors, it still meets the criterion of having “at least three </w:t>
      </w:r>
      <w:r w:rsidRPr="0032506F">
        <w:rPr>
          <w:rFonts w:ascii="Times New Roman" w:hAnsi="Times New Roman" w:cs="Times New Roman"/>
          <w:sz w:val="24"/>
          <w:szCs w:val="24"/>
        </w:rPr>
        <w:lastRenderedPageBreak/>
        <w:t xml:space="preserve">measures per factor or latent variable” (Russell, 2002, p. 1642). Kline (2016) similarly recommends a minimum of three to five indicators for each factor.     </w:t>
      </w:r>
    </w:p>
    <w:p w14:paraId="21D6C83B" w14:textId="1ADD2E28" w:rsidR="007E1C2B" w:rsidRPr="0032506F" w:rsidRDefault="007E1C2B" w:rsidP="00EA3DB2">
      <w:pPr>
        <w:spacing w:after="0" w:line="480" w:lineRule="auto"/>
        <w:rPr>
          <w:rFonts w:ascii="Times New Roman" w:eastAsia="Calibri" w:hAnsi="Times New Roman" w:cs="Times New Roman"/>
          <w:b/>
          <w:bCs/>
          <w:sz w:val="24"/>
          <w:szCs w:val="24"/>
        </w:rPr>
      </w:pPr>
      <w:r w:rsidRPr="0032506F">
        <w:rPr>
          <w:rFonts w:ascii="Times New Roman" w:eastAsia="Calibri" w:hAnsi="Times New Roman" w:cs="Times New Roman"/>
          <w:b/>
          <w:bCs/>
          <w:sz w:val="24"/>
          <w:szCs w:val="24"/>
        </w:rPr>
        <w:t>Tests for Convergent, Discriminant, and Criterion Validity</w:t>
      </w:r>
    </w:p>
    <w:p w14:paraId="47CC37EE" w14:textId="4F335BB5" w:rsidR="007E1C2B" w:rsidRPr="0032506F" w:rsidRDefault="007E1C2B" w:rsidP="007E1C2B">
      <w:pPr>
        <w:spacing w:after="0" w:line="480" w:lineRule="auto"/>
        <w:rPr>
          <w:rFonts w:ascii="Times New Roman" w:hAnsi="Times New Roman"/>
          <w:color w:val="000000" w:themeColor="text1"/>
          <w:sz w:val="24"/>
          <w:szCs w:val="24"/>
        </w:rPr>
      </w:pPr>
      <w:r w:rsidRPr="0032506F">
        <w:rPr>
          <w:rFonts w:ascii="Times New Roman" w:hAnsi="Times New Roman" w:cs="Times New Roman"/>
          <w:sz w:val="24"/>
          <w:szCs w:val="24"/>
        </w:rPr>
        <w:tab/>
      </w:r>
      <w:r w:rsidR="002338D5" w:rsidRPr="0032506F">
        <w:rPr>
          <w:rFonts w:ascii="Times New Roman" w:hAnsi="Times New Roman" w:cs="Times New Roman"/>
          <w:sz w:val="24"/>
          <w:szCs w:val="24"/>
        </w:rPr>
        <w:t xml:space="preserve">The </w:t>
      </w:r>
      <w:r w:rsidRPr="0032506F">
        <w:rPr>
          <w:rFonts w:ascii="Times New Roman" w:hAnsi="Times New Roman" w:cs="Times New Roman"/>
          <w:sz w:val="24"/>
          <w:szCs w:val="24"/>
        </w:rPr>
        <w:t xml:space="preserve">second research question </w:t>
      </w:r>
      <w:r w:rsidRPr="0032506F">
        <w:rPr>
          <w:rFonts w:ascii="Times New Roman" w:eastAsia="Calibri" w:hAnsi="Times New Roman" w:cs="Times New Roman"/>
          <w:bCs/>
          <w:i/>
          <w:iCs/>
          <w:color w:val="000000"/>
          <w:sz w:val="24"/>
          <w:szCs w:val="24"/>
        </w:rPr>
        <w:t>RQ2: Assuming the hypothesized three-factor model of online student engagement is an adequately fitting model, does convergent, discriminant, and criterion validity evidence support the use of the scale factors as indicators of online student engagement in higher education contexts?</w:t>
      </w:r>
      <w:r w:rsidR="00CF0BA3" w:rsidRPr="0032506F">
        <w:rPr>
          <w:rFonts w:ascii="Times New Roman" w:eastAsia="Calibri" w:hAnsi="Times New Roman" w:cs="Times New Roman"/>
          <w:bCs/>
          <w:i/>
          <w:iCs/>
          <w:color w:val="000000"/>
          <w:sz w:val="24"/>
          <w:szCs w:val="24"/>
        </w:rPr>
        <w:t xml:space="preserve"> </w:t>
      </w:r>
      <w:r w:rsidR="00CF0BA3" w:rsidRPr="0032506F">
        <w:rPr>
          <w:rFonts w:ascii="Times New Roman" w:eastAsia="Calibri" w:hAnsi="Times New Roman" w:cs="Times New Roman"/>
          <w:bCs/>
          <w:color w:val="000000"/>
          <w:sz w:val="24"/>
          <w:szCs w:val="24"/>
        </w:rPr>
        <w:t>was answered satisfactorily.</w:t>
      </w:r>
      <w:r w:rsidRPr="0032506F">
        <w:rPr>
          <w:rFonts w:ascii="Times New Roman" w:eastAsia="Calibri" w:hAnsi="Times New Roman" w:cs="Times New Roman"/>
          <w:bCs/>
          <w:color w:val="000000"/>
          <w:sz w:val="24"/>
          <w:szCs w:val="24"/>
        </w:rPr>
        <w:t xml:space="preserve"> </w:t>
      </w:r>
    </w:p>
    <w:p w14:paraId="008A7DA8" w14:textId="77777777" w:rsidR="007E1C2B" w:rsidRPr="0032506F" w:rsidRDefault="007E1C2B" w:rsidP="007E1C2B">
      <w:pPr>
        <w:keepNext/>
        <w:keepLines/>
        <w:spacing w:after="0" w:line="480" w:lineRule="auto"/>
        <w:outlineLvl w:val="2"/>
        <w:rPr>
          <w:rFonts w:ascii="Times New Roman" w:eastAsia="Calibri" w:hAnsi="Times New Roman" w:cs="Times New Roman"/>
          <w:b/>
          <w:bCs/>
          <w:i/>
          <w:iCs/>
          <w:sz w:val="24"/>
          <w:szCs w:val="24"/>
        </w:rPr>
      </w:pPr>
      <w:bookmarkStart w:id="118" w:name="_Hlk92362783"/>
      <w:bookmarkStart w:id="119" w:name="_Toc102489464"/>
      <w:bookmarkStart w:id="120" w:name="_Hlk90989542"/>
      <w:r w:rsidRPr="0032506F">
        <w:rPr>
          <w:rFonts w:ascii="Times New Roman" w:eastAsia="Calibri" w:hAnsi="Times New Roman" w:cs="Times New Roman"/>
          <w:b/>
          <w:bCs/>
          <w:i/>
          <w:iCs/>
          <w:sz w:val="24"/>
          <w:szCs w:val="24"/>
        </w:rPr>
        <w:t xml:space="preserve">Pearson Bivariate Correlations </w:t>
      </w:r>
      <w:bookmarkEnd w:id="118"/>
      <w:r w:rsidRPr="0032506F">
        <w:rPr>
          <w:rFonts w:ascii="Times New Roman" w:eastAsia="Calibri" w:hAnsi="Times New Roman" w:cs="Times New Roman"/>
          <w:b/>
          <w:bCs/>
          <w:i/>
          <w:iCs/>
          <w:sz w:val="24"/>
          <w:szCs w:val="24"/>
        </w:rPr>
        <w:t>for Convergent Validity</w:t>
      </w:r>
      <w:bookmarkEnd w:id="119"/>
    </w:p>
    <w:bookmarkEnd w:id="120"/>
    <w:p w14:paraId="5C03417D" w14:textId="189EE82F" w:rsidR="007E1C2B" w:rsidRPr="0032506F" w:rsidRDefault="007E1C2B" w:rsidP="007E1C2B">
      <w:pPr>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t xml:space="preserve">Empirical evidence for convergent validity of the OEHE items and subscales was initially obtained from high factor loadings within each subscale in the context of the confirmed CFA model (see </w:t>
      </w:r>
      <w:hyperlink w:anchor="Figure41" w:history="1">
        <w:r w:rsidRPr="0032506F">
          <w:rPr>
            <w:rFonts w:ascii="Times New Roman" w:hAnsi="Times New Roman"/>
            <w:color w:val="0563C1" w:themeColor="hyperlink"/>
            <w:sz w:val="24"/>
            <w:szCs w:val="24"/>
            <w:u w:val="single"/>
          </w:rPr>
          <w:t>Figure 4.</w:t>
        </w:r>
        <w:r w:rsidR="00964E41">
          <w:rPr>
            <w:rFonts w:ascii="Times New Roman" w:hAnsi="Times New Roman"/>
            <w:color w:val="0563C1" w:themeColor="hyperlink"/>
            <w:sz w:val="24"/>
            <w:szCs w:val="24"/>
            <w:u w:val="single"/>
          </w:rPr>
          <w:t>1</w:t>
        </w:r>
      </w:hyperlink>
      <w:r w:rsidRPr="0032506F">
        <w:rPr>
          <w:rFonts w:ascii="Times New Roman" w:hAnsi="Times New Roman"/>
          <w:color w:val="000000" w:themeColor="text1"/>
          <w:sz w:val="24"/>
          <w:szCs w:val="24"/>
        </w:rPr>
        <w:t>). The standardized factor loadings of all the OEHE items within each subscale, except for one online behavioral engagement item, namely OBE4, were .50 and above, with majority of the item loadings in the .70s and .80s. Even the relatively less strong loading of the OBE4 item (.333) can be considered a reasonably good measure of the underlying factor (Wang et al., 2019).</w:t>
      </w:r>
    </w:p>
    <w:p w14:paraId="4C3E071B" w14:textId="017CD064" w:rsidR="007E1C2B" w:rsidRPr="0032506F" w:rsidRDefault="007E1C2B" w:rsidP="007E1C2B">
      <w:pPr>
        <w:spacing w:after="0" w:line="480" w:lineRule="auto"/>
        <w:rPr>
          <w:rFonts w:ascii="Times New Roman" w:hAnsi="Times New Roman"/>
          <w:bCs/>
          <w:color w:val="000000" w:themeColor="text1"/>
          <w:sz w:val="24"/>
          <w:szCs w:val="24"/>
        </w:rPr>
      </w:pPr>
      <w:r w:rsidRPr="0032506F">
        <w:rPr>
          <w:rFonts w:ascii="Times New Roman" w:hAnsi="Times New Roman"/>
          <w:color w:val="000000" w:themeColor="text1"/>
          <w:sz w:val="24"/>
          <w:szCs w:val="24"/>
        </w:rPr>
        <w:tab/>
      </w:r>
      <w:r w:rsidR="004C5E89" w:rsidRPr="0032506F">
        <w:rPr>
          <w:rFonts w:ascii="Times New Roman" w:hAnsi="Times New Roman"/>
          <w:color w:val="000000" w:themeColor="text1"/>
          <w:sz w:val="24"/>
          <w:szCs w:val="24"/>
        </w:rPr>
        <w:t>C</w:t>
      </w:r>
      <w:r w:rsidRPr="0032506F">
        <w:rPr>
          <w:rFonts w:ascii="Times New Roman" w:hAnsi="Times New Roman"/>
          <w:bCs/>
          <w:color w:val="000000" w:themeColor="text1"/>
          <w:sz w:val="24"/>
          <w:szCs w:val="24"/>
        </w:rPr>
        <w:t xml:space="preserve">onvergent validity </w:t>
      </w:r>
      <w:r w:rsidR="004C5E89" w:rsidRPr="0032506F">
        <w:rPr>
          <w:rFonts w:ascii="Times New Roman" w:hAnsi="Times New Roman"/>
          <w:bCs/>
          <w:color w:val="000000" w:themeColor="text1"/>
          <w:sz w:val="24"/>
          <w:szCs w:val="24"/>
        </w:rPr>
        <w:t xml:space="preserve">can also be assessed </w:t>
      </w:r>
      <w:r w:rsidRPr="0032506F">
        <w:rPr>
          <w:rFonts w:ascii="Times New Roman" w:hAnsi="Times New Roman"/>
          <w:bCs/>
          <w:color w:val="000000" w:themeColor="text1"/>
          <w:sz w:val="24"/>
          <w:szCs w:val="24"/>
        </w:rPr>
        <w:t xml:space="preserve">by examining the relationships between the scores on a new measure of a particular construct or attribute and the scores on an existing and validated measure of the same construct, looking for moderate to strong and positive correlations between the two (Campbell &amp; Fiske, 1959; Warner, 2008). For this purpose, the correlations between the mean scores of three subscales of the OEHE and the mean scores of the corresponding subscales of the online-modified version of Reeve’s (2013) validated measure of student engagement (see </w:t>
      </w:r>
      <w:hyperlink w:anchor="_Appendix_I_Engagement" w:history="1">
        <w:r w:rsidRPr="0032506F">
          <w:rPr>
            <w:rStyle w:val="Hyperlink"/>
            <w:rFonts w:ascii="Times New Roman" w:hAnsi="Times New Roman"/>
            <w:bCs/>
            <w:sz w:val="24"/>
            <w:szCs w:val="24"/>
          </w:rPr>
          <w:t xml:space="preserve">Appendix </w:t>
        </w:r>
        <w:r w:rsidR="006A5461">
          <w:rPr>
            <w:rStyle w:val="Hyperlink"/>
            <w:rFonts w:ascii="Times New Roman" w:hAnsi="Times New Roman"/>
            <w:bCs/>
            <w:sz w:val="24"/>
            <w:szCs w:val="24"/>
          </w:rPr>
          <w:t>I</w:t>
        </w:r>
      </w:hyperlink>
      <w:r w:rsidRPr="0032506F">
        <w:rPr>
          <w:rFonts w:ascii="Times New Roman" w:hAnsi="Times New Roman"/>
          <w:bCs/>
          <w:color w:val="000000" w:themeColor="text1"/>
          <w:sz w:val="24"/>
          <w:szCs w:val="24"/>
        </w:rPr>
        <w:t>)</w:t>
      </w:r>
      <w:r w:rsidR="00C73F1B" w:rsidRPr="0032506F">
        <w:rPr>
          <w:rFonts w:ascii="Times New Roman" w:hAnsi="Times New Roman"/>
          <w:bCs/>
          <w:color w:val="000000" w:themeColor="text1"/>
          <w:sz w:val="24"/>
          <w:szCs w:val="24"/>
        </w:rPr>
        <w:t xml:space="preserve"> were computed</w:t>
      </w:r>
      <w:r w:rsidRPr="0032506F">
        <w:rPr>
          <w:rFonts w:ascii="Times New Roman" w:hAnsi="Times New Roman"/>
          <w:bCs/>
          <w:color w:val="000000" w:themeColor="text1"/>
          <w:sz w:val="24"/>
          <w:szCs w:val="24"/>
        </w:rPr>
        <w:t xml:space="preserve">, looking for moderate to strong and positive correlations between the two sets of subscales. </w:t>
      </w:r>
      <w:bookmarkStart w:id="121" w:name="_Hlk92363646"/>
      <w:r w:rsidRPr="0032506F">
        <w:rPr>
          <w:rFonts w:ascii="Times New Roman" w:hAnsi="Times New Roman"/>
          <w:bCs/>
          <w:color w:val="000000" w:themeColor="text1"/>
          <w:sz w:val="24"/>
          <w:szCs w:val="24"/>
        </w:rPr>
        <w:fldChar w:fldCharType="begin"/>
      </w:r>
      <w:r w:rsidR="001979BA">
        <w:rPr>
          <w:rFonts w:ascii="Times New Roman" w:hAnsi="Times New Roman"/>
          <w:bCs/>
          <w:color w:val="000000" w:themeColor="text1"/>
          <w:sz w:val="24"/>
          <w:szCs w:val="24"/>
        </w:rPr>
        <w:instrText>HYPERLINK  \l "Table46"</w:instrText>
      </w:r>
      <w:r w:rsidRPr="0032506F">
        <w:rPr>
          <w:rFonts w:ascii="Times New Roman" w:hAnsi="Times New Roman"/>
          <w:bCs/>
          <w:color w:val="000000" w:themeColor="text1"/>
          <w:sz w:val="24"/>
          <w:szCs w:val="24"/>
        </w:rPr>
        <w:fldChar w:fldCharType="separate"/>
      </w:r>
      <w:r w:rsidRPr="0032506F">
        <w:rPr>
          <w:rFonts w:ascii="Times New Roman" w:hAnsi="Times New Roman"/>
          <w:bCs/>
          <w:color w:val="0563C1" w:themeColor="hyperlink"/>
          <w:sz w:val="24"/>
          <w:szCs w:val="24"/>
          <w:u w:val="single"/>
        </w:rPr>
        <w:t>Table 4.</w:t>
      </w:r>
      <w:r w:rsidR="001979BA">
        <w:rPr>
          <w:rFonts w:ascii="Times New Roman" w:hAnsi="Times New Roman"/>
          <w:bCs/>
          <w:color w:val="0563C1" w:themeColor="hyperlink"/>
          <w:sz w:val="24"/>
          <w:szCs w:val="24"/>
          <w:u w:val="single"/>
        </w:rPr>
        <w:t>6</w:t>
      </w:r>
      <w:r w:rsidRPr="0032506F">
        <w:rPr>
          <w:rFonts w:ascii="Times New Roman" w:hAnsi="Times New Roman"/>
          <w:bCs/>
          <w:color w:val="000000" w:themeColor="text1"/>
          <w:sz w:val="24"/>
          <w:szCs w:val="24"/>
        </w:rPr>
        <w:fldChar w:fldCharType="end"/>
      </w:r>
      <w:r w:rsidRPr="0032506F">
        <w:rPr>
          <w:rFonts w:ascii="Times New Roman" w:hAnsi="Times New Roman"/>
          <w:bCs/>
          <w:color w:val="000000" w:themeColor="text1"/>
          <w:sz w:val="24"/>
          <w:szCs w:val="24"/>
        </w:rPr>
        <w:t xml:space="preserve"> presents the Pearson </w:t>
      </w:r>
      <w:r w:rsidRPr="0032506F">
        <w:rPr>
          <w:rFonts w:ascii="Times New Roman" w:hAnsi="Times New Roman"/>
          <w:bCs/>
          <w:color w:val="000000" w:themeColor="text1"/>
          <w:sz w:val="24"/>
          <w:szCs w:val="24"/>
        </w:rPr>
        <w:lastRenderedPageBreak/>
        <w:t>correlations between each OEHE subscale and each corresponding subscale of Reeve’s (2013) classroom engagement measure</w:t>
      </w:r>
      <w:bookmarkEnd w:id="121"/>
      <w:r w:rsidRPr="0032506F">
        <w:rPr>
          <w:rFonts w:ascii="Times New Roman" w:hAnsi="Times New Roman"/>
          <w:bCs/>
          <w:color w:val="000000" w:themeColor="text1"/>
          <w:sz w:val="24"/>
          <w:szCs w:val="24"/>
        </w:rPr>
        <w:t xml:space="preserve">. </w:t>
      </w:r>
      <w:bookmarkStart w:id="122" w:name="_Hlk92365681"/>
      <w:r w:rsidRPr="0032506F">
        <w:rPr>
          <w:rFonts w:ascii="Times New Roman" w:hAnsi="Times New Roman"/>
          <w:color w:val="000000" w:themeColor="text1"/>
          <w:sz w:val="24"/>
          <w:szCs w:val="24"/>
        </w:rPr>
        <w:t xml:space="preserve">As shown in </w:t>
      </w:r>
      <w:hyperlink w:anchor="Table46" w:history="1">
        <w:r w:rsidRPr="0032506F">
          <w:rPr>
            <w:rFonts w:ascii="Times New Roman" w:hAnsi="Times New Roman"/>
            <w:color w:val="0563C1" w:themeColor="hyperlink"/>
            <w:sz w:val="24"/>
            <w:szCs w:val="24"/>
            <w:u w:val="single"/>
          </w:rPr>
          <w:t>Table 4.</w:t>
        </w:r>
        <w:r w:rsidR="001979BA">
          <w:rPr>
            <w:rFonts w:ascii="Times New Roman" w:hAnsi="Times New Roman"/>
            <w:color w:val="0563C1" w:themeColor="hyperlink"/>
            <w:sz w:val="24"/>
            <w:szCs w:val="24"/>
            <w:u w:val="single"/>
          </w:rPr>
          <w:t>6</w:t>
        </w:r>
      </w:hyperlink>
      <w:r w:rsidRPr="0032506F">
        <w:rPr>
          <w:rFonts w:ascii="Times New Roman" w:hAnsi="Times New Roman"/>
          <w:color w:val="000000" w:themeColor="text1"/>
          <w:sz w:val="24"/>
          <w:szCs w:val="24"/>
        </w:rPr>
        <w:t>, the Pearson product-moment correlation coefficients between the mean scores of three subscales of the OEHE measure and the three corresponding subscales of Reeve’s (2013) online-modified classroom engagement ranged from .17 to .32, indicating weak to moderate correlations, providing relatively weak albeit reasonable evidence for convergent validity of the OEHE subscales.</w:t>
      </w:r>
    </w:p>
    <w:p w14:paraId="02A381A9" w14:textId="2498709A" w:rsidR="007E1C2B" w:rsidRPr="0032506F" w:rsidRDefault="007E1C2B" w:rsidP="007E1C2B">
      <w:pPr>
        <w:spacing w:after="0" w:line="480" w:lineRule="auto"/>
        <w:rPr>
          <w:rFonts w:ascii="Times New Roman" w:eastAsia="SimSun" w:hAnsi="Times New Roman" w:cs="Times New Roman"/>
          <w:b/>
          <w:bCs/>
          <w:sz w:val="24"/>
          <w:szCs w:val="24"/>
        </w:rPr>
      </w:pPr>
      <w:bookmarkStart w:id="123" w:name="Table425"/>
      <w:bookmarkStart w:id="124" w:name="Table46"/>
      <w:bookmarkStart w:id="125" w:name="_Hlk92363695"/>
      <w:bookmarkEnd w:id="122"/>
      <w:r w:rsidRPr="0032506F">
        <w:rPr>
          <w:rFonts w:ascii="Times New Roman" w:eastAsia="SimSun" w:hAnsi="Times New Roman" w:cs="Times New Roman"/>
          <w:b/>
          <w:bCs/>
          <w:sz w:val="24"/>
          <w:szCs w:val="24"/>
        </w:rPr>
        <w:t>Table 4.</w:t>
      </w:r>
      <w:r w:rsidR="001979BA">
        <w:rPr>
          <w:rFonts w:ascii="Times New Roman" w:eastAsia="SimSun" w:hAnsi="Times New Roman" w:cs="Times New Roman"/>
          <w:b/>
          <w:bCs/>
          <w:sz w:val="24"/>
          <w:szCs w:val="24"/>
        </w:rPr>
        <w:t>6</w:t>
      </w:r>
    </w:p>
    <w:bookmarkEnd w:id="123"/>
    <w:bookmarkEnd w:id="124"/>
    <w:p w14:paraId="55B1E49E"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Pearson Bivariate Correlations between OEHE Subscales and Reeve’s (2013) Engagement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9"/>
        <w:gridCol w:w="2873"/>
        <w:gridCol w:w="2047"/>
        <w:gridCol w:w="2759"/>
      </w:tblGrid>
      <w:tr w:rsidR="00DD7F34" w:rsidRPr="0032506F" w14:paraId="20800F1C" w14:textId="77777777" w:rsidTr="00027034">
        <w:trPr>
          <w:trHeight w:val="320"/>
        </w:trPr>
        <w:tc>
          <w:tcPr>
            <w:tcW w:w="1399" w:type="dxa"/>
            <w:tcBorders>
              <w:top w:val="single" w:sz="8" w:space="0" w:color="auto"/>
              <w:bottom w:val="single" w:sz="8" w:space="0" w:color="auto"/>
            </w:tcBorders>
          </w:tcPr>
          <w:p w14:paraId="249C7265" w14:textId="77777777" w:rsidR="00DD7F34" w:rsidRPr="0032506F" w:rsidRDefault="00DD7F34" w:rsidP="007E1C2B">
            <w:pPr>
              <w:jc w:val="both"/>
              <w:rPr>
                <w:rFonts w:ascii="Times New Roman" w:eastAsia="SimSun" w:hAnsi="Times New Roman" w:cs="Times New Roman"/>
                <w:b/>
                <w:bCs/>
                <w:sz w:val="24"/>
                <w:szCs w:val="24"/>
              </w:rPr>
            </w:pPr>
          </w:p>
        </w:tc>
        <w:tc>
          <w:tcPr>
            <w:tcW w:w="2873" w:type="dxa"/>
            <w:tcBorders>
              <w:top w:val="single" w:sz="8" w:space="0" w:color="auto"/>
              <w:bottom w:val="single" w:sz="8" w:space="0" w:color="auto"/>
            </w:tcBorders>
          </w:tcPr>
          <w:p w14:paraId="1F7879C5" w14:textId="77777777" w:rsidR="00DD7F34" w:rsidRPr="0032506F" w:rsidRDefault="00DD7F34"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ReeveBE</w:t>
            </w:r>
          </w:p>
        </w:tc>
        <w:tc>
          <w:tcPr>
            <w:tcW w:w="2047" w:type="dxa"/>
            <w:tcBorders>
              <w:top w:val="single" w:sz="8" w:space="0" w:color="auto"/>
              <w:bottom w:val="single" w:sz="8" w:space="0" w:color="auto"/>
            </w:tcBorders>
          </w:tcPr>
          <w:p w14:paraId="6BE440EC" w14:textId="77777777" w:rsidR="00DD7F34" w:rsidRPr="0032506F" w:rsidRDefault="00DD7F34"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ReeveEE</w:t>
            </w:r>
          </w:p>
        </w:tc>
        <w:tc>
          <w:tcPr>
            <w:tcW w:w="2759" w:type="dxa"/>
            <w:tcBorders>
              <w:top w:val="single" w:sz="8" w:space="0" w:color="auto"/>
              <w:bottom w:val="single" w:sz="8" w:space="0" w:color="auto"/>
            </w:tcBorders>
          </w:tcPr>
          <w:p w14:paraId="2E9B8D14" w14:textId="77777777" w:rsidR="00DD7F34" w:rsidRPr="0032506F" w:rsidRDefault="00DD7F34"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ReeveCE</w:t>
            </w:r>
          </w:p>
        </w:tc>
      </w:tr>
      <w:tr w:rsidR="00DD7F34" w:rsidRPr="0032506F" w14:paraId="03F15E3F" w14:textId="77777777" w:rsidTr="00027034">
        <w:trPr>
          <w:trHeight w:val="1120"/>
        </w:trPr>
        <w:tc>
          <w:tcPr>
            <w:tcW w:w="1399" w:type="dxa"/>
            <w:tcBorders>
              <w:top w:val="single" w:sz="8" w:space="0" w:color="auto"/>
              <w:bottom w:val="single" w:sz="4" w:space="0" w:color="auto"/>
            </w:tcBorders>
          </w:tcPr>
          <w:p w14:paraId="6BD06CA7" w14:textId="77777777" w:rsidR="00DD7F34" w:rsidRPr="0032506F" w:rsidRDefault="00DD7F34" w:rsidP="007E1C2B">
            <w:pPr>
              <w:rPr>
                <w:rFonts w:ascii="Times New Roman" w:eastAsia="SimSun" w:hAnsi="Times New Roman" w:cs="Times New Roman"/>
                <w:sz w:val="24"/>
                <w:szCs w:val="24"/>
              </w:rPr>
            </w:pPr>
          </w:p>
          <w:p w14:paraId="35E52773" w14:textId="77777777" w:rsidR="00DD7F34" w:rsidRPr="0032506F" w:rsidRDefault="00DD7F34"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OBE</w:t>
            </w:r>
          </w:p>
          <w:p w14:paraId="33272618" w14:textId="77777777" w:rsidR="00DD7F34" w:rsidRPr="0032506F" w:rsidRDefault="00DD7F34"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OEE</w:t>
            </w:r>
          </w:p>
          <w:p w14:paraId="48DE81A2" w14:textId="3F9B4FC7" w:rsidR="00DD7F34" w:rsidRPr="0032506F" w:rsidRDefault="00DD7F34"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OCE</w:t>
            </w:r>
          </w:p>
        </w:tc>
        <w:tc>
          <w:tcPr>
            <w:tcW w:w="2873" w:type="dxa"/>
            <w:tcBorders>
              <w:top w:val="single" w:sz="8" w:space="0" w:color="auto"/>
              <w:bottom w:val="single" w:sz="4" w:space="0" w:color="auto"/>
            </w:tcBorders>
          </w:tcPr>
          <w:p w14:paraId="15476764" w14:textId="77777777" w:rsidR="00DD7F34" w:rsidRPr="0032506F" w:rsidRDefault="00DD7F34" w:rsidP="007E1C2B">
            <w:pPr>
              <w:jc w:val="center"/>
              <w:rPr>
                <w:rFonts w:ascii="Times New Roman" w:eastAsia="SimSun" w:hAnsi="Times New Roman" w:cs="Times New Roman"/>
                <w:sz w:val="24"/>
                <w:szCs w:val="24"/>
              </w:rPr>
            </w:pPr>
          </w:p>
          <w:p w14:paraId="22AC39A9" w14:textId="6FBD5E27" w:rsidR="0064761A" w:rsidRPr="0032506F" w:rsidRDefault="0064761A"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 xml:space="preserve">   </w:t>
            </w:r>
            <w:r w:rsidR="00DD7F34" w:rsidRPr="0032506F">
              <w:rPr>
                <w:rFonts w:ascii="Times New Roman" w:eastAsia="SimSun" w:hAnsi="Times New Roman" w:cs="Times New Roman"/>
                <w:b/>
                <w:bCs/>
                <w:sz w:val="24"/>
                <w:szCs w:val="24"/>
              </w:rPr>
              <w:t>.170**</w:t>
            </w:r>
          </w:p>
          <w:p w14:paraId="59629390" w14:textId="297C5A98" w:rsidR="00DD7F34" w:rsidRPr="0032506F" w:rsidRDefault="00DD7F34"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sz w:val="24"/>
                <w:szCs w:val="24"/>
              </w:rPr>
              <w:t>.093</w:t>
            </w:r>
          </w:p>
          <w:p w14:paraId="35C3D501" w14:textId="3073E05A" w:rsidR="00DD7F34" w:rsidRPr="0032506F" w:rsidRDefault="0064761A"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w:t>
            </w:r>
            <w:r w:rsidR="00DD7F34" w:rsidRPr="0032506F">
              <w:rPr>
                <w:rFonts w:ascii="Times New Roman" w:eastAsia="SimSun" w:hAnsi="Times New Roman" w:cs="Times New Roman"/>
                <w:sz w:val="24"/>
                <w:szCs w:val="24"/>
              </w:rPr>
              <w:t>.173**</w:t>
            </w:r>
          </w:p>
        </w:tc>
        <w:tc>
          <w:tcPr>
            <w:tcW w:w="2047" w:type="dxa"/>
            <w:tcBorders>
              <w:top w:val="single" w:sz="8" w:space="0" w:color="auto"/>
              <w:bottom w:val="single" w:sz="4" w:space="0" w:color="auto"/>
            </w:tcBorders>
          </w:tcPr>
          <w:p w14:paraId="34CF4B19" w14:textId="77777777" w:rsidR="00DD7F34" w:rsidRPr="0032506F" w:rsidRDefault="00DD7F34" w:rsidP="007E1C2B">
            <w:pPr>
              <w:jc w:val="center"/>
              <w:rPr>
                <w:rFonts w:ascii="Times New Roman" w:eastAsia="SimSun" w:hAnsi="Times New Roman" w:cs="Times New Roman"/>
                <w:sz w:val="24"/>
                <w:szCs w:val="24"/>
              </w:rPr>
            </w:pPr>
          </w:p>
          <w:p w14:paraId="0F80DFB8" w14:textId="77777777" w:rsidR="00DD7F34" w:rsidRPr="0032506F" w:rsidRDefault="00DD7F34"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.221**</w:t>
            </w:r>
          </w:p>
          <w:p w14:paraId="5E133CF4" w14:textId="77777777" w:rsidR="00DD7F34" w:rsidRPr="0032506F" w:rsidRDefault="00DD7F34"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.192**</w:t>
            </w:r>
          </w:p>
          <w:p w14:paraId="231655CD" w14:textId="77777777" w:rsidR="00DD7F34" w:rsidRPr="0032506F" w:rsidRDefault="00DD7F34"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.240**</w:t>
            </w:r>
          </w:p>
        </w:tc>
        <w:tc>
          <w:tcPr>
            <w:tcW w:w="2759" w:type="dxa"/>
            <w:tcBorders>
              <w:top w:val="single" w:sz="8" w:space="0" w:color="auto"/>
              <w:bottom w:val="single" w:sz="4" w:space="0" w:color="auto"/>
            </w:tcBorders>
          </w:tcPr>
          <w:p w14:paraId="2AE6684D" w14:textId="77777777" w:rsidR="00DD7F34" w:rsidRPr="0032506F" w:rsidRDefault="00DD7F34" w:rsidP="007E1C2B">
            <w:pPr>
              <w:jc w:val="center"/>
              <w:rPr>
                <w:rFonts w:ascii="Times New Roman" w:eastAsia="SimSun" w:hAnsi="Times New Roman" w:cs="Times New Roman"/>
                <w:sz w:val="24"/>
                <w:szCs w:val="24"/>
              </w:rPr>
            </w:pPr>
          </w:p>
          <w:p w14:paraId="486292F7" w14:textId="07CD31F4" w:rsidR="0064761A" w:rsidRPr="0032506F" w:rsidRDefault="000B0E85"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w:t>
            </w:r>
            <w:r w:rsidR="00DD7F34" w:rsidRPr="0032506F">
              <w:rPr>
                <w:rFonts w:ascii="Times New Roman" w:eastAsia="SimSun" w:hAnsi="Times New Roman" w:cs="Times New Roman"/>
                <w:sz w:val="24"/>
                <w:szCs w:val="24"/>
              </w:rPr>
              <w:t>.201**</w:t>
            </w:r>
          </w:p>
          <w:p w14:paraId="6E2858C2" w14:textId="4911BBE8" w:rsidR="00DD7F34" w:rsidRPr="0032506F" w:rsidRDefault="00DD7F34"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.035</w:t>
            </w:r>
          </w:p>
          <w:p w14:paraId="6F0DEAB0" w14:textId="150BB37A" w:rsidR="00DD7F34" w:rsidRPr="0032506F" w:rsidRDefault="000B0E85"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 xml:space="preserve">    </w:t>
            </w:r>
            <w:r w:rsidR="00DD7F34" w:rsidRPr="0032506F">
              <w:rPr>
                <w:rFonts w:ascii="Times New Roman" w:eastAsia="SimSun" w:hAnsi="Times New Roman" w:cs="Times New Roman"/>
                <w:b/>
                <w:bCs/>
                <w:sz w:val="24"/>
                <w:szCs w:val="24"/>
              </w:rPr>
              <w:t>.326**</w:t>
            </w:r>
          </w:p>
        </w:tc>
      </w:tr>
    </w:tbl>
    <w:bookmarkEnd w:id="125"/>
    <w:p w14:paraId="5DB9578C"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i/>
          <w:sz w:val="24"/>
          <w:szCs w:val="24"/>
        </w:rPr>
        <w:t xml:space="preserve">Note: </w:t>
      </w:r>
      <w:r w:rsidRPr="0032506F">
        <w:rPr>
          <w:rFonts w:ascii="Times New Roman" w:hAnsi="Times New Roman" w:cs="Times New Roman"/>
          <w:sz w:val="24"/>
          <w:szCs w:val="24"/>
        </w:rPr>
        <w:t>OBE=OEHE’s online behavioral engagement, OEE=OEHE’s online emotional engagement, OCE=OEHE’s online cognitive engagement, ReeveBE=Reeve’s behavioral engagement, ReeveEE=Reeve’s emotional engagement, ReeveCE=Reeve’s cognitive engagement</w:t>
      </w:r>
    </w:p>
    <w:p w14:paraId="2A608CB3"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sz w:val="24"/>
          <w:szCs w:val="24"/>
        </w:rPr>
        <w:t>**Correlation is significant at the 0.01 level (2-tailed)</w:t>
      </w:r>
    </w:p>
    <w:p w14:paraId="550265A6" w14:textId="77777777" w:rsidR="007E1C2B" w:rsidRPr="0032506F" w:rsidRDefault="007E1C2B" w:rsidP="007E1C2B">
      <w:pPr>
        <w:spacing w:after="0" w:line="240" w:lineRule="auto"/>
        <w:rPr>
          <w:rFonts w:ascii="Times New Roman" w:hAnsi="Times New Roman"/>
          <w:bCs/>
          <w:color w:val="000000" w:themeColor="text1"/>
          <w:sz w:val="24"/>
          <w:szCs w:val="24"/>
        </w:rPr>
      </w:pPr>
      <w:r w:rsidRPr="0032506F">
        <w:rPr>
          <w:rFonts w:ascii="Times New Roman" w:hAnsi="Times New Roman" w:cs="Times New Roman"/>
          <w:sz w:val="24"/>
          <w:szCs w:val="24"/>
        </w:rPr>
        <w:t>Listwise</w:t>
      </w:r>
      <w:r w:rsidRPr="0032506F">
        <w:rPr>
          <w:rFonts w:ascii="Times New Roman" w:hAnsi="Times New Roman" w:cs="Times New Roman"/>
          <w:i/>
          <w:sz w:val="24"/>
          <w:szCs w:val="24"/>
        </w:rPr>
        <w:t xml:space="preserve"> N</w:t>
      </w:r>
      <w:r w:rsidRPr="0032506F">
        <w:rPr>
          <w:rFonts w:ascii="Times New Roman" w:hAnsi="Times New Roman" w:cs="Times New Roman"/>
          <w:sz w:val="24"/>
          <w:szCs w:val="24"/>
        </w:rPr>
        <w:t>=234</w:t>
      </w:r>
    </w:p>
    <w:p w14:paraId="1CB5CDD8" w14:textId="77777777" w:rsidR="00055E7D" w:rsidRPr="0032506F" w:rsidRDefault="00055E7D" w:rsidP="007E1C2B">
      <w:pPr>
        <w:spacing w:after="0" w:line="480" w:lineRule="auto"/>
        <w:rPr>
          <w:rFonts w:ascii="Times New Roman" w:hAnsi="Times New Roman"/>
          <w:bCs/>
          <w:color w:val="000000" w:themeColor="text1"/>
          <w:sz w:val="24"/>
          <w:szCs w:val="24"/>
        </w:rPr>
      </w:pPr>
    </w:p>
    <w:p w14:paraId="72398090" w14:textId="299FE487" w:rsidR="007E1C2B" w:rsidRPr="0032506F" w:rsidRDefault="007E1C2B" w:rsidP="007E1C2B">
      <w:pPr>
        <w:spacing w:after="0" w:line="480" w:lineRule="auto"/>
        <w:rPr>
          <w:rFonts w:ascii="Times New Roman" w:hAnsi="Times New Roman"/>
          <w:bCs/>
          <w:color w:val="000000" w:themeColor="text1"/>
          <w:sz w:val="24"/>
          <w:szCs w:val="24"/>
        </w:rPr>
      </w:pPr>
      <w:r w:rsidRPr="0032506F">
        <w:rPr>
          <w:rFonts w:ascii="Times New Roman" w:hAnsi="Times New Roman"/>
          <w:bCs/>
          <w:color w:val="000000" w:themeColor="text1"/>
          <w:sz w:val="24"/>
          <w:szCs w:val="24"/>
        </w:rPr>
        <w:tab/>
      </w:r>
      <w:bookmarkStart w:id="126" w:name="_Hlk92369223"/>
      <w:r w:rsidR="009C21CD" w:rsidRPr="0032506F">
        <w:rPr>
          <w:rFonts w:ascii="Times New Roman" w:hAnsi="Times New Roman"/>
          <w:bCs/>
          <w:color w:val="000000" w:themeColor="text1"/>
          <w:sz w:val="24"/>
          <w:szCs w:val="24"/>
        </w:rPr>
        <w:t>T</w:t>
      </w:r>
      <w:r w:rsidRPr="0032506F">
        <w:rPr>
          <w:rFonts w:ascii="Times New Roman" w:hAnsi="Times New Roman"/>
          <w:bCs/>
          <w:color w:val="000000" w:themeColor="text1"/>
          <w:sz w:val="24"/>
          <w:szCs w:val="24"/>
        </w:rPr>
        <w:t xml:space="preserve">he overall mean score of the OEHE instrument and the overall mean score of </w:t>
      </w:r>
      <w:bookmarkEnd w:id="126"/>
      <w:r w:rsidRPr="0032506F">
        <w:rPr>
          <w:rFonts w:ascii="Times New Roman" w:hAnsi="Times New Roman"/>
          <w:bCs/>
          <w:color w:val="000000" w:themeColor="text1"/>
          <w:sz w:val="24"/>
          <w:szCs w:val="24"/>
        </w:rPr>
        <w:t xml:space="preserve">Reeve’s engagement measure </w:t>
      </w:r>
      <w:r w:rsidR="009C21CD" w:rsidRPr="0032506F">
        <w:rPr>
          <w:rFonts w:ascii="Times New Roman" w:hAnsi="Times New Roman"/>
          <w:bCs/>
          <w:color w:val="000000" w:themeColor="text1"/>
          <w:sz w:val="24"/>
          <w:szCs w:val="24"/>
        </w:rPr>
        <w:t xml:space="preserve">were also computed </w:t>
      </w:r>
      <w:r w:rsidRPr="0032506F">
        <w:rPr>
          <w:rFonts w:ascii="Times New Roman" w:hAnsi="Times New Roman"/>
          <w:bCs/>
          <w:color w:val="000000" w:themeColor="text1"/>
          <w:sz w:val="24"/>
          <w:szCs w:val="24"/>
        </w:rPr>
        <w:t>and the Pearson correlation between the two</w:t>
      </w:r>
      <w:r w:rsidR="009C21CD" w:rsidRPr="0032506F">
        <w:rPr>
          <w:rFonts w:ascii="Times New Roman" w:hAnsi="Times New Roman"/>
          <w:bCs/>
          <w:color w:val="000000" w:themeColor="text1"/>
          <w:sz w:val="24"/>
          <w:szCs w:val="24"/>
        </w:rPr>
        <w:t xml:space="preserve"> was examined</w:t>
      </w:r>
      <w:r w:rsidRPr="0032506F">
        <w:rPr>
          <w:rFonts w:ascii="Times New Roman" w:hAnsi="Times New Roman"/>
          <w:bCs/>
          <w:color w:val="000000" w:themeColor="text1"/>
          <w:sz w:val="24"/>
          <w:szCs w:val="24"/>
        </w:rPr>
        <w:t xml:space="preserve">. There was a positive and significant correlation (r=.242, </w:t>
      </w:r>
      <w:r w:rsidRPr="0032506F">
        <w:rPr>
          <w:rFonts w:ascii="Times New Roman" w:hAnsi="Times New Roman"/>
          <w:bCs/>
          <w:i/>
          <w:color w:val="000000" w:themeColor="text1"/>
          <w:sz w:val="24"/>
          <w:szCs w:val="24"/>
        </w:rPr>
        <w:t>p&lt;</w:t>
      </w:r>
      <w:r w:rsidRPr="0032506F">
        <w:rPr>
          <w:rFonts w:ascii="Times New Roman" w:hAnsi="Times New Roman"/>
          <w:bCs/>
          <w:color w:val="000000" w:themeColor="text1"/>
          <w:sz w:val="24"/>
          <w:szCs w:val="24"/>
        </w:rPr>
        <w:t xml:space="preserve">.001), although not strong, between the two scores, again providing relatively weak albeit reasonable evidence for convergent validity. </w:t>
      </w:r>
      <w:r w:rsidRPr="0032506F">
        <w:rPr>
          <w:rFonts w:ascii="Times New Roman" w:hAnsi="Times New Roman"/>
          <w:color w:val="000000" w:themeColor="text1"/>
          <w:sz w:val="24"/>
          <w:szCs w:val="24"/>
        </w:rPr>
        <w:t>One potential reason for the</w:t>
      </w:r>
      <w:r w:rsidR="00C73F1B" w:rsidRPr="0032506F">
        <w:rPr>
          <w:rFonts w:ascii="Times New Roman" w:hAnsi="Times New Roman"/>
          <w:color w:val="000000" w:themeColor="text1"/>
          <w:sz w:val="24"/>
          <w:szCs w:val="24"/>
        </w:rPr>
        <w:t>se</w:t>
      </w:r>
      <w:r w:rsidRPr="0032506F">
        <w:rPr>
          <w:rFonts w:ascii="Times New Roman" w:hAnsi="Times New Roman"/>
          <w:color w:val="000000" w:themeColor="text1"/>
          <w:sz w:val="24"/>
          <w:szCs w:val="24"/>
        </w:rPr>
        <w:t xml:space="preserve"> weak correlations is that although Reeve’s (2013) engagement items were modified in wording to fit the online context, they were originally intended for traditional face-to-face classrooms, and they might not have worked as effectively even when modified to online learning environments. Another potential reason is that Reeve’s (2013) student engagement items are quite general in wording and item content (see </w:t>
      </w:r>
      <w:hyperlink w:anchor="_Appendix_I_Engagement" w:history="1">
        <w:r w:rsidRPr="0032506F">
          <w:rPr>
            <w:rStyle w:val="Hyperlink"/>
            <w:rFonts w:ascii="Times New Roman" w:hAnsi="Times New Roman"/>
            <w:sz w:val="24"/>
            <w:szCs w:val="24"/>
          </w:rPr>
          <w:t xml:space="preserve">Appendix </w:t>
        </w:r>
        <w:r w:rsidR="00FD4983">
          <w:rPr>
            <w:rStyle w:val="Hyperlink"/>
            <w:rFonts w:ascii="Times New Roman" w:hAnsi="Times New Roman"/>
            <w:sz w:val="24"/>
            <w:szCs w:val="24"/>
          </w:rPr>
          <w:t>I</w:t>
        </w:r>
      </w:hyperlink>
      <w:r w:rsidRPr="0032506F">
        <w:rPr>
          <w:rFonts w:ascii="Times New Roman" w:hAnsi="Times New Roman"/>
          <w:color w:val="000000" w:themeColor="text1"/>
          <w:sz w:val="24"/>
          <w:szCs w:val="24"/>
        </w:rPr>
        <w:t xml:space="preserve">), </w:t>
      </w:r>
      <w:r w:rsidRPr="0032506F">
        <w:rPr>
          <w:rFonts w:ascii="Times New Roman" w:hAnsi="Times New Roman"/>
          <w:color w:val="000000" w:themeColor="text1"/>
          <w:sz w:val="24"/>
          <w:szCs w:val="24"/>
        </w:rPr>
        <w:lastRenderedPageBreak/>
        <w:t>whereas the items of the OEHE subscales are much more specific in terms of behavior, emotion, and cognition regarding specific components of online courses such as discussion board activities and student-student and student-instructor interactions. Due to the highly specific wording and content of the OEHE items relative to Reeve’s (2013) more general items, strong correlations might not have been obtained for convergent validity, although both measures theoretically converge on Fredricks et al.</w:t>
      </w:r>
      <w:r w:rsidR="003630ED" w:rsidRPr="0032506F">
        <w:rPr>
          <w:rFonts w:ascii="Times New Roman" w:hAnsi="Times New Roman"/>
          <w:color w:val="000000" w:themeColor="text1"/>
          <w:sz w:val="24"/>
          <w:szCs w:val="24"/>
        </w:rPr>
        <w:t>’s (</w:t>
      </w:r>
      <w:r w:rsidRPr="0032506F">
        <w:rPr>
          <w:rFonts w:ascii="Times New Roman" w:hAnsi="Times New Roman"/>
          <w:color w:val="000000" w:themeColor="text1"/>
          <w:sz w:val="24"/>
          <w:szCs w:val="24"/>
        </w:rPr>
        <w:t>2004)</w:t>
      </w:r>
      <w:r w:rsidR="003E748C" w:rsidRPr="0032506F">
        <w:rPr>
          <w:rFonts w:ascii="Times New Roman" w:hAnsi="Times New Roman"/>
          <w:color w:val="000000" w:themeColor="text1"/>
          <w:sz w:val="24"/>
          <w:szCs w:val="24"/>
        </w:rPr>
        <w:t xml:space="preserve"> three core dimensions of engagement. </w:t>
      </w:r>
      <w:r w:rsidRPr="0032506F">
        <w:rPr>
          <w:rFonts w:ascii="Times New Roman" w:hAnsi="Times New Roman"/>
          <w:color w:val="000000" w:themeColor="text1"/>
          <w:sz w:val="24"/>
          <w:szCs w:val="24"/>
        </w:rPr>
        <w:t xml:space="preserve"> </w:t>
      </w:r>
    </w:p>
    <w:p w14:paraId="230618A3" w14:textId="6717E5FA" w:rsidR="007E1C2B" w:rsidRPr="0032506F" w:rsidRDefault="007E1C2B" w:rsidP="007E1C2B">
      <w:pPr>
        <w:keepNext/>
        <w:keepLines/>
        <w:spacing w:after="0" w:line="480" w:lineRule="auto"/>
        <w:outlineLvl w:val="2"/>
        <w:rPr>
          <w:rFonts w:ascii="Times New Roman" w:eastAsia="Calibri" w:hAnsi="Times New Roman" w:cs="Times New Roman"/>
          <w:b/>
          <w:bCs/>
          <w:i/>
          <w:iCs/>
          <w:sz w:val="24"/>
          <w:szCs w:val="24"/>
        </w:rPr>
      </w:pPr>
      <w:bookmarkStart w:id="127" w:name="_Toc102489465"/>
      <w:r w:rsidRPr="0032506F">
        <w:rPr>
          <w:rFonts w:ascii="Times New Roman" w:eastAsia="Calibri" w:hAnsi="Times New Roman" w:cs="Times New Roman"/>
          <w:b/>
          <w:bCs/>
          <w:i/>
          <w:iCs/>
          <w:sz w:val="24"/>
          <w:szCs w:val="24"/>
        </w:rPr>
        <w:t>Pearson Bivariate Correlations for Discriminant Validity</w:t>
      </w:r>
      <w:bookmarkEnd w:id="127"/>
      <w:r w:rsidRPr="0032506F">
        <w:rPr>
          <w:rFonts w:ascii="Times New Roman" w:eastAsia="Calibri" w:hAnsi="Times New Roman" w:cs="Times New Roman"/>
          <w:b/>
          <w:bCs/>
          <w:i/>
          <w:iCs/>
          <w:sz w:val="24"/>
          <w:szCs w:val="24"/>
        </w:rPr>
        <w:t xml:space="preserve"> </w:t>
      </w:r>
    </w:p>
    <w:p w14:paraId="3BEBF6AA" w14:textId="05225F18" w:rsidR="007E1C2B" w:rsidRPr="0032506F" w:rsidRDefault="007E1C2B" w:rsidP="007E1C2B">
      <w:pPr>
        <w:spacing w:after="0" w:line="480" w:lineRule="auto"/>
        <w:rPr>
          <w:rFonts w:ascii="Times New Roman" w:hAnsi="Times New Roman"/>
          <w:bCs/>
          <w:color w:val="000000" w:themeColor="text1"/>
          <w:sz w:val="24"/>
          <w:szCs w:val="24"/>
        </w:rPr>
      </w:pPr>
      <w:r w:rsidRPr="0032506F">
        <w:tab/>
      </w:r>
      <w:r w:rsidRPr="0032506F">
        <w:rPr>
          <w:rFonts w:ascii="Times New Roman" w:hAnsi="Times New Roman"/>
          <w:bCs/>
          <w:color w:val="000000" w:themeColor="text1"/>
          <w:sz w:val="24"/>
          <w:szCs w:val="24"/>
        </w:rPr>
        <w:t>Pearson bivariate correlations between the mean scores of the OEHE subscales and the mean score of a seven-item fixed ability subset of the 32-item version of the Epistemic Beliefs Inventory (EBI)</w:t>
      </w:r>
      <w:r w:rsidRPr="0032506F">
        <w:rPr>
          <w:rFonts w:ascii="Times New Roman" w:hAnsi="Times New Roman"/>
          <w:color w:val="000000" w:themeColor="text1"/>
          <w:sz w:val="24"/>
          <w:szCs w:val="24"/>
        </w:rPr>
        <w:t xml:space="preserve"> (</w:t>
      </w:r>
      <w:r w:rsidRPr="0032506F">
        <w:rPr>
          <w:rFonts w:ascii="Times New Roman" w:hAnsi="Times New Roman"/>
          <w:bCs/>
          <w:color w:val="000000" w:themeColor="text1"/>
          <w:sz w:val="24"/>
          <w:szCs w:val="24"/>
        </w:rPr>
        <w:t xml:space="preserve">DeBacker et al., 2008; Schraw et al., 2002) (see </w:t>
      </w:r>
      <w:hyperlink w:anchor="_Appendix_O_Fixed" w:history="1">
        <w:r w:rsidRPr="0032506F">
          <w:rPr>
            <w:rStyle w:val="Hyperlink"/>
            <w:rFonts w:ascii="Times New Roman" w:hAnsi="Times New Roman"/>
            <w:bCs/>
            <w:sz w:val="24"/>
            <w:szCs w:val="24"/>
          </w:rPr>
          <w:t xml:space="preserve">Appendix </w:t>
        </w:r>
        <w:r w:rsidR="0033218A">
          <w:rPr>
            <w:rStyle w:val="Hyperlink"/>
            <w:rFonts w:ascii="Times New Roman" w:hAnsi="Times New Roman"/>
            <w:bCs/>
            <w:sz w:val="24"/>
            <w:szCs w:val="24"/>
          </w:rPr>
          <w:t>J</w:t>
        </w:r>
      </w:hyperlink>
      <w:r w:rsidRPr="0032506F">
        <w:rPr>
          <w:rFonts w:ascii="Times New Roman" w:hAnsi="Times New Roman"/>
          <w:bCs/>
          <w:color w:val="000000" w:themeColor="text1"/>
          <w:sz w:val="24"/>
          <w:szCs w:val="24"/>
        </w:rPr>
        <w:t>)</w:t>
      </w:r>
      <w:r w:rsidR="00055E7D" w:rsidRPr="0032506F">
        <w:rPr>
          <w:rFonts w:ascii="Times New Roman" w:hAnsi="Times New Roman"/>
          <w:bCs/>
          <w:color w:val="000000" w:themeColor="text1"/>
          <w:sz w:val="24"/>
          <w:szCs w:val="24"/>
        </w:rPr>
        <w:t xml:space="preserve"> were examined</w:t>
      </w:r>
      <w:r w:rsidRPr="0032506F">
        <w:rPr>
          <w:rFonts w:ascii="Times New Roman" w:hAnsi="Times New Roman"/>
          <w:bCs/>
          <w:color w:val="000000" w:themeColor="text1"/>
          <w:sz w:val="24"/>
          <w:szCs w:val="24"/>
        </w:rPr>
        <w:t xml:space="preserve">. For discriminant validity evidence, </w:t>
      </w:r>
      <w:r w:rsidR="00055E7D" w:rsidRPr="0032506F">
        <w:rPr>
          <w:rFonts w:ascii="Times New Roman" w:hAnsi="Times New Roman"/>
          <w:bCs/>
          <w:color w:val="000000" w:themeColor="text1"/>
          <w:sz w:val="24"/>
          <w:szCs w:val="24"/>
        </w:rPr>
        <w:t xml:space="preserve">researchers look for </w:t>
      </w:r>
      <w:r w:rsidRPr="0032506F">
        <w:rPr>
          <w:rFonts w:ascii="Times New Roman" w:hAnsi="Times New Roman"/>
          <w:bCs/>
          <w:color w:val="000000" w:themeColor="text1"/>
          <w:sz w:val="24"/>
          <w:szCs w:val="24"/>
        </w:rPr>
        <w:t>very weak to non-existent correlations between the two measures intended to measure totally different constructs, namely engagement and fixed ability mindset</w:t>
      </w:r>
      <w:r w:rsidR="002C102C" w:rsidRPr="0032506F">
        <w:rPr>
          <w:rFonts w:ascii="Times New Roman" w:hAnsi="Times New Roman"/>
          <w:bCs/>
          <w:color w:val="000000" w:themeColor="text1"/>
          <w:sz w:val="24"/>
          <w:szCs w:val="24"/>
        </w:rPr>
        <w:t xml:space="preserve"> in this study</w:t>
      </w:r>
      <w:r w:rsidRPr="0032506F">
        <w:rPr>
          <w:rFonts w:ascii="Times New Roman" w:hAnsi="Times New Roman"/>
          <w:bCs/>
          <w:color w:val="000000" w:themeColor="text1"/>
          <w:sz w:val="24"/>
          <w:szCs w:val="24"/>
        </w:rPr>
        <w:t xml:space="preserve">. </w:t>
      </w:r>
      <w:hyperlink w:anchor="Table47" w:history="1">
        <w:r w:rsidRPr="0032506F">
          <w:rPr>
            <w:rStyle w:val="Hyperlink"/>
            <w:rFonts w:ascii="Times New Roman" w:hAnsi="Times New Roman"/>
            <w:bCs/>
            <w:sz w:val="24"/>
            <w:szCs w:val="24"/>
          </w:rPr>
          <w:t>Table 4.</w:t>
        </w:r>
        <w:r w:rsidR="00042485">
          <w:rPr>
            <w:rStyle w:val="Hyperlink"/>
            <w:rFonts w:ascii="Times New Roman" w:hAnsi="Times New Roman"/>
            <w:bCs/>
            <w:sz w:val="24"/>
            <w:szCs w:val="24"/>
          </w:rPr>
          <w:t>7</w:t>
        </w:r>
      </w:hyperlink>
      <w:r w:rsidRPr="0032506F">
        <w:rPr>
          <w:rFonts w:ascii="Times New Roman" w:hAnsi="Times New Roman"/>
          <w:bCs/>
          <w:color w:val="000000" w:themeColor="text1"/>
          <w:sz w:val="24"/>
          <w:szCs w:val="24"/>
        </w:rPr>
        <w:t xml:space="preserve"> presents the Pearson bivariate correlations between each OEHE subscale and the EBI Fixed Ability (FA) measure. </w:t>
      </w:r>
    </w:p>
    <w:p w14:paraId="66629C3E" w14:textId="519495E6" w:rsidR="007E1C2B" w:rsidRPr="0032506F" w:rsidRDefault="007E1C2B" w:rsidP="007E1C2B">
      <w:pPr>
        <w:spacing w:after="0" w:line="480" w:lineRule="auto"/>
        <w:rPr>
          <w:rFonts w:ascii="Times New Roman" w:eastAsia="SimSun" w:hAnsi="Times New Roman" w:cs="Times New Roman"/>
          <w:b/>
          <w:bCs/>
          <w:sz w:val="24"/>
          <w:szCs w:val="24"/>
        </w:rPr>
      </w:pPr>
      <w:bookmarkStart w:id="128" w:name="Table426"/>
      <w:bookmarkStart w:id="129" w:name="Table47"/>
      <w:bookmarkStart w:id="130" w:name="_Hlk92370025"/>
      <w:r w:rsidRPr="0032506F">
        <w:rPr>
          <w:rFonts w:ascii="Times New Roman" w:eastAsia="SimSun" w:hAnsi="Times New Roman" w:cs="Times New Roman"/>
          <w:b/>
          <w:bCs/>
          <w:sz w:val="24"/>
          <w:szCs w:val="24"/>
        </w:rPr>
        <w:t>Table 4.</w:t>
      </w:r>
      <w:r w:rsidR="00042485">
        <w:rPr>
          <w:rFonts w:ascii="Times New Roman" w:eastAsia="SimSun" w:hAnsi="Times New Roman" w:cs="Times New Roman"/>
          <w:b/>
          <w:bCs/>
          <w:sz w:val="24"/>
          <w:szCs w:val="24"/>
        </w:rPr>
        <w:t>7</w:t>
      </w:r>
    </w:p>
    <w:bookmarkEnd w:id="128"/>
    <w:bookmarkEnd w:id="129"/>
    <w:p w14:paraId="7010D11C"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Pearson Bivariate Correlations between OEHE Subscales and EBI-FA Measure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1"/>
        <w:gridCol w:w="7179"/>
      </w:tblGrid>
      <w:tr w:rsidR="004D4EDD" w:rsidRPr="0032506F" w14:paraId="71E372DF" w14:textId="77777777" w:rsidTr="004D4EDD">
        <w:trPr>
          <w:trHeight w:val="354"/>
        </w:trPr>
        <w:tc>
          <w:tcPr>
            <w:tcW w:w="1641" w:type="dxa"/>
            <w:tcBorders>
              <w:top w:val="single" w:sz="8" w:space="0" w:color="auto"/>
              <w:bottom w:val="single" w:sz="8" w:space="0" w:color="auto"/>
            </w:tcBorders>
          </w:tcPr>
          <w:p w14:paraId="5033102A" w14:textId="6CCDB121" w:rsidR="004D4EDD" w:rsidRPr="0032506F" w:rsidRDefault="004D4EDD" w:rsidP="007E1C2B">
            <w:pPr>
              <w:jc w:val="both"/>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 xml:space="preserve">OEHE </w:t>
            </w:r>
            <w:r w:rsidR="00945698" w:rsidRPr="0032506F">
              <w:rPr>
                <w:rFonts w:ascii="Times New Roman" w:eastAsia="SimSun" w:hAnsi="Times New Roman" w:cs="Times New Roman"/>
                <w:b/>
                <w:bCs/>
                <w:sz w:val="24"/>
                <w:szCs w:val="24"/>
              </w:rPr>
              <w:t>Dimension</w:t>
            </w:r>
          </w:p>
        </w:tc>
        <w:tc>
          <w:tcPr>
            <w:tcW w:w="7179" w:type="dxa"/>
            <w:tcBorders>
              <w:top w:val="single" w:sz="8" w:space="0" w:color="auto"/>
              <w:bottom w:val="single" w:sz="8" w:space="0" w:color="auto"/>
            </w:tcBorders>
          </w:tcPr>
          <w:p w14:paraId="0625C42C" w14:textId="77777777" w:rsidR="004D4EDD" w:rsidRPr="0032506F" w:rsidRDefault="004D4EDD"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EBI-FA</w:t>
            </w:r>
          </w:p>
        </w:tc>
      </w:tr>
      <w:tr w:rsidR="004D4EDD" w:rsidRPr="0032506F" w14:paraId="6F5EA774" w14:textId="77777777" w:rsidTr="004D4EDD">
        <w:trPr>
          <w:trHeight w:val="1240"/>
        </w:trPr>
        <w:tc>
          <w:tcPr>
            <w:tcW w:w="1641" w:type="dxa"/>
            <w:tcBorders>
              <w:top w:val="single" w:sz="8" w:space="0" w:color="auto"/>
              <w:bottom w:val="single" w:sz="4" w:space="0" w:color="auto"/>
            </w:tcBorders>
          </w:tcPr>
          <w:p w14:paraId="3DBAB944" w14:textId="77777777" w:rsidR="004D4EDD" w:rsidRPr="0032506F" w:rsidRDefault="004D4EDD" w:rsidP="007E1C2B">
            <w:pPr>
              <w:rPr>
                <w:rFonts w:ascii="Times New Roman" w:eastAsia="SimSun" w:hAnsi="Times New Roman" w:cs="Times New Roman"/>
                <w:sz w:val="24"/>
                <w:szCs w:val="24"/>
              </w:rPr>
            </w:pPr>
          </w:p>
          <w:p w14:paraId="3F62410B" w14:textId="77777777" w:rsidR="004D4EDD" w:rsidRPr="0032506F" w:rsidRDefault="004D4EDD"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OBE</w:t>
            </w:r>
          </w:p>
          <w:p w14:paraId="37660695" w14:textId="77777777" w:rsidR="004D4EDD" w:rsidRPr="0032506F" w:rsidRDefault="004D4EDD"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OEE</w:t>
            </w:r>
          </w:p>
          <w:p w14:paraId="7A44555E" w14:textId="0AEAA351" w:rsidR="004D4EDD" w:rsidRPr="0032506F" w:rsidRDefault="004D4EDD"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OCE</w:t>
            </w:r>
          </w:p>
        </w:tc>
        <w:tc>
          <w:tcPr>
            <w:tcW w:w="7179" w:type="dxa"/>
            <w:tcBorders>
              <w:top w:val="single" w:sz="8" w:space="0" w:color="auto"/>
              <w:bottom w:val="single" w:sz="4" w:space="0" w:color="auto"/>
            </w:tcBorders>
          </w:tcPr>
          <w:p w14:paraId="6EBB8C0C" w14:textId="77777777" w:rsidR="004D4EDD" w:rsidRPr="0032506F" w:rsidRDefault="004D4EDD" w:rsidP="007E1C2B">
            <w:pPr>
              <w:jc w:val="center"/>
              <w:rPr>
                <w:rFonts w:ascii="Times New Roman" w:eastAsia="SimSun" w:hAnsi="Times New Roman" w:cs="Times New Roman"/>
                <w:sz w:val="24"/>
                <w:szCs w:val="24"/>
              </w:rPr>
            </w:pPr>
          </w:p>
          <w:p w14:paraId="2BF88D97" w14:textId="77777777" w:rsidR="004D4EDD" w:rsidRPr="0032506F" w:rsidRDefault="004D4EDD"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.051</w:t>
            </w:r>
          </w:p>
          <w:p w14:paraId="795C9C9D" w14:textId="77777777" w:rsidR="004D4EDD" w:rsidRPr="0032506F" w:rsidRDefault="004D4EDD"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-.093</w:t>
            </w:r>
          </w:p>
          <w:p w14:paraId="70F12D2A" w14:textId="77777777" w:rsidR="004D4EDD" w:rsidRPr="0032506F" w:rsidRDefault="004D4EDD"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-.119</w:t>
            </w:r>
          </w:p>
        </w:tc>
      </w:tr>
    </w:tbl>
    <w:p w14:paraId="1D4B0F72"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i/>
          <w:sz w:val="24"/>
          <w:szCs w:val="24"/>
        </w:rPr>
        <w:t xml:space="preserve">Note: </w:t>
      </w:r>
      <w:r w:rsidRPr="0032506F">
        <w:rPr>
          <w:rFonts w:ascii="Times New Roman" w:hAnsi="Times New Roman" w:cs="Times New Roman"/>
          <w:sz w:val="24"/>
          <w:szCs w:val="24"/>
        </w:rPr>
        <w:t>OBE=OEHE’s online behavioral engagement, OEE=OEHE’s online emotional engagement, OCE=OEHE’s online cognitive engagement, EBI-FA=Epistemic beliefs fixed ability mindset</w:t>
      </w:r>
    </w:p>
    <w:p w14:paraId="639C3718" w14:textId="77777777" w:rsidR="007E1C2B" w:rsidRPr="0032506F" w:rsidRDefault="007E1C2B" w:rsidP="007E1C2B">
      <w:pPr>
        <w:spacing w:after="0" w:line="240" w:lineRule="auto"/>
        <w:rPr>
          <w:rFonts w:ascii="Times New Roman" w:hAnsi="Times New Roman"/>
          <w:bCs/>
          <w:color w:val="000000" w:themeColor="text1"/>
          <w:sz w:val="24"/>
          <w:szCs w:val="24"/>
        </w:rPr>
      </w:pPr>
      <w:r w:rsidRPr="0032506F">
        <w:rPr>
          <w:rFonts w:ascii="Times New Roman" w:hAnsi="Times New Roman" w:cs="Times New Roman"/>
          <w:sz w:val="24"/>
          <w:szCs w:val="24"/>
        </w:rPr>
        <w:t xml:space="preserve">**Correlation is significant at the 0.01 level (2-tailed). Listwise </w:t>
      </w:r>
      <w:r w:rsidRPr="0032506F">
        <w:rPr>
          <w:rFonts w:ascii="Times New Roman" w:hAnsi="Times New Roman" w:cs="Times New Roman"/>
          <w:i/>
          <w:iCs/>
          <w:sz w:val="24"/>
          <w:szCs w:val="24"/>
        </w:rPr>
        <w:t>N</w:t>
      </w:r>
      <w:r w:rsidRPr="0032506F">
        <w:rPr>
          <w:rFonts w:ascii="Times New Roman" w:hAnsi="Times New Roman" w:cs="Times New Roman"/>
          <w:sz w:val="24"/>
          <w:szCs w:val="24"/>
        </w:rPr>
        <w:t>=234</w:t>
      </w:r>
    </w:p>
    <w:bookmarkEnd w:id="130"/>
    <w:p w14:paraId="7AFA73C6" w14:textId="77777777" w:rsidR="007E1C2B" w:rsidRPr="0032506F" w:rsidRDefault="007E1C2B" w:rsidP="007E1C2B">
      <w:pPr>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r>
    </w:p>
    <w:p w14:paraId="75386DE2" w14:textId="7FF9CEDF" w:rsidR="007E1C2B" w:rsidRPr="0032506F" w:rsidRDefault="007E1C2B" w:rsidP="007E1C2B">
      <w:pPr>
        <w:spacing w:after="0" w:line="480" w:lineRule="auto"/>
      </w:pPr>
      <w:r w:rsidRPr="0032506F">
        <w:rPr>
          <w:rFonts w:ascii="Times New Roman" w:hAnsi="Times New Roman"/>
          <w:color w:val="000000" w:themeColor="text1"/>
          <w:sz w:val="24"/>
          <w:szCs w:val="24"/>
        </w:rPr>
        <w:lastRenderedPageBreak/>
        <w:tab/>
        <w:t xml:space="preserve">As shown in </w:t>
      </w:r>
      <w:hyperlink w:anchor="Table47" w:history="1">
        <w:r w:rsidRPr="00042485">
          <w:rPr>
            <w:rStyle w:val="Hyperlink"/>
            <w:rFonts w:ascii="Times New Roman" w:hAnsi="Times New Roman"/>
            <w:sz w:val="24"/>
            <w:szCs w:val="24"/>
          </w:rPr>
          <w:t>Table 4.</w:t>
        </w:r>
        <w:r w:rsidR="00042485" w:rsidRPr="00042485">
          <w:rPr>
            <w:rStyle w:val="Hyperlink"/>
            <w:rFonts w:ascii="Times New Roman" w:hAnsi="Times New Roman"/>
            <w:sz w:val="24"/>
            <w:szCs w:val="24"/>
          </w:rPr>
          <w:t>7</w:t>
        </w:r>
      </w:hyperlink>
      <w:r w:rsidRPr="0032506F">
        <w:rPr>
          <w:rFonts w:ascii="Times New Roman" w:hAnsi="Times New Roman"/>
          <w:color w:val="000000" w:themeColor="text1"/>
          <w:sz w:val="24"/>
          <w:szCs w:val="24"/>
        </w:rPr>
        <w:t xml:space="preserve">, the Pearson product-moment correlation coefficients between the three subscales of the OEHE measure and the EBI-FA were extremely weak and non-significant, providing strong evidence for discriminant validity of all three OEHE subscales. </w:t>
      </w:r>
      <w:r w:rsidR="005E5F59" w:rsidRPr="0032506F">
        <w:rPr>
          <w:rFonts w:ascii="Times New Roman" w:hAnsi="Times New Roman"/>
          <w:color w:val="000000" w:themeColor="text1"/>
          <w:sz w:val="24"/>
          <w:szCs w:val="24"/>
        </w:rPr>
        <w:t>T</w:t>
      </w:r>
      <w:r w:rsidRPr="0032506F">
        <w:rPr>
          <w:rFonts w:ascii="Times New Roman" w:hAnsi="Times New Roman"/>
          <w:bCs/>
          <w:color w:val="000000" w:themeColor="text1"/>
          <w:sz w:val="24"/>
          <w:szCs w:val="24"/>
        </w:rPr>
        <w:t>he Pearson correlation between the overall mean score of the OEHE instrument and the mean score of EBI</w:t>
      </w:r>
      <w:r w:rsidR="005E5F59" w:rsidRPr="0032506F">
        <w:rPr>
          <w:rFonts w:ascii="Times New Roman" w:hAnsi="Times New Roman"/>
          <w:bCs/>
          <w:color w:val="000000" w:themeColor="text1"/>
          <w:sz w:val="24"/>
          <w:szCs w:val="24"/>
        </w:rPr>
        <w:t xml:space="preserve"> was examined</w:t>
      </w:r>
      <w:r w:rsidRPr="0032506F">
        <w:rPr>
          <w:rFonts w:ascii="Times New Roman" w:hAnsi="Times New Roman"/>
          <w:bCs/>
          <w:color w:val="000000" w:themeColor="text1"/>
          <w:sz w:val="24"/>
          <w:szCs w:val="24"/>
        </w:rPr>
        <w:t xml:space="preserve"> and an extremely weak and non-significant correlation</w:t>
      </w:r>
      <w:r w:rsidR="00F375D2" w:rsidRPr="0032506F">
        <w:rPr>
          <w:rFonts w:ascii="Times New Roman" w:hAnsi="Times New Roman"/>
          <w:bCs/>
          <w:color w:val="000000" w:themeColor="text1"/>
          <w:sz w:val="24"/>
          <w:szCs w:val="24"/>
        </w:rPr>
        <w:t xml:space="preserve"> was still found</w:t>
      </w:r>
      <w:r w:rsidRPr="0032506F">
        <w:rPr>
          <w:rFonts w:ascii="Times New Roman" w:hAnsi="Times New Roman"/>
          <w:bCs/>
          <w:color w:val="000000" w:themeColor="text1"/>
          <w:sz w:val="24"/>
          <w:szCs w:val="24"/>
        </w:rPr>
        <w:t xml:space="preserve"> between the two (r= -.082,</w:t>
      </w:r>
      <w:r w:rsidRPr="0032506F">
        <w:rPr>
          <w:rFonts w:ascii="Times New Roman" w:hAnsi="Times New Roman"/>
          <w:bCs/>
          <w:i/>
          <w:color w:val="000000" w:themeColor="text1"/>
          <w:sz w:val="24"/>
          <w:szCs w:val="24"/>
        </w:rPr>
        <w:t xml:space="preserve"> p=.</w:t>
      </w:r>
      <w:r w:rsidRPr="0032506F">
        <w:rPr>
          <w:rFonts w:ascii="Times New Roman" w:hAnsi="Times New Roman"/>
          <w:bCs/>
          <w:color w:val="000000" w:themeColor="text1"/>
          <w:sz w:val="24"/>
          <w:szCs w:val="24"/>
        </w:rPr>
        <w:t xml:space="preserve">211), similarly providing strong evidence for discriminant validity of the OEHE instrument.  </w:t>
      </w:r>
    </w:p>
    <w:p w14:paraId="6DAC4854" w14:textId="78A0FAC0" w:rsidR="007E1C2B" w:rsidRPr="0032506F" w:rsidRDefault="007E1C2B" w:rsidP="00A60BA6">
      <w:pPr>
        <w:pStyle w:val="Heading3"/>
      </w:pPr>
      <w:bookmarkStart w:id="131" w:name="_Toc102489466"/>
      <w:r w:rsidRPr="0032506F">
        <w:t>Pearson Bivariate Correlations for Criterion-Related Validity</w:t>
      </w:r>
      <w:bookmarkEnd w:id="131"/>
    </w:p>
    <w:p w14:paraId="055FBC40" w14:textId="64C274FF" w:rsidR="007E1C2B" w:rsidRPr="0032506F" w:rsidRDefault="007E1C2B" w:rsidP="007E1C2B">
      <w:pPr>
        <w:tabs>
          <w:tab w:val="left" w:pos="720"/>
          <w:tab w:val="left" w:pos="2826"/>
        </w:tabs>
        <w:spacing w:after="0" w:line="480" w:lineRule="auto"/>
        <w:contextualSpacing/>
        <w:rPr>
          <w:rFonts w:ascii="Times New Roman" w:hAnsi="Times New Roman"/>
          <w:bCs/>
          <w:color w:val="000000" w:themeColor="text1"/>
          <w:sz w:val="24"/>
          <w:szCs w:val="24"/>
        </w:rPr>
      </w:pPr>
      <w:r w:rsidRPr="0032506F">
        <w:tab/>
      </w:r>
      <w:r w:rsidRPr="0032506F">
        <w:rPr>
          <w:rFonts w:ascii="Times New Roman" w:hAnsi="Times New Roman"/>
          <w:bCs/>
          <w:color w:val="000000" w:themeColor="text1"/>
          <w:sz w:val="24"/>
          <w:szCs w:val="24"/>
        </w:rPr>
        <w:t xml:space="preserve">For this purpose, Pearson product-moment correlations between the mean score of each subscale of the OEHE and the mean score of an online-modified version of the six-item task value subscale of the Motivated Strategies for Learning Questionnaire Survey (MSLQ) (see </w:t>
      </w:r>
      <w:hyperlink w:anchor="_Appendix_P_ask" w:history="1">
        <w:r w:rsidRPr="0032506F">
          <w:rPr>
            <w:rStyle w:val="Hyperlink"/>
            <w:rFonts w:ascii="Times New Roman" w:hAnsi="Times New Roman"/>
            <w:bCs/>
            <w:sz w:val="24"/>
            <w:szCs w:val="24"/>
          </w:rPr>
          <w:t xml:space="preserve">Appendix </w:t>
        </w:r>
        <w:r w:rsidR="0033218A">
          <w:rPr>
            <w:rStyle w:val="Hyperlink"/>
            <w:rFonts w:ascii="Times New Roman" w:hAnsi="Times New Roman"/>
            <w:bCs/>
            <w:sz w:val="24"/>
            <w:szCs w:val="24"/>
          </w:rPr>
          <w:t>K</w:t>
        </w:r>
      </w:hyperlink>
      <w:r w:rsidRPr="0032506F">
        <w:rPr>
          <w:rFonts w:ascii="Times New Roman" w:hAnsi="Times New Roman"/>
          <w:bCs/>
          <w:color w:val="000000" w:themeColor="text1"/>
          <w:sz w:val="24"/>
          <w:szCs w:val="24"/>
        </w:rPr>
        <w:t>)</w:t>
      </w:r>
      <w:r w:rsidR="00055E7D" w:rsidRPr="0032506F">
        <w:rPr>
          <w:rFonts w:ascii="Times New Roman" w:hAnsi="Times New Roman"/>
          <w:bCs/>
          <w:color w:val="000000" w:themeColor="text1"/>
          <w:sz w:val="24"/>
          <w:szCs w:val="24"/>
        </w:rPr>
        <w:t xml:space="preserve"> were examined</w:t>
      </w:r>
      <w:r w:rsidRPr="0032506F">
        <w:rPr>
          <w:rFonts w:ascii="Times New Roman" w:hAnsi="Times New Roman"/>
          <w:bCs/>
          <w:color w:val="000000" w:themeColor="text1"/>
          <w:sz w:val="24"/>
          <w:szCs w:val="24"/>
        </w:rPr>
        <w:t xml:space="preserve">. </w:t>
      </w:r>
      <w:hyperlink w:anchor="Table48" w:history="1">
        <w:r w:rsidRPr="0032506F">
          <w:rPr>
            <w:rFonts w:ascii="Times New Roman" w:hAnsi="Times New Roman"/>
            <w:bCs/>
            <w:color w:val="0563C1" w:themeColor="hyperlink"/>
            <w:sz w:val="24"/>
            <w:szCs w:val="24"/>
            <w:u w:val="single"/>
          </w:rPr>
          <w:t>Table 4.</w:t>
        </w:r>
        <w:r w:rsidR="00042485">
          <w:rPr>
            <w:rFonts w:ascii="Times New Roman" w:hAnsi="Times New Roman"/>
            <w:bCs/>
            <w:color w:val="0563C1" w:themeColor="hyperlink"/>
            <w:sz w:val="24"/>
            <w:szCs w:val="24"/>
            <w:u w:val="single"/>
          </w:rPr>
          <w:t>8</w:t>
        </w:r>
      </w:hyperlink>
      <w:r w:rsidRPr="0032506F">
        <w:rPr>
          <w:rFonts w:ascii="Times New Roman" w:hAnsi="Times New Roman"/>
          <w:bCs/>
          <w:color w:val="000000" w:themeColor="text1"/>
          <w:sz w:val="24"/>
          <w:szCs w:val="24"/>
        </w:rPr>
        <w:t xml:space="preserve"> presents the Pearson product-moment bivariate correlations between each OEHE subscale and the task value measure. </w:t>
      </w:r>
    </w:p>
    <w:p w14:paraId="44C58EEF" w14:textId="292F54AB" w:rsidR="007E1C2B" w:rsidRPr="0032506F" w:rsidRDefault="007E1C2B" w:rsidP="007E1C2B">
      <w:pPr>
        <w:spacing w:after="0" w:line="480" w:lineRule="auto"/>
        <w:rPr>
          <w:rFonts w:ascii="Times New Roman" w:eastAsia="SimSun" w:hAnsi="Times New Roman" w:cs="Times New Roman"/>
          <w:b/>
          <w:bCs/>
          <w:sz w:val="24"/>
          <w:szCs w:val="24"/>
        </w:rPr>
      </w:pPr>
      <w:bookmarkStart w:id="132" w:name="Table428"/>
      <w:bookmarkStart w:id="133" w:name="Table48"/>
      <w:bookmarkStart w:id="134" w:name="_Hlk92376646"/>
      <w:r w:rsidRPr="0032506F">
        <w:rPr>
          <w:rFonts w:ascii="Times New Roman" w:eastAsia="SimSun" w:hAnsi="Times New Roman" w:cs="Times New Roman"/>
          <w:b/>
          <w:bCs/>
          <w:sz w:val="24"/>
          <w:szCs w:val="24"/>
        </w:rPr>
        <w:t>Table 4.</w:t>
      </w:r>
      <w:r w:rsidR="00042485">
        <w:rPr>
          <w:rFonts w:ascii="Times New Roman" w:eastAsia="SimSun" w:hAnsi="Times New Roman" w:cs="Times New Roman"/>
          <w:b/>
          <w:bCs/>
          <w:sz w:val="24"/>
          <w:szCs w:val="24"/>
        </w:rPr>
        <w:t>8</w:t>
      </w:r>
    </w:p>
    <w:bookmarkEnd w:id="132"/>
    <w:bookmarkEnd w:id="133"/>
    <w:p w14:paraId="6A093CB1"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Pearson Bivariate Correlations between OEHE Subscales and Task Value Measure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7888"/>
      </w:tblGrid>
      <w:tr w:rsidR="00767D3B" w:rsidRPr="0032506F" w14:paraId="204AB0AA" w14:textId="77777777" w:rsidTr="00767D3B">
        <w:tc>
          <w:tcPr>
            <w:tcW w:w="1472" w:type="dxa"/>
            <w:tcBorders>
              <w:top w:val="single" w:sz="8" w:space="0" w:color="auto"/>
              <w:bottom w:val="single" w:sz="8" w:space="0" w:color="auto"/>
            </w:tcBorders>
          </w:tcPr>
          <w:p w14:paraId="7F6A3248" w14:textId="77777777" w:rsidR="00767D3B" w:rsidRPr="0032506F" w:rsidRDefault="00767D3B" w:rsidP="007E1C2B">
            <w:pPr>
              <w:jc w:val="both"/>
              <w:rPr>
                <w:rFonts w:ascii="Times New Roman" w:eastAsia="SimSun" w:hAnsi="Times New Roman" w:cs="Times New Roman"/>
                <w:b/>
                <w:bCs/>
                <w:sz w:val="24"/>
                <w:szCs w:val="24"/>
              </w:rPr>
            </w:pPr>
          </w:p>
        </w:tc>
        <w:tc>
          <w:tcPr>
            <w:tcW w:w="7888" w:type="dxa"/>
            <w:tcBorders>
              <w:top w:val="single" w:sz="8" w:space="0" w:color="auto"/>
              <w:bottom w:val="single" w:sz="8" w:space="0" w:color="auto"/>
            </w:tcBorders>
          </w:tcPr>
          <w:p w14:paraId="73C9D058" w14:textId="77777777" w:rsidR="00767D3B" w:rsidRPr="0032506F" w:rsidRDefault="00767D3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TV</w:t>
            </w:r>
          </w:p>
        </w:tc>
      </w:tr>
      <w:tr w:rsidR="00767D3B" w:rsidRPr="0032506F" w14:paraId="7EEE3191" w14:textId="77777777" w:rsidTr="00767D3B">
        <w:trPr>
          <w:trHeight w:val="970"/>
        </w:trPr>
        <w:tc>
          <w:tcPr>
            <w:tcW w:w="1472" w:type="dxa"/>
            <w:tcBorders>
              <w:top w:val="single" w:sz="8" w:space="0" w:color="auto"/>
              <w:bottom w:val="single" w:sz="4" w:space="0" w:color="auto"/>
            </w:tcBorders>
          </w:tcPr>
          <w:p w14:paraId="6C68246D" w14:textId="77777777" w:rsidR="00767D3B" w:rsidRPr="0032506F" w:rsidRDefault="00767D3B" w:rsidP="007E1C2B">
            <w:pPr>
              <w:rPr>
                <w:rFonts w:ascii="Times New Roman" w:eastAsia="SimSun" w:hAnsi="Times New Roman" w:cs="Times New Roman"/>
                <w:sz w:val="24"/>
                <w:szCs w:val="24"/>
              </w:rPr>
            </w:pPr>
          </w:p>
          <w:p w14:paraId="724A4C0D" w14:textId="77777777" w:rsidR="00767D3B" w:rsidRPr="0032506F" w:rsidRDefault="00767D3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OBE</w:t>
            </w:r>
          </w:p>
          <w:p w14:paraId="275482A3" w14:textId="77777777" w:rsidR="00767D3B" w:rsidRPr="0032506F" w:rsidRDefault="00767D3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OEE</w:t>
            </w:r>
          </w:p>
          <w:p w14:paraId="7024810D" w14:textId="77777777" w:rsidR="00767D3B" w:rsidRPr="0032506F" w:rsidRDefault="00767D3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OCE</w:t>
            </w:r>
          </w:p>
          <w:p w14:paraId="4377C7C2" w14:textId="77777777" w:rsidR="00767D3B" w:rsidRPr="0032506F" w:rsidRDefault="00767D3B" w:rsidP="007E1C2B">
            <w:pPr>
              <w:rPr>
                <w:rFonts w:ascii="Times New Roman" w:eastAsia="SimSun" w:hAnsi="Times New Roman" w:cs="Times New Roman"/>
                <w:sz w:val="24"/>
                <w:szCs w:val="24"/>
              </w:rPr>
            </w:pPr>
          </w:p>
        </w:tc>
        <w:tc>
          <w:tcPr>
            <w:tcW w:w="7888" w:type="dxa"/>
            <w:tcBorders>
              <w:top w:val="single" w:sz="8" w:space="0" w:color="auto"/>
              <w:bottom w:val="single" w:sz="4" w:space="0" w:color="auto"/>
            </w:tcBorders>
          </w:tcPr>
          <w:p w14:paraId="47EE3E07" w14:textId="77777777" w:rsidR="00767D3B" w:rsidRPr="0032506F" w:rsidRDefault="00767D3B" w:rsidP="007E1C2B">
            <w:pPr>
              <w:jc w:val="center"/>
              <w:rPr>
                <w:rFonts w:ascii="Times New Roman" w:eastAsia="SimSun" w:hAnsi="Times New Roman" w:cs="Times New Roman"/>
                <w:sz w:val="24"/>
                <w:szCs w:val="24"/>
              </w:rPr>
            </w:pPr>
          </w:p>
          <w:p w14:paraId="19CE5DA0" w14:textId="77777777" w:rsidR="00767D3B" w:rsidRPr="0032506F" w:rsidRDefault="00767D3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.179**</w:t>
            </w:r>
          </w:p>
          <w:p w14:paraId="1CEA76C1" w14:textId="77777777" w:rsidR="00767D3B" w:rsidRPr="0032506F" w:rsidRDefault="00767D3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.319**</w:t>
            </w:r>
          </w:p>
          <w:p w14:paraId="69DA835B" w14:textId="77777777" w:rsidR="00767D3B" w:rsidRPr="0032506F" w:rsidRDefault="00767D3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.382**</w:t>
            </w:r>
          </w:p>
        </w:tc>
      </w:tr>
    </w:tbl>
    <w:bookmarkEnd w:id="134"/>
    <w:p w14:paraId="12F07D04"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i/>
          <w:sz w:val="24"/>
          <w:szCs w:val="24"/>
        </w:rPr>
        <w:t xml:space="preserve">Note: </w:t>
      </w:r>
      <w:r w:rsidRPr="0032506F">
        <w:rPr>
          <w:rFonts w:ascii="Times New Roman" w:hAnsi="Times New Roman" w:cs="Times New Roman"/>
          <w:sz w:val="24"/>
          <w:szCs w:val="24"/>
        </w:rPr>
        <w:t>OBE=OEHE’s online behavioral engagement, OEE=OEHE’s online emotional engagement, OCE=OEHE’s online cognitive engagement, TV=Task value perception in an online course</w:t>
      </w:r>
    </w:p>
    <w:p w14:paraId="2EF8C750" w14:textId="77777777" w:rsidR="007E1C2B" w:rsidRPr="0032506F" w:rsidRDefault="007E1C2B" w:rsidP="007E1C2B">
      <w:pPr>
        <w:spacing w:after="0" w:line="240" w:lineRule="auto"/>
        <w:rPr>
          <w:rFonts w:ascii="Times New Roman" w:hAnsi="Times New Roman" w:cs="Times New Roman"/>
          <w:sz w:val="24"/>
          <w:szCs w:val="24"/>
        </w:rPr>
      </w:pPr>
      <w:r w:rsidRPr="0032506F">
        <w:rPr>
          <w:rFonts w:ascii="Times New Roman" w:hAnsi="Times New Roman" w:cs="Times New Roman"/>
          <w:sz w:val="24"/>
          <w:szCs w:val="24"/>
        </w:rPr>
        <w:t>**Correlation is significant at the 0.01 level (2-tailed)</w:t>
      </w:r>
    </w:p>
    <w:p w14:paraId="19031F22" w14:textId="77777777" w:rsidR="007E1C2B" w:rsidRPr="0032506F" w:rsidRDefault="007E1C2B" w:rsidP="007E1C2B">
      <w:pPr>
        <w:spacing w:after="0" w:line="240" w:lineRule="auto"/>
        <w:rPr>
          <w:rFonts w:ascii="Times New Roman" w:hAnsi="Times New Roman"/>
          <w:bCs/>
          <w:color w:val="000000" w:themeColor="text1"/>
          <w:sz w:val="24"/>
          <w:szCs w:val="24"/>
        </w:rPr>
      </w:pPr>
      <w:r w:rsidRPr="0032506F">
        <w:rPr>
          <w:rFonts w:ascii="Times New Roman" w:hAnsi="Times New Roman" w:cs="Times New Roman"/>
          <w:sz w:val="24"/>
          <w:szCs w:val="24"/>
        </w:rPr>
        <w:t xml:space="preserve">Listwise </w:t>
      </w:r>
      <w:r w:rsidRPr="0032506F">
        <w:rPr>
          <w:rFonts w:ascii="Times New Roman" w:hAnsi="Times New Roman" w:cs="Times New Roman"/>
          <w:i/>
          <w:sz w:val="24"/>
          <w:szCs w:val="24"/>
        </w:rPr>
        <w:t>N</w:t>
      </w:r>
      <w:r w:rsidRPr="0032506F">
        <w:rPr>
          <w:rFonts w:ascii="Times New Roman" w:hAnsi="Times New Roman" w:cs="Times New Roman"/>
          <w:sz w:val="24"/>
          <w:szCs w:val="24"/>
        </w:rPr>
        <w:t>=234</w:t>
      </w:r>
    </w:p>
    <w:p w14:paraId="27CE1160" w14:textId="77777777" w:rsidR="007E1C2B" w:rsidRPr="0032506F" w:rsidRDefault="007E1C2B" w:rsidP="007E1C2B">
      <w:pPr>
        <w:spacing w:after="0" w:line="480" w:lineRule="auto"/>
        <w:rPr>
          <w:rFonts w:ascii="Times New Roman" w:hAnsi="Times New Roman"/>
          <w:bCs/>
          <w:color w:val="000000" w:themeColor="text1"/>
          <w:sz w:val="24"/>
          <w:szCs w:val="24"/>
        </w:rPr>
      </w:pPr>
    </w:p>
    <w:p w14:paraId="277D684B" w14:textId="7AE3C953" w:rsidR="007E1C2B" w:rsidRPr="0032506F" w:rsidRDefault="007E1C2B" w:rsidP="007E1C2B">
      <w:pPr>
        <w:spacing w:after="0" w:line="480" w:lineRule="auto"/>
        <w:rPr>
          <w:rFonts w:ascii="Times New Roman" w:hAnsi="Times New Roman"/>
          <w:bCs/>
          <w:color w:val="000000" w:themeColor="text1"/>
          <w:sz w:val="24"/>
          <w:szCs w:val="24"/>
        </w:rPr>
      </w:pPr>
      <w:r w:rsidRPr="0032506F">
        <w:rPr>
          <w:rFonts w:ascii="Times New Roman" w:hAnsi="Times New Roman"/>
          <w:bCs/>
          <w:color w:val="000000" w:themeColor="text1"/>
          <w:sz w:val="24"/>
          <w:szCs w:val="24"/>
        </w:rPr>
        <w:tab/>
        <w:t xml:space="preserve">As recommended by DeVellis (2017), some empirical relationship </w:t>
      </w:r>
      <w:r w:rsidR="00055E7D" w:rsidRPr="0032506F">
        <w:rPr>
          <w:rFonts w:ascii="Times New Roman" w:hAnsi="Times New Roman"/>
          <w:bCs/>
          <w:color w:val="000000" w:themeColor="text1"/>
          <w:sz w:val="24"/>
          <w:szCs w:val="24"/>
        </w:rPr>
        <w:t xml:space="preserve">was sought </w:t>
      </w:r>
      <w:r w:rsidRPr="0032506F">
        <w:rPr>
          <w:rFonts w:ascii="Times New Roman" w:hAnsi="Times New Roman"/>
          <w:bCs/>
          <w:color w:val="000000" w:themeColor="text1"/>
          <w:sz w:val="24"/>
          <w:szCs w:val="24"/>
        </w:rPr>
        <w:t xml:space="preserve">between the OEHE </w:t>
      </w:r>
      <w:r w:rsidR="00D927A8" w:rsidRPr="0032506F">
        <w:rPr>
          <w:rFonts w:ascii="Times New Roman" w:hAnsi="Times New Roman"/>
          <w:bCs/>
          <w:color w:val="000000" w:themeColor="text1"/>
          <w:sz w:val="24"/>
          <w:szCs w:val="24"/>
        </w:rPr>
        <w:t>subscales,</w:t>
      </w:r>
      <w:r w:rsidRPr="0032506F">
        <w:rPr>
          <w:rFonts w:ascii="Times New Roman" w:hAnsi="Times New Roman"/>
          <w:bCs/>
          <w:color w:val="000000" w:themeColor="text1"/>
          <w:sz w:val="24"/>
          <w:szCs w:val="24"/>
        </w:rPr>
        <w:t xml:space="preserve"> and the task value measure used as a criterion measure. There was a </w:t>
      </w:r>
      <w:r w:rsidRPr="0032506F">
        <w:rPr>
          <w:rFonts w:ascii="Times New Roman" w:hAnsi="Times New Roman"/>
          <w:bCs/>
          <w:color w:val="000000" w:themeColor="text1"/>
          <w:sz w:val="24"/>
          <w:szCs w:val="24"/>
        </w:rPr>
        <w:lastRenderedPageBreak/>
        <w:t xml:space="preserve">positive and statistically significant relationship between each OEHE subscale and the task value. In addition, the Pearson correlation between the overall OEHE mean score and the task value </w:t>
      </w:r>
      <w:r w:rsidR="002338D5" w:rsidRPr="0032506F">
        <w:rPr>
          <w:rFonts w:ascii="Times New Roman" w:hAnsi="Times New Roman"/>
          <w:bCs/>
          <w:color w:val="000000" w:themeColor="text1"/>
          <w:sz w:val="24"/>
          <w:szCs w:val="24"/>
        </w:rPr>
        <w:t xml:space="preserve">was computed </w:t>
      </w:r>
      <w:r w:rsidRPr="0032506F">
        <w:rPr>
          <w:rFonts w:ascii="Times New Roman" w:hAnsi="Times New Roman"/>
          <w:bCs/>
          <w:color w:val="000000" w:themeColor="text1"/>
          <w:sz w:val="24"/>
          <w:szCs w:val="24"/>
        </w:rPr>
        <w:t>and similarly a positive and statistically significant relationship</w:t>
      </w:r>
      <w:r w:rsidR="002338D5" w:rsidRPr="0032506F">
        <w:rPr>
          <w:rFonts w:ascii="Times New Roman" w:hAnsi="Times New Roman"/>
          <w:bCs/>
          <w:color w:val="000000" w:themeColor="text1"/>
          <w:sz w:val="24"/>
          <w:szCs w:val="24"/>
        </w:rPr>
        <w:t xml:space="preserve"> was found</w:t>
      </w:r>
      <w:r w:rsidRPr="0032506F">
        <w:rPr>
          <w:rFonts w:ascii="Times New Roman" w:hAnsi="Times New Roman"/>
          <w:bCs/>
          <w:color w:val="000000" w:themeColor="text1"/>
          <w:sz w:val="24"/>
          <w:szCs w:val="24"/>
        </w:rPr>
        <w:t xml:space="preserve"> between the two (r= .383,</w:t>
      </w:r>
      <w:r w:rsidRPr="0032506F">
        <w:rPr>
          <w:rFonts w:ascii="Times New Roman" w:hAnsi="Times New Roman"/>
          <w:bCs/>
          <w:i/>
          <w:color w:val="000000" w:themeColor="text1"/>
          <w:sz w:val="24"/>
          <w:szCs w:val="24"/>
        </w:rPr>
        <w:t xml:space="preserve"> p&lt;.</w:t>
      </w:r>
      <w:r w:rsidRPr="0032506F">
        <w:rPr>
          <w:rFonts w:ascii="Times New Roman" w:hAnsi="Times New Roman"/>
          <w:bCs/>
          <w:color w:val="000000" w:themeColor="text1"/>
          <w:sz w:val="24"/>
          <w:szCs w:val="24"/>
        </w:rPr>
        <w:t xml:space="preserve">001) and it was a moderate relationship, providing reasonable evidence for criterion-related validity as well.  </w:t>
      </w:r>
    </w:p>
    <w:p w14:paraId="1116C59D" w14:textId="77777777" w:rsidR="007E1C2B" w:rsidRPr="0032506F" w:rsidRDefault="007E1C2B" w:rsidP="007E1C2B">
      <w:pPr>
        <w:keepNext/>
        <w:keepLines/>
        <w:spacing w:after="0" w:line="480" w:lineRule="auto"/>
        <w:outlineLvl w:val="1"/>
        <w:rPr>
          <w:rFonts w:ascii="Times New Roman" w:eastAsia="Calibri" w:hAnsi="Times New Roman" w:cs="Times New Roman"/>
          <w:b/>
          <w:bCs/>
          <w:sz w:val="24"/>
          <w:szCs w:val="24"/>
        </w:rPr>
      </w:pPr>
      <w:bookmarkStart w:id="135" w:name="_Toc102489467"/>
      <w:r w:rsidRPr="0032506F">
        <w:rPr>
          <w:rFonts w:ascii="Times New Roman" w:eastAsia="Calibri" w:hAnsi="Times New Roman" w:cs="Times New Roman"/>
          <w:b/>
          <w:bCs/>
          <w:sz w:val="24"/>
          <w:szCs w:val="24"/>
        </w:rPr>
        <w:t>Reliability</w:t>
      </w:r>
      <w:bookmarkEnd w:id="135"/>
    </w:p>
    <w:p w14:paraId="31A7CCA3" w14:textId="0294F8F3" w:rsidR="007E1C2B" w:rsidRPr="0032506F" w:rsidRDefault="007E1C2B" w:rsidP="007E1C2B">
      <w:pPr>
        <w:spacing w:after="0" w:line="480" w:lineRule="auto"/>
        <w:rPr>
          <w:rFonts w:ascii="Times New Roman" w:eastAsia="Calibri" w:hAnsi="Times New Roman" w:cs="Times New Roman"/>
          <w:bCs/>
          <w:color w:val="000000"/>
          <w:sz w:val="24"/>
          <w:szCs w:val="24"/>
        </w:rPr>
      </w:pPr>
      <w:r w:rsidRPr="0032506F">
        <w:tab/>
      </w:r>
      <w:r w:rsidR="002338D5" w:rsidRPr="0032506F">
        <w:rPr>
          <w:rFonts w:ascii="Times New Roman" w:hAnsi="Times New Roman" w:cs="Times New Roman"/>
          <w:sz w:val="24"/>
          <w:szCs w:val="24"/>
        </w:rPr>
        <w:t>The</w:t>
      </w:r>
      <w:r w:rsidRPr="0032506F">
        <w:rPr>
          <w:rFonts w:ascii="Times New Roman" w:hAnsi="Times New Roman" w:cs="Times New Roman"/>
          <w:sz w:val="24"/>
          <w:szCs w:val="24"/>
        </w:rPr>
        <w:t xml:space="preserve"> third and final research question </w:t>
      </w:r>
      <w:r w:rsidRPr="0032506F">
        <w:rPr>
          <w:rFonts w:ascii="Times New Roman" w:eastAsia="Calibri" w:hAnsi="Times New Roman" w:cs="Times New Roman"/>
          <w:bCs/>
          <w:i/>
          <w:iCs/>
          <w:color w:val="000000"/>
          <w:sz w:val="24"/>
          <w:szCs w:val="24"/>
        </w:rPr>
        <w:t xml:space="preserve">RQ3: Do the confirmed scale factors exhibit evidence of internal consistency reliability? If yes, to what extent? </w:t>
      </w:r>
      <w:r w:rsidR="00CF0BA3" w:rsidRPr="0032506F">
        <w:rPr>
          <w:rFonts w:ascii="Times New Roman" w:eastAsia="Calibri" w:hAnsi="Times New Roman" w:cs="Times New Roman"/>
          <w:bCs/>
          <w:color w:val="000000"/>
          <w:sz w:val="24"/>
          <w:szCs w:val="24"/>
        </w:rPr>
        <w:t>was also answered satisfactorily.</w:t>
      </w:r>
      <w:r w:rsidR="002338D5"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As evidence of reliability, internal consistency reliability</w:t>
      </w:r>
      <w:r w:rsidR="002338D5"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which indicates the extent to which a set of items within a scale are homogenous and the items are consistently measuring the same underlying construct</w:t>
      </w:r>
      <w:r w:rsidR="002338D5"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t>
      </w:r>
      <w:r w:rsidR="002338D5" w:rsidRPr="0032506F">
        <w:rPr>
          <w:rFonts w:ascii="Times New Roman" w:eastAsia="Calibri" w:hAnsi="Times New Roman" w:cs="Times New Roman"/>
          <w:bCs/>
          <w:color w:val="000000"/>
          <w:sz w:val="24"/>
          <w:szCs w:val="24"/>
        </w:rPr>
        <w:t xml:space="preserve">can be utilized </w:t>
      </w:r>
      <w:r w:rsidRPr="0032506F">
        <w:rPr>
          <w:rFonts w:ascii="Times New Roman" w:eastAsia="Calibri" w:hAnsi="Times New Roman" w:cs="Times New Roman"/>
          <w:bCs/>
          <w:color w:val="000000"/>
          <w:sz w:val="24"/>
          <w:szCs w:val="24"/>
        </w:rPr>
        <w:t>(DeVellis, 2012; Pallant, 2020</w:t>
      </w:r>
      <w:r w:rsidR="002338D5"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The Cronbach’s alpha values are the most common approach to estimating and reporting score reliability in social science research (DeVellis, 2012; Furr, 2011; Kline, 2016; Warner, 2013).</w:t>
      </w:r>
      <w:r w:rsidR="002338D5" w:rsidRPr="0032506F">
        <w:rPr>
          <w:rFonts w:ascii="Times New Roman" w:eastAsia="Calibri" w:hAnsi="Times New Roman" w:cs="Times New Roman"/>
          <w:bCs/>
          <w:color w:val="000000"/>
          <w:sz w:val="24"/>
          <w:szCs w:val="24"/>
        </w:rPr>
        <w:t xml:space="preserve"> </w:t>
      </w:r>
      <w:hyperlink w:anchor="Table49" w:history="1">
        <w:r w:rsidRPr="00042485">
          <w:rPr>
            <w:rStyle w:val="Hyperlink"/>
            <w:rFonts w:ascii="Times New Roman" w:eastAsia="Calibri" w:hAnsi="Times New Roman" w:cs="Times New Roman"/>
            <w:bCs/>
            <w:sz w:val="24"/>
            <w:szCs w:val="24"/>
          </w:rPr>
          <w:t>Table 4.</w:t>
        </w:r>
        <w:r w:rsidR="00042485" w:rsidRPr="00042485">
          <w:rPr>
            <w:rStyle w:val="Hyperlink"/>
            <w:rFonts w:ascii="Times New Roman" w:eastAsia="Calibri" w:hAnsi="Times New Roman" w:cs="Times New Roman"/>
            <w:bCs/>
            <w:sz w:val="24"/>
            <w:szCs w:val="24"/>
          </w:rPr>
          <w:t>9</w:t>
        </w:r>
      </w:hyperlink>
      <w:r w:rsidRPr="0032506F">
        <w:rPr>
          <w:rFonts w:ascii="Times New Roman" w:eastAsia="Calibri" w:hAnsi="Times New Roman" w:cs="Times New Roman"/>
          <w:bCs/>
          <w:color w:val="000000"/>
          <w:sz w:val="24"/>
          <w:szCs w:val="24"/>
        </w:rPr>
        <w:t xml:space="preserve"> presents the descriptive statistics and the Cronbach’s alpha (α) values of the twenty indicator variables in the final best-fitting three-factor model. </w:t>
      </w:r>
    </w:p>
    <w:p w14:paraId="0D625053" w14:textId="12E707C4" w:rsidR="007E1C2B" w:rsidRPr="0032506F" w:rsidRDefault="007E1C2B" w:rsidP="007E1C2B">
      <w:pPr>
        <w:spacing w:after="0" w:line="480" w:lineRule="auto"/>
        <w:rPr>
          <w:rFonts w:ascii="Times New Roman" w:eastAsia="SimSun" w:hAnsi="Times New Roman" w:cs="Times New Roman"/>
          <w:b/>
          <w:bCs/>
          <w:sz w:val="24"/>
          <w:szCs w:val="24"/>
        </w:rPr>
      </w:pPr>
      <w:bookmarkStart w:id="136" w:name="Table430"/>
      <w:bookmarkStart w:id="137" w:name="Table429"/>
      <w:bookmarkStart w:id="138" w:name="Table49"/>
      <w:r w:rsidRPr="0032506F">
        <w:rPr>
          <w:rFonts w:ascii="Times New Roman" w:eastAsia="SimSun" w:hAnsi="Times New Roman" w:cs="Times New Roman"/>
          <w:b/>
          <w:bCs/>
          <w:sz w:val="24"/>
          <w:szCs w:val="24"/>
        </w:rPr>
        <w:t>Table 4.</w:t>
      </w:r>
      <w:r w:rsidR="00042485">
        <w:rPr>
          <w:rFonts w:ascii="Times New Roman" w:eastAsia="SimSun" w:hAnsi="Times New Roman" w:cs="Times New Roman"/>
          <w:b/>
          <w:bCs/>
          <w:sz w:val="24"/>
          <w:szCs w:val="24"/>
        </w:rPr>
        <w:t>9</w:t>
      </w:r>
    </w:p>
    <w:bookmarkEnd w:id="136"/>
    <w:bookmarkEnd w:id="137"/>
    <w:bookmarkEnd w:id="138"/>
    <w:p w14:paraId="0FB04218" w14:textId="77777777" w:rsidR="007E1C2B" w:rsidRPr="0032506F" w:rsidRDefault="007E1C2B" w:rsidP="007E1C2B">
      <w:pPr>
        <w:spacing w:after="0" w:line="480" w:lineRule="auto"/>
        <w:rPr>
          <w:rFonts w:ascii="Times New Roman" w:eastAsia="SimSun" w:hAnsi="Times New Roman" w:cs="Times New Roman"/>
          <w:i/>
          <w:iCs/>
          <w:sz w:val="24"/>
          <w:szCs w:val="24"/>
        </w:rPr>
      </w:pPr>
      <w:r w:rsidRPr="0032506F">
        <w:rPr>
          <w:rFonts w:ascii="Times New Roman" w:eastAsia="SimSun" w:hAnsi="Times New Roman" w:cs="Times New Roman"/>
          <w:i/>
          <w:iCs/>
          <w:sz w:val="24"/>
          <w:szCs w:val="24"/>
        </w:rPr>
        <w:t>Descriptive and Reliability Statistics of the 20 OEHE Items (Final) (N=235)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2"/>
        <w:gridCol w:w="1617"/>
        <w:gridCol w:w="1617"/>
        <w:gridCol w:w="1047"/>
        <w:gridCol w:w="1135"/>
      </w:tblGrid>
      <w:tr w:rsidR="007E1C2B" w:rsidRPr="0032506F" w14:paraId="4DDD612F" w14:textId="77777777" w:rsidTr="00791EF5">
        <w:tc>
          <w:tcPr>
            <w:tcW w:w="1472" w:type="dxa"/>
            <w:tcBorders>
              <w:top w:val="single" w:sz="8" w:space="0" w:color="auto"/>
              <w:bottom w:val="single" w:sz="8" w:space="0" w:color="auto"/>
            </w:tcBorders>
          </w:tcPr>
          <w:p w14:paraId="77E44032" w14:textId="77777777" w:rsidR="007E1C2B" w:rsidRPr="0032506F" w:rsidRDefault="007E1C2B" w:rsidP="007E1C2B">
            <w:pPr>
              <w:jc w:val="both"/>
              <w:rPr>
                <w:rFonts w:ascii="Times New Roman" w:eastAsia="SimSun" w:hAnsi="Times New Roman" w:cs="Times New Roman"/>
                <w:b/>
                <w:bCs/>
                <w:sz w:val="24"/>
                <w:szCs w:val="24"/>
              </w:rPr>
            </w:pPr>
          </w:p>
        </w:tc>
        <w:tc>
          <w:tcPr>
            <w:tcW w:w="1617" w:type="dxa"/>
            <w:tcBorders>
              <w:top w:val="single" w:sz="8" w:space="0" w:color="auto"/>
              <w:bottom w:val="single" w:sz="8" w:space="0" w:color="auto"/>
            </w:tcBorders>
          </w:tcPr>
          <w:p w14:paraId="0A7FC830"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Number of Items</w:t>
            </w:r>
          </w:p>
        </w:tc>
        <w:tc>
          <w:tcPr>
            <w:tcW w:w="1617" w:type="dxa"/>
            <w:tcBorders>
              <w:top w:val="single" w:sz="8" w:space="0" w:color="auto"/>
              <w:bottom w:val="single" w:sz="8" w:space="0" w:color="auto"/>
            </w:tcBorders>
          </w:tcPr>
          <w:p w14:paraId="632F7D07"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Mean</w:t>
            </w:r>
          </w:p>
        </w:tc>
        <w:tc>
          <w:tcPr>
            <w:tcW w:w="1047" w:type="dxa"/>
            <w:tcBorders>
              <w:top w:val="single" w:sz="8" w:space="0" w:color="auto"/>
              <w:bottom w:val="single" w:sz="8" w:space="0" w:color="auto"/>
            </w:tcBorders>
          </w:tcPr>
          <w:p w14:paraId="2FDC5A19"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SD</w:t>
            </w:r>
          </w:p>
        </w:tc>
        <w:tc>
          <w:tcPr>
            <w:tcW w:w="1135" w:type="dxa"/>
            <w:tcBorders>
              <w:top w:val="single" w:sz="8" w:space="0" w:color="auto"/>
              <w:bottom w:val="single" w:sz="8" w:space="0" w:color="auto"/>
            </w:tcBorders>
          </w:tcPr>
          <w:p w14:paraId="337941C8"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α</w:t>
            </w:r>
          </w:p>
        </w:tc>
      </w:tr>
      <w:tr w:rsidR="007E1C2B" w:rsidRPr="0032506F" w14:paraId="76D1DC58" w14:textId="77777777" w:rsidTr="00791EF5">
        <w:trPr>
          <w:trHeight w:val="970"/>
        </w:trPr>
        <w:tc>
          <w:tcPr>
            <w:tcW w:w="1472" w:type="dxa"/>
            <w:tcBorders>
              <w:top w:val="single" w:sz="8" w:space="0" w:color="auto"/>
              <w:bottom w:val="single" w:sz="4" w:space="0" w:color="auto"/>
            </w:tcBorders>
          </w:tcPr>
          <w:p w14:paraId="40E62583" w14:textId="77777777" w:rsidR="007E1C2B" w:rsidRPr="0032506F" w:rsidRDefault="007E1C2B" w:rsidP="007E1C2B">
            <w:pPr>
              <w:rPr>
                <w:rFonts w:ascii="Times New Roman" w:eastAsia="SimSun" w:hAnsi="Times New Roman" w:cs="Times New Roman"/>
                <w:sz w:val="24"/>
                <w:szCs w:val="24"/>
              </w:rPr>
            </w:pPr>
          </w:p>
          <w:p w14:paraId="5839D979"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OBE</w:t>
            </w:r>
          </w:p>
          <w:p w14:paraId="3E58CA5A"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OEE</w:t>
            </w:r>
          </w:p>
          <w:p w14:paraId="6F57BEE7"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OCE</w:t>
            </w:r>
          </w:p>
          <w:p w14:paraId="14438674" w14:textId="77777777" w:rsidR="007E1C2B" w:rsidRPr="0032506F" w:rsidRDefault="007E1C2B" w:rsidP="007E1C2B">
            <w:pPr>
              <w:rPr>
                <w:rFonts w:ascii="Times New Roman" w:eastAsia="SimSun" w:hAnsi="Times New Roman" w:cs="Times New Roman"/>
                <w:sz w:val="24"/>
                <w:szCs w:val="24"/>
              </w:rPr>
            </w:pPr>
            <w:r w:rsidRPr="0032506F">
              <w:rPr>
                <w:rFonts w:ascii="Times New Roman" w:eastAsia="SimSun" w:hAnsi="Times New Roman" w:cs="Times New Roman"/>
                <w:sz w:val="24"/>
                <w:szCs w:val="24"/>
              </w:rPr>
              <w:t>OEHE</w:t>
            </w:r>
          </w:p>
          <w:p w14:paraId="7D89BE38" w14:textId="77777777" w:rsidR="007E1C2B" w:rsidRPr="0032506F" w:rsidRDefault="007E1C2B" w:rsidP="007E1C2B">
            <w:pPr>
              <w:rPr>
                <w:rFonts w:ascii="Times New Roman" w:eastAsia="SimSun" w:hAnsi="Times New Roman" w:cs="Times New Roman"/>
                <w:sz w:val="24"/>
                <w:szCs w:val="24"/>
              </w:rPr>
            </w:pPr>
          </w:p>
        </w:tc>
        <w:tc>
          <w:tcPr>
            <w:tcW w:w="1617" w:type="dxa"/>
            <w:tcBorders>
              <w:top w:val="single" w:sz="8" w:space="0" w:color="auto"/>
              <w:bottom w:val="single" w:sz="4" w:space="0" w:color="auto"/>
            </w:tcBorders>
          </w:tcPr>
          <w:p w14:paraId="28535F62" w14:textId="77777777" w:rsidR="007E1C2B" w:rsidRPr="0032506F" w:rsidRDefault="007E1C2B" w:rsidP="007E1C2B">
            <w:pPr>
              <w:jc w:val="center"/>
              <w:rPr>
                <w:rFonts w:ascii="Times New Roman" w:eastAsia="SimSun" w:hAnsi="Times New Roman" w:cs="Times New Roman"/>
                <w:sz w:val="24"/>
                <w:szCs w:val="24"/>
              </w:rPr>
            </w:pPr>
          </w:p>
          <w:p w14:paraId="217F01F4"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4</w:t>
            </w:r>
          </w:p>
          <w:p w14:paraId="207AAED5"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w:t>
            </w:r>
          </w:p>
          <w:p w14:paraId="1D91D5E8"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w:t>
            </w:r>
          </w:p>
          <w:p w14:paraId="7EC7E56B"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20</w:t>
            </w:r>
          </w:p>
        </w:tc>
        <w:tc>
          <w:tcPr>
            <w:tcW w:w="1617" w:type="dxa"/>
            <w:tcBorders>
              <w:top w:val="single" w:sz="8" w:space="0" w:color="auto"/>
              <w:bottom w:val="single" w:sz="4" w:space="0" w:color="auto"/>
            </w:tcBorders>
          </w:tcPr>
          <w:p w14:paraId="55B9264B"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w:t>
            </w:r>
          </w:p>
          <w:p w14:paraId="3AFEDECB"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3.75 </w:t>
            </w:r>
          </w:p>
          <w:p w14:paraId="5EB5D987"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3.69</w:t>
            </w:r>
          </w:p>
          <w:p w14:paraId="0166EA56"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4.42</w:t>
            </w:r>
          </w:p>
          <w:p w14:paraId="643893FF"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4.03</w:t>
            </w:r>
          </w:p>
          <w:p w14:paraId="699284A9" w14:textId="77777777" w:rsidR="007E1C2B" w:rsidRPr="0032506F" w:rsidRDefault="007E1C2B" w:rsidP="007E1C2B">
            <w:pPr>
              <w:jc w:val="center"/>
              <w:rPr>
                <w:rFonts w:ascii="Times New Roman" w:eastAsia="SimSun" w:hAnsi="Times New Roman" w:cs="Times New Roman"/>
                <w:sz w:val="24"/>
                <w:szCs w:val="24"/>
              </w:rPr>
            </w:pPr>
          </w:p>
        </w:tc>
        <w:tc>
          <w:tcPr>
            <w:tcW w:w="1047" w:type="dxa"/>
            <w:tcBorders>
              <w:top w:val="single" w:sz="8" w:space="0" w:color="auto"/>
              <w:bottom w:val="single" w:sz="4" w:space="0" w:color="auto"/>
            </w:tcBorders>
          </w:tcPr>
          <w:p w14:paraId="34F849B2" w14:textId="77777777" w:rsidR="007E1C2B" w:rsidRPr="0032506F" w:rsidRDefault="007E1C2B" w:rsidP="007E1C2B">
            <w:pPr>
              <w:jc w:val="center"/>
              <w:rPr>
                <w:rFonts w:ascii="Times New Roman" w:eastAsia="SimSun" w:hAnsi="Times New Roman" w:cs="Times New Roman"/>
                <w:sz w:val="24"/>
                <w:szCs w:val="24"/>
              </w:rPr>
            </w:pPr>
          </w:p>
          <w:p w14:paraId="343006A2"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.871</w:t>
            </w:r>
          </w:p>
          <w:p w14:paraId="317B4DF1"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.841</w:t>
            </w:r>
          </w:p>
          <w:p w14:paraId="6269EF44"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.497</w:t>
            </w:r>
          </w:p>
          <w:p w14:paraId="150CDFF1" w14:textId="77777777" w:rsidR="007E1C2B" w:rsidRPr="0032506F" w:rsidRDefault="007E1C2B" w:rsidP="007E1C2B">
            <w:pPr>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.549</w:t>
            </w:r>
          </w:p>
        </w:tc>
        <w:tc>
          <w:tcPr>
            <w:tcW w:w="1135" w:type="dxa"/>
            <w:tcBorders>
              <w:top w:val="single" w:sz="8" w:space="0" w:color="auto"/>
              <w:bottom w:val="single" w:sz="4" w:space="0" w:color="auto"/>
            </w:tcBorders>
          </w:tcPr>
          <w:p w14:paraId="29F7EB08" w14:textId="77777777" w:rsidR="007E1C2B" w:rsidRPr="0032506F" w:rsidRDefault="007E1C2B" w:rsidP="007E1C2B">
            <w:pPr>
              <w:jc w:val="center"/>
              <w:rPr>
                <w:rFonts w:ascii="Times New Roman" w:eastAsia="SimSun" w:hAnsi="Times New Roman" w:cs="Times New Roman"/>
                <w:sz w:val="24"/>
                <w:szCs w:val="24"/>
              </w:rPr>
            </w:pPr>
          </w:p>
          <w:p w14:paraId="27005A83" w14:textId="77777777" w:rsidR="007E1C2B" w:rsidRPr="0032506F" w:rsidRDefault="007E1C2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.698</w:t>
            </w:r>
          </w:p>
          <w:p w14:paraId="539D2DCD" w14:textId="77777777" w:rsidR="007E1C2B" w:rsidRPr="0032506F" w:rsidRDefault="007E1C2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.931</w:t>
            </w:r>
          </w:p>
          <w:p w14:paraId="4FF305FC" w14:textId="77777777" w:rsidR="007E1C2B" w:rsidRPr="0032506F" w:rsidRDefault="007E1C2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.898</w:t>
            </w:r>
          </w:p>
          <w:p w14:paraId="39397FB2" w14:textId="77777777" w:rsidR="007E1C2B" w:rsidRPr="0032506F" w:rsidRDefault="007E1C2B" w:rsidP="007E1C2B">
            <w:pPr>
              <w:jc w:val="center"/>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t>.906</w:t>
            </w:r>
          </w:p>
          <w:p w14:paraId="6DE49FC3" w14:textId="77777777" w:rsidR="007E1C2B" w:rsidRPr="0032506F" w:rsidRDefault="007E1C2B" w:rsidP="007E1C2B">
            <w:pPr>
              <w:jc w:val="center"/>
              <w:rPr>
                <w:rFonts w:ascii="Times New Roman" w:eastAsia="SimSun" w:hAnsi="Times New Roman" w:cs="Times New Roman"/>
                <w:sz w:val="24"/>
                <w:szCs w:val="24"/>
              </w:rPr>
            </w:pPr>
          </w:p>
        </w:tc>
      </w:tr>
    </w:tbl>
    <w:p w14:paraId="6BFF1A5F" w14:textId="77777777" w:rsidR="007E1C2B" w:rsidRPr="0032506F" w:rsidRDefault="007E1C2B" w:rsidP="007E1C2B">
      <w:pPr>
        <w:spacing w:after="0" w:line="240" w:lineRule="auto"/>
        <w:rPr>
          <w:rFonts w:ascii="Times New Roman" w:hAnsi="Times New Roman"/>
          <w:bCs/>
          <w:color w:val="000000" w:themeColor="text1"/>
          <w:sz w:val="24"/>
          <w:szCs w:val="24"/>
        </w:rPr>
      </w:pPr>
      <w:r w:rsidRPr="0032506F">
        <w:rPr>
          <w:rFonts w:ascii="Times New Roman" w:hAnsi="Times New Roman" w:cs="Times New Roman"/>
          <w:sz w:val="24"/>
          <w:szCs w:val="24"/>
        </w:rPr>
        <w:t>OBE=OEHE’s online behavioral engagement, OEE=OEHE’s online emotional engagement, OCE=OEHE’s online cognitive engagement, OEHE=OEHE instrument as a whole;                    α= Cronbach’s alpha reliability</w:t>
      </w:r>
    </w:p>
    <w:p w14:paraId="34A398D6" w14:textId="77777777" w:rsidR="007E1C2B" w:rsidRPr="0032506F" w:rsidRDefault="007E1C2B" w:rsidP="007E1C2B">
      <w:pPr>
        <w:spacing w:after="0" w:line="480" w:lineRule="auto"/>
        <w:rPr>
          <w:rFonts w:ascii="Times New Roman" w:eastAsia="Calibri" w:hAnsi="Times New Roman" w:cs="Times New Roman"/>
          <w:bCs/>
          <w:color w:val="000000"/>
          <w:sz w:val="24"/>
          <w:szCs w:val="24"/>
        </w:rPr>
      </w:pPr>
    </w:p>
    <w:p w14:paraId="032B19FF" w14:textId="77777777" w:rsidR="007E1C2B" w:rsidRPr="0032506F" w:rsidRDefault="007E1C2B" w:rsidP="007E1C2B">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lastRenderedPageBreak/>
        <w:tab/>
        <w:t xml:space="preserve">Given that the Cronbach’s alpha coefficients of .70 and above are generally considered to be acceptable or adequate, .80 and above very good, and .90 and above are considered excellent in social science research (Pallant, 2020), both the OEE subscale with seven items and the OCE subscale with nine items were found to have a very good to excellent internal consistency reliability, while the OBE subscale with only four items that passed the confirmatory factor tests had an almost adequate internal consistency (between .65 and .70 minimally acceptable, DeVellis, 2003), although still quite weaker compared to the other two OEHE subscales. The limited number of items in the OBE scale is one reason for the weaker internal consistency reliability since the number of items in a scale significantly influences its Cronbach’s alpha reliability estimates (DeVellis, 2012). Another reason is associated with the less strong relationship between the OBE items as indicated by the CFA estimates previously. This less tight intercorrelation among the OBE items compared to the OEE and OCE items seems to have also influenced the internal consistency reliability of the OBE scale. However, the internal consistency reliability of the OEHE instrument </w:t>
      </w:r>
      <w:proofErr w:type="gramStart"/>
      <w:r w:rsidRPr="0032506F">
        <w:rPr>
          <w:rFonts w:ascii="Times New Roman" w:eastAsia="Calibri" w:hAnsi="Times New Roman" w:cs="Times New Roman"/>
          <w:bCs/>
          <w:color w:val="000000"/>
          <w:sz w:val="24"/>
          <w:szCs w:val="24"/>
        </w:rPr>
        <w:t>as a whole with</w:t>
      </w:r>
      <w:proofErr w:type="gramEnd"/>
      <w:r w:rsidRPr="0032506F">
        <w:rPr>
          <w:rFonts w:ascii="Times New Roman" w:eastAsia="Calibri" w:hAnsi="Times New Roman" w:cs="Times New Roman"/>
          <w:bCs/>
          <w:color w:val="000000"/>
          <w:sz w:val="24"/>
          <w:szCs w:val="24"/>
        </w:rPr>
        <w:t xml:space="preserve"> a total of 20 items (</w:t>
      </w:r>
      <w:r w:rsidRPr="0032506F">
        <w:rPr>
          <w:rFonts w:ascii="Times New Roman" w:eastAsia="Calibri" w:hAnsi="Times New Roman" w:cs="Times New Roman"/>
          <w:bCs/>
          <w:i/>
          <w:color w:val="000000"/>
          <w:sz w:val="24"/>
          <w:szCs w:val="24"/>
        </w:rPr>
        <w:t>α =</w:t>
      </w:r>
      <w:r w:rsidRPr="0032506F">
        <w:rPr>
          <w:rFonts w:ascii="Times New Roman" w:eastAsia="Calibri" w:hAnsi="Times New Roman" w:cs="Times New Roman"/>
          <w:bCs/>
          <w:color w:val="000000"/>
          <w:sz w:val="24"/>
          <w:szCs w:val="24"/>
        </w:rPr>
        <w:t xml:space="preserve"> .906) was still very good, providing strong empirical evidence for the reliability of the OEHE as an instrument to measure online student engagement.</w:t>
      </w:r>
    </w:p>
    <w:p w14:paraId="0FAF6F10" w14:textId="77777777" w:rsidR="00D927A8" w:rsidRDefault="00D927A8" w:rsidP="00084137">
      <w:pPr>
        <w:pStyle w:val="Heading11"/>
        <w:jc w:val="center"/>
        <w:rPr>
          <w:rFonts w:ascii="Times New Roman" w:hAnsi="Times New Roman"/>
          <w:color w:val="auto"/>
          <w:sz w:val="24"/>
          <w:szCs w:val="24"/>
        </w:rPr>
        <w:sectPr w:rsidR="00D927A8" w:rsidSect="0082746B">
          <w:pgSz w:w="12240" w:h="15840"/>
          <w:pgMar w:top="1440" w:right="1440" w:bottom="1440" w:left="1440" w:header="720" w:footer="720" w:gutter="0"/>
          <w:cols w:space="720"/>
          <w:docGrid w:linePitch="360"/>
        </w:sectPr>
      </w:pPr>
    </w:p>
    <w:p w14:paraId="5905F6B9" w14:textId="3A9D7F85" w:rsidR="005F3140" w:rsidRPr="0032506F" w:rsidRDefault="005F3140" w:rsidP="00084137">
      <w:pPr>
        <w:pStyle w:val="Heading11"/>
        <w:jc w:val="center"/>
        <w:rPr>
          <w:rFonts w:ascii="Times New Roman" w:hAnsi="Times New Roman"/>
          <w:sz w:val="24"/>
          <w:szCs w:val="24"/>
        </w:rPr>
      </w:pPr>
      <w:bookmarkStart w:id="139" w:name="_Toc102489468"/>
      <w:r w:rsidRPr="0032506F">
        <w:rPr>
          <w:rFonts w:ascii="Times New Roman" w:hAnsi="Times New Roman"/>
          <w:color w:val="auto"/>
          <w:sz w:val="24"/>
          <w:szCs w:val="24"/>
        </w:rPr>
        <w:lastRenderedPageBreak/>
        <w:t>Chapter 5: Discussion and Conclusion</w:t>
      </w:r>
      <w:bookmarkEnd w:id="139"/>
    </w:p>
    <w:p w14:paraId="04CEBE3B" w14:textId="696243CC" w:rsidR="00123C2A" w:rsidRPr="0032506F" w:rsidRDefault="00123C2A" w:rsidP="00123C2A">
      <w:pPr>
        <w:pStyle w:val="Heading2"/>
      </w:pPr>
      <w:bookmarkStart w:id="140" w:name="_Toc102489469"/>
      <w:r w:rsidRPr="0032506F">
        <w:t>Overview</w:t>
      </w:r>
      <w:bookmarkEnd w:id="140"/>
    </w:p>
    <w:p w14:paraId="7B45FE96" w14:textId="7A1C8E06" w:rsidR="002C7B44" w:rsidRPr="0032506F" w:rsidRDefault="007966B8" w:rsidP="005F3140">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The purpose of this study was</w:t>
      </w:r>
      <w:r w:rsidR="005F3140" w:rsidRPr="0032506F">
        <w:rPr>
          <w:rFonts w:ascii="Times New Roman" w:hAnsi="Times New Roman" w:cs="Times New Roman"/>
          <w:sz w:val="24"/>
          <w:szCs w:val="24"/>
        </w:rPr>
        <w:t xml:space="preserve"> to develop and validate a new self-report survey of online student engagement in higher education</w:t>
      </w:r>
      <w:r w:rsidRPr="0032506F">
        <w:rPr>
          <w:rFonts w:ascii="Times New Roman" w:hAnsi="Times New Roman" w:cs="Times New Roman"/>
          <w:sz w:val="24"/>
          <w:szCs w:val="24"/>
        </w:rPr>
        <w:t xml:space="preserve">, </w:t>
      </w:r>
      <w:r w:rsidR="005F3140" w:rsidRPr="0032506F">
        <w:rPr>
          <w:rFonts w:ascii="Times New Roman" w:hAnsi="Times New Roman" w:cs="Times New Roman"/>
          <w:sz w:val="24"/>
          <w:szCs w:val="24"/>
        </w:rPr>
        <w:t xml:space="preserve">the Online Engagement in Higher Education (OEHE) instrument. Based on Fredricks et al.’s (2004) tripartite conception of engagement, </w:t>
      </w:r>
      <w:r w:rsidR="00026158" w:rsidRPr="0032506F">
        <w:rPr>
          <w:rFonts w:ascii="Times New Roman" w:hAnsi="Times New Roman" w:cs="Times New Roman"/>
          <w:sz w:val="24"/>
          <w:szCs w:val="24"/>
        </w:rPr>
        <w:t>t</w:t>
      </w:r>
      <w:r w:rsidR="005F3140" w:rsidRPr="0032506F">
        <w:rPr>
          <w:rFonts w:ascii="Times New Roman" w:hAnsi="Times New Roman" w:cs="Times New Roman"/>
          <w:sz w:val="24"/>
          <w:szCs w:val="24"/>
        </w:rPr>
        <w:t xml:space="preserve">he OEHE instrument </w:t>
      </w:r>
      <w:r w:rsidR="00026158" w:rsidRPr="0032506F">
        <w:rPr>
          <w:rFonts w:ascii="Times New Roman" w:hAnsi="Times New Roman" w:cs="Times New Roman"/>
          <w:sz w:val="24"/>
          <w:szCs w:val="24"/>
        </w:rPr>
        <w:t xml:space="preserve">was developed </w:t>
      </w:r>
      <w:r w:rsidR="005F3140" w:rsidRPr="0032506F">
        <w:rPr>
          <w:rFonts w:ascii="Times New Roman" w:hAnsi="Times New Roman" w:cs="Times New Roman"/>
          <w:sz w:val="24"/>
          <w:szCs w:val="24"/>
        </w:rPr>
        <w:t xml:space="preserve">to </w:t>
      </w:r>
      <w:r w:rsidR="004567F8" w:rsidRPr="0032506F">
        <w:rPr>
          <w:rFonts w:ascii="Times New Roman" w:hAnsi="Times New Roman" w:cs="Times New Roman"/>
          <w:sz w:val="24"/>
          <w:szCs w:val="24"/>
        </w:rPr>
        <w:t>test</w:t>
      </w:r>
      <w:r w:rsidR="005F3140" w:rsidRPr="0032506F">
        <w:rPr>
          <w:rFonts w:ascii="Times New Roman" w:hAnsi="Times New Roman" w:cs="Times New Roman"/>
          <w:sz w:val="24"/>
          <w:szCs w:val="24"/>
        </w:rPr>
        <w:t xml:space="preserve"> the three</w:t>
      </w:r>
      <w:r w:rsidR="00026158" w:rsidRPr="0032506F">
        <w:rPr>
          <w:rFonts w:ascii="Times New Roman" w:hAnsi="Times New Roman" w:cs="Times New Roman"/>
          <w:sz w:val="24"/>
          <w:szCs w:val="24"/>
        </w:rPr>
        <w:t xml:space="preserve"> </w:t>
      </w:r>
      <w:r w:rsidR="005F3140" w:rsidRPr="0032506F">
        <w:rPr>
          <w:rFonts w:ascii="Times New Roman" w:hAnsi="Times New Roman" w:cs="Times New Roman"/>
          <w:sz w:val="24"/>
          <w:szCs w:val="24"/>
        </w:rPr>
        <w:t xml:space="preserve">dimensions of student engagement (i.e., behavioral engagement, emotional engagement, and cognitive engagement) in online learning environments of higher education. The results </w:t>
      </w:r>
      <w:r w:rsidR="00A5402A" w:rsidRPr="0032506F">
        <w:rPr>
          <w:rFonts w:ascii="Times New Roman" w:hAnsi="Times New Roman" w:cs="Times New Roman"/>
          <w:sz w:val="24"/>
          <w:szCs w:val="24"/>
        </w:rPr>
        <w:t>of the study</w:t>
      </w:r>
      <w:r w:rsidR="005F3140" w:rsidRPr="0032506F">
        <w:rPr>
          <w:rFonts w:ascii="Times New Roman" w:hAnsi="Times New Roman" w:cs="Times New Roman"/>
          <w:sz w:val="24"/>
          <w:szCs w:val="24"/>
        </w:rPr>
        <w:t xml:space="preserve"> </w:t>
      </w:r>
      <w:r w:rsidR="002C7B44" w:rsidRPr="0032506F">
        <w:rPr>
          <w:rFonts w:ascii="Times New Roman" w:hAnsi="Times New Roman" w:cs="Times New Roman"/>
          <w:sz w:val="24"/>
          <w:szCs w:val="24"/>
        </w:rPr>
        <w:t xml:space="preserve">overall </w:t>
      </w:r>
      <w:r w:rsidR="005F3140" w:rsidRPr="0032506F">
        <w:rPr>
          <w:rFonts w:ascii="Times New Roman" w:hAnsi="Times New Roman" w:cs="Times New Roman"/>
          <w:sz w:val="24"/>
          <w:szCs w:val="24"/>
        </w:rPr>
        <w:t>indicated that the OEHE is a reliable and valid instrument, albeit its limitations.</w:t>
      </w:r>
      <w:r w:rsidR="002C7B44" w:rsidRPr="0032506F">
        <w:rPr>
          <w:rFonts w:ascii="Times New Roman" w:hAnsi="Times New Roman" w:cs="Times New Roman"/>
          <w:sz w:val="24"/>
          <w:szCs w:val="24"/>
        </w:rPr>
        <w:t xml:space="preserve"> </w:t>
      </w:r>
      <w:r w:rsidR="00CD0424" w:rsidRPr="0032506F">
        <w:rPr>
          <w:rFonts w:ascii="Times New Roman" w:hAnsi="Times New Roman" w:cs="Times New Roman"/>
          <w:sz w:val="24"/>
          <w:szCs w:val="24"/>
        </w:rPr>
        <w:t>By collecting and interpreting data about inclusiveness, bias, and accessibility perceptions</w:t>
      </w:r>
      <w:r w:rsidR="00350BF1" w:rsidRPr="0032506F">
        <w:rPr>
          <w:rFonts w:ascii="Times New Roman" w:hAnsi="Times New Roman" w:cs="Times New Roman"/>
          <w:sz w:val="24"/>
          <w:szCs w:val="24"/>
        </w:rPr>
        <w:t xml:space="preserve"> of the students</w:t>
      </w:r>
      <w:r w:rsidR="00CD0424" w:rsidRPr="0032506F">
        <w:rPr>
          <w:rFonts w:ascii="Times New Roman" w:hAnsi="Times New Roman" w:cs="Times New Roman"/>
          <w:sz w:val="24"/>
          <w:szCs w:val="24"/>
        </w:rPr>
        <w:t xml:space="preserve">, </w:t>
      </w:r>
      <w:r w:rsidR="004567F8" w:rsidRPr="0032506F">
        <w:rPr>
          <w:rFonts w:ascii="Times New Roman" w:hAnsi="Times New Roman" w:cs="Times New Roman"/>
          <w:sz w:val="24"/>
          <w:szCs w:val="24"/>
        </w:rPr>
        <w:t>this study also</w:t>
      </w:r>
      <w:r w:rsidR="00CD0424" w:rsidRPr="0032506F">
        <w:rPr>
          <w:rFonts w:ascii="Times New Roman" w:hAnsi="Times New Roman" w:cs="Times New Roman"/>
          <w:sz w:val="24"/>
          <w:szCs w:val="24"/>
        </w:rPr>
        <w:t xml:space="preserve"> aimed to raise awareness</w:t>
      </w:r>
      <w:r w:rsidR="00C463D3" w:rsidRPr="0032506F">
        <w:rPr>
          <w:rFonts w:ascii="Times New Roman" w:hAnsi="Times New Roman" w:cs="Times New Roman"/>
          <w:sz w:val="24"/>
          <w:szCs w:val="24"/>
        </w:rPr>
        <w:t xml:space="preserve"> about diversity, equity, and inclusion, DEI, issues that have been traditionally neglected in the instrument development</w:t>
      </w:r>
      <w:r w:rsidR="00A525A6" w:rsidRPr="0032506F">
        <w:rPr>
          <w:rFonts w:ascii="Times New Roman" w:hAnsi="Times New Roman" w:cs="Times New Roman"/>
          <w:sz w:val="24"/>
          <w:szCs w:val="24"/>
        </w:rPr>
        <w:t xml:space="preserve"> studies</w:t>
      </w:r>
      <w:r w:rsidR="005B6440" w:rsidRPr="0032506F">
        <w:rPr>
          <w:rFonts w:ascii="Times New Roman" w:hAnsi="Times New Roman" w:cs="Times New Roman"/>
          <w:sz w:val="24"/>
          <w:szCs w:val="24"/>
        </w:rPr>
        <w:t xml:space="preserve"> (</w:t>
      </w:r>
      <w:r w:rsidR="000C153D" w:rsidRPr="0032506F">
        <w:rPr>
          <w:rFonts w:ascii="Times New Roman" w:hAnsi="Times New Roman" w:cs="Times New Roman"/>
          <w:sz w:val="24"/>
          <w:szCs w:val="24"/>
        </w:rPr>
        <w:t xml:space="preserve">Cintron &amp; Hagan, 2021). </w:t>
      </w:r>
    </w:p>
    <w:p w14:paraId="54D6EDE6" w14:textId="5F2C0121" w:rsidR="005F3140" w:rsidRPr="0032506F" w:rsidRDefault="005F3140" w:rsidP="005F3140">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 xml:space="preserve">In this chapter, </w:t>
      </w:r>
      <w:r w:rsidR="004E411C" w:rsidRPr="0032506F">
        <w:rPr>
          <w:rFonts w:ascii="Times New Roman" w:hAnsi="Times New Roman" w:cs="Times New Roman"/>
          <w:sz w:val="24"/>
          <w:szCs w:val="24"/>
        </w:rPr>
        <w:t>a summary</w:t>
      </w:r>
      <w:r w:rsidRPr="0032506F">
        <w:rPr>
          <w:rFonts w:ascii="Times New Roman" w:hAnsi="Times New Roman" w:cs="Times New Roman"/>
          <w:sz w:val="24"/>
          <w:szCs w:val="24"/>
        </w:rPr>
        <w:t xml:space="preserve"> of the </w:t>
      </w:r>
      <w:r w:rsidR="001B32CA" w:rsidRPr="0032506F">
        <w:rPr>
          <w:rFonts w:ascii="Times New Roman" w:hAnsi="Times New Roman" w:cs="Times New Roman"/>
          <w:sz w:val="24"/>
          <w:szCs w:val="24"/>
        </w:rPr>
        <w:t>findings</w:t>
      </w:r>
      <w:r w:rsidR="009E4038" w:rsidRPr="0032506F">
        <w:rPr>
          <w:rFonts w:ascii="Times New Roman" w:hAnsi="Times New Roman" w:cs="Times New Roman"/>
          <w:sz w:val="24"/>
          <w:szCs w:val="24"/>
        </w:rPr>
        <w:t xml:space="preserve"> </w:t>
      </w:r>
      <w:r w:rsidR="00995DCD" w:rsidRPr="0032506F">
        <w:rPr>
          <w:rFonts w:ascii="Times New Roman" w:hAnsi="Times New Roman" w:cs="Times New Roman"/>
          <w:sz w:val="24"/>
          <w:szCs w:val="24"/>
        </w:rPr>
        <w:t>in relation to each of the research questions</w:t>
      </w:r>
      <w:r w:rsidR="00151B3F">
        <w:rPr>
          <w:rFonts w:ascii="Times New Roman" w:hAnsi="Times New Roman" w:cs="Times New Roman"/>
          <w:sz w:val="24"/>
          <w:szCs w:val="24"/>
        </w:rPr>
        <w:t xml:space="preserve"> </w:t>
      </w:r>
      <w:r w:rsidR="00E37D6A" w:rsidRPr="0032506F">
        <w:rPr>
          <w:rFonts w:ascii="Times New Roman" w:hAnsi="Times New Roman" w:cs="Times New Roman"/>
          <w:sz w:val="24"/>
          <w:szCs w:val="24"/>
        </w:rPr>
        <w:t>and</w:t>
      </w:r>
      <w:r w:rsidR="00151B3F">
        <w:rPr>
          <w:rFonts w:ascii="Times New Roman" w:hAnsi="Times New Roman" w:cs="Times New Roman"/>
          <w:sz w:val="24"/>
          <w:szCs w:val="24"/>
        </w:rPr>
        <w:t xml:space="preserve"> </w:t>
      </w:r>
      <w:r w:rsidRPr="0032506F">
        <w:rPr>
          <w:rFonts w:ascii="Times New Roman" w:hAnsi="Times New Roman" w:cs="Times New Roman"/>
          <w:sz w:val="24"/>
          <w:szCs w:val="24"/>
        </w:rPr>
        <w:t xml:space="preserve">a thorough discussion of the findings </w:t>
      </w:r>
      <w:r w:rsidR="00C86991" w:rsidRPr="0032506F">
        <w:rPr>
          <w:rFonts w:ascii="Times New Roman" w:hAnsi="Times New Roman" w:cs="Times New Roman"/>
          <w:sz w:val="24"/>
          <w:szCs w:val="24"/>
        </w:rPr>
        <w:t>are</w:t>
      </w:r>
      <w:r w:rsidR="00422813" w:rsidRPr="0032506F">
        <w:rPr>
          <w:rFonts w:ascii="Times New Roman" w:hAnsi="Times New Roman" w:cs="Times New Roman"/>
          <w:sz w:val="24"/>
          <w:szCs w:val="24"/>
        </w:rPr>
        <w:t xml:space="preserve"> presented</w:t>
      </w:r>
      <w:r w:rsidRPr="0032506F">
        <w:rPr>
          <w:rFonts w:ascii="Times New Roman" w:hAnsi="Times New Roman" w:cs="Times New Roman"/>
          <w:sz w:val="24"/>
          <w:szCs w:val="24"/>
        </w:rPr>
        <w:t xml:space="preserve">. </w:t>
      </w:r>
      <w:r w:rsidR="00C86991" w:rsidRPr="0032506F">
        <w:rPr>
          <w:rFonts w:ascii="Times New Roman" w:hAnsi="Times New Roman" w:cs="Times New Roman"/>
          <w:sz w:val="24"/>
          <w:szCs w:val="24"/>
        </w:rPr>
        <w:t>Then</w:t>
      </w:r>
      <w:r w:rsidRPr="0032506F">
        <w:rPr>
          <w:rFonts w:ascii="Times New Roman" w:hAnsi="Times New Roman" w:cs="Times New Roman"/>
          <w:sz w:val="24"/>
          <w:szCs w:val="24"/>
        </w:rPr>
        <w:t>, study limitations</w:t>
      </w:r>
      <w:r w:rsidR="00422813" w:rsidRPr="0032506F">
        <w:rPr>
          <w:rFonts w:ascii="Times New Roman" w:hAnsi="Times New Roman" w:cs="Times New Roman"/>
          <w:sz w:val="24"/>
          <w:szCs w:val="24"/>
        </w:rPr>
        <w:t xml:space="preserve"> </w:t>
      </w:r>
      <w:r w:rsidRPr="0032506F">
        <w:rPr>
          <w:rFonts w:ascii="Times New Roman" w:hAnsi="Times New Roman" w:cs="Times New Roman"/>
          <w:sz w:val="24"/>
          <w:szCs w:val="24"/>
        </w:rPr>
        <w:t>and its implications for theory and practice</w:t>
      </w:r>
      <w:r w:rsidR="00422813" w:rsidRPr="0032506F">
        <w:rPr>
          <w:rFonts w:ascii="Times New Roman" w:hAnsi="Times New Roman" w:cs="Times New Roman"/>
          <w:sz w:val="24"/>
          <w:szCs w:val="24"/>
        </w:rPr>
        <w:t xml:space="preserve"> are given</w:t>
      </w:r>
      <w:r w:rsidRPr="0032506F">
        <w:rPr>
          <w:rFonts w:ascii="Times New Roman" w:hAnsi="Times New Roman" w:cs="Times New Roman"/>
          <w:sz w:val="24"/>
          <w:szCs w:val="24"/>
        </w:rPr>
        <w:t xml:space="preserve">, followed by the conclusions and recommendations for future research. </w:t>
      </w:r>
      <w:r w:rsidR="000C153D" w:rsidRPr="0032506F">
        <w:rPr>
          <w:rFonts w:ascii="Times New Roman" w:hAnsi="Times New Roman" w:cs="Times New Roman"/>
          <w:sz w:val="24"/>
          <w:szCs w:val="24"/>
        </w:rPr>
        <w:t xml:space="preserve">As part of recommendations, </w:t>
      </w:r>
      <w:r w:rsidR="002778CA" w:rsidRPr="0032506F">
        <w:rPr>
          <w:rFonts w:ascii="Times New Roman" w:hAnsi="Times New Roman" w:cs="Times New Roman"/>
          <w:sz w:val="24"/>
          <w:szCs w:val="24"/>
        </w:rPr>
        <w:t>DEI</w:t>
      </w:r>
      <w:r w:rsidR="00987ADD" w:rsidRPr="0032506F">
        <w:rPr>
          <w:rFonts w:ascii="Times New Roman" w:hAnsi="Times New Roman" w:cs="Times New Roman"/>
          <w:sz w:val="24"/>
          <w:szCs w:val="24"/>
        </w:rPr>
        <w:t xml:space="preserve"> </w:t>
      </w:r>
      <w:r w:rsidR="00422813" w:rsidRPr="0032506F">
        <w:rPr>
          <w:rFonts w:ascii="Times New Roman" w:hAnsi="Times New Roman" w:cs="Times New Roman"/>
          <w:sz w:val="24"/>
          <w:szCs w:val="24"/>
        </w:rPr>
        <w:t xml:space="preserve">perspectives are also shared to </w:t>
      </w:r>
      <w:r w:rsidR="008F0C3D" w:rsidRPr="0032506F">
        <w:rPr>
          <w:rFonts w:ascii="Times New Roman" w:hAnsi="Times New Roman" w:cs="Times New Roman"/>
          <w:sz w:val="24"/>
          <w:szCs w:val="24"/>
        </w:rPr>
        <w:t xml:space="preserve">raise awareness about the DEI issues </w:t>
      </w:r>
      <w:r w:rsidR="00987ADD" w:rsidRPr="0032506F">
        <w:rPr>
          <w:rFonts w:ascii="Times New Roman" w:hAnsi="Times New Roman" w:cs="Times New Roman"/>
          <w:sz w:val="24"/>
          <w:szCs w:val="24"/>
        </w:rPr>
        <w:t xml:space="preserve">that need to be considered in the instrument development process by future studies. </w:t>
      </w:r>
      <w:r w:rsidRPr="0032506F">
        <w:rPr>
          <w:rFonts w:ascii="Times New Roman" w:hAnsi="Times New Roman" w:cs="Times New Roman"/>
          <w:sz w:val="24"/>
          <w:szCs w:val="24"/>
        </w:rPr>
        <w:t xml:space="preserve">    </w:t>
      </w:r>
    </w:p>
    <w:p w14:paraId="54717076" w14:textId="4CFFF78B" w:rsidR="005F3140" w:rsidRPr="0032506F" w:rsidRDefault="005F3140" w:rsidP="005F3140">
      <w:pPr>
        <w:keepNext/>
        <w:keepLines/>
        <w:spacing w:after="0" w:line="480" w:lineRule="auto"/>
        <w:outlineLvl w:val="1"/>
        <w:rPr>
          <w:rFonts w:ascii="Times New Roman" w:eastAsiaTheme="majorEastAsia" w:hAnsi="Times New Roman" w:cs="Times New Roman"/>
          <w:b/>
          <w:bCs/>
          <w:sz w:val="24"/>
          <w:szCs w:val="24"/>
        </w:rPr>
      </w:pPr>
      <w:bookmarkStart w:id="141" w:name="_Toc102489470"/>
      <w:r w:rsidRPr="0032506F">
        <w:rPr>
          <w:rFonts w:ascii="Times New Roman" w:eastAsiaTheme="majorEastAsia" w:hAnsi="Times New Roman" w:cs="Times New Roman"/>
          <w:b/>
          <w:bCs/>
          <w:sz w:val="24"/>
          <w:szCs w:val="24"/>
        </w:rPr>
        <w:t>Summary</w:t>
      </w:r>
      <w:r w:rsidR="002A7C09" w:rsidRPr="0032506F">
        <w:rPr>
          <w:rFonts w:ascii="Times New Roman" w:eastAsiaTheme="majorEastAsia" w:hAnsi="Times New Roman" w:cs="Times New Roman"/>
          <w:b/>
          <w:bCs/>
          <w:sz w:val="24"/>
          <w:szCs w:val="24"/>
        </w:rPr>
        <w:t xml:space="preserve"> and Discussion</w:t>
      </w:r>
      <w:r w:rsidRPr="0032506F">
        <w:rPr>
          <w:rFonts w:ascii="Times New Roman" w:eastAsiaTheme="majorEastAsia" w:hAnsi="Times New Roman" w:cs="Times New Roman"/>
          <w:b/>
          <w:bCs/>
          <w:sz w:val="24"/>
          <w:szCs w:val="24"/>
        </w:rPr>
        <w:t xml:space="preserve"> of the</w:t>
      </w:r>
      <w:r w:rsidR="002A7C09" w:rsidRPr="0032506F">
        <w:rPr>
          <w:rFonts w:ascii="Times New Roman" w:eastAsiaTheme="majorEastAsia" w:hAnsi="Times New Roman" w:cs="Times New Roman"/>
          <w:b/>
          <w:bCs/>
          <w:sz w:val="24"/>
          <w:szCs w:val="24"/>
        </w:rPr>
        <w:t xml:space="preserve"> Findings</w:t>
      </w:r>
      <w:bookmarkEnd w:id="141"/>
      <w:r w:rsidRPr="0032506F">
        <w:rPr>
          <w:rFonts w:ascii="Times New Roman" w:eastAsiaTheme="majorEastAsia" w:hAnsi="Times New Roman" w:cs="Times New Roman"/>
          <w:b/>
          <w:bCs/>
          <w:sz w:val="24"/>
          <w:szCs w:val="24"/>
        </w:rPr>
        <w:t xml:space="preserve"> </w:t>
      </w:r>
    </w:p>
    <w:p w14:paraId="51F24715" w14:textId="246A2C7B" w:rsidR="00CF3221" w:rsidRPr="0032506F" w:rsidRDefault="0040394B" w:rsidP="00E161D9">
      <w:pPr>
        <w:spacing w:after="0" w:line="480" w:lineRule="auto"/>
        <w:ind w:firstLine="720"/>
        <w:rPr>
          <w:rFonts w:ascii="Times New Roman" w:eastAsia="Calibri" w:hAnsi="Times New Roman" w:cs="Times New Roman"/>
          <w:bCs/>
          <w:color w:val="000000"/>
          <w:sz w:val="24"/>
          <w:szCs w:val="24"/>
        </w:rPr>
      </w:pPr>
      <w:bookmarkStart w:id="142" w:name="_Hlk72585345"/>
      <w:r w:rsidRPr="0032506F">
        <w:rPr>
          <w:rFonts w:ascii="Times New Roman" w:eastAsia="Calibri" w:hAnsi="Times New Roman" w:cs="Times New Roman"/>
          <w:bCs/>
          <w:color w:val="000000"/>
          <w:sz w:val="24"/>
          <w:szCs w:val="24"/>
        </w:rPr>
        <w:t>This study consisted of two major phases in developing and validating an assessment instrument to measure students’ behavioral, emotional, and cognitive engagement in onl</w:t>
      </w:r>
      <w:r w:rsidR="00310876" w:rsidRPr="0032506F">
        <w:rPr>
          <w:rFonts w:ascii="Times New Roman" w:eastAsia="Calibri" w:hAnsi="Times New Roman" w:cs="Times New Roman"/>
          <w:bCs/>
          <w:color w:val="000000"/>
          <w:sz w:val="24"/>
          <w:szCs w:val="24"/>
        </w:rPr>
        <w:t>i</w:t>
      </w:r>
      <w:r w:rsidRPr="0032506F">
        <w:rPr>
          <w:rFonts w:ascii="Times New Roman" w:eastAsia="Calibri" w:hAnsi="Times New Roman" w:cs="Times New Roman"/>
          <w:bCs/>
          <w:color w:val="000000"/>
          <w:sz w:val="24"/>
          <w:szCs w:val="24"/>
        </w:rPr>
        <w:t>ne courses of higher education</w:t>
      </w:r>
      <w:r w:rsidR="00310876" w:rsidRPr="0032506F">
        <w:rPr>
          <w:rFonts w:ascii="Times New Roman" w:eastAsia="Calibri" w:hAnsi="Times New Roman" w:cs="Times New Roman"/>
          <w:bCs/>
          <w:color w:val="000000"/>
          <w:sz w:val="24"/>
          <w:szCs w:val="24"/>
        </w:rPr>
        <w:t xml:space="preserve"> by addressing the existing issues in the literature. </w:t>
      </w:r>
      <w:r w:rsidR="009A6EDD" w:rsidRPr="0032506F">
        <w:rPr>
          <w:rFonts w:ascii="Times New Roman" w:eastAsia="Calibri" w:hAnsi="Times New Roman" w:cs="Times New Roman"/>
          <w:bCs/>
          <w:color w:val="000000"/>
          <w:sz w:val="24"/>
          <w:szCs w:val="24"/>
        </w:rPr>
        <w:t>The first phase was developing and validating the OEHE items through expert review and pilot cognitive testing</w:t>
      </w:r>
      <w:r w:rsidR="00E56F35" w:rsidRPr="0032506F">
        <w:rPr>
          <w:rFonts w:ascii="Times New Roman" w:eastAsia="Calibri" w:hAnsi="Times New Roman" w:cs="Times New Roman"/>
          <w:bCs/>
          <w:color w:val="000000"/>
          <w:sz w:val="24"/>
          <w:szCs w:val="24"/>
        </w:rPr>
        <w:t xml:space="preserve">. The </w:t>
      </w:r>
      <w:r w:rsidR="00E56F35" w:rsidRPr="0032506F">
        <w:rPr>
          <w:rFonts w:ascii="Times New Roman" w:eastAsia="Calibri" w:hAnsi="Times New Roman" w:cs="Times New Roman"/>
          <w:bCs/>
          <w:color w:val="000000"/>
          <w:sz w:val="24"/>
          <w:szCs w:val="24"/>
        </w:rPr>
        <w:lastRenderedPageBreak/>
        <w:t>second phase focused on investigating the three research questions. The findings to the three research questions are summarized below</w:t>
      </w:r>
      <w:r w:rsidR="00336E67" w:rsidRPr="0032506F">
        <w:rPr>
          <w:rFonts w:ascii="Times New Roman" w:eastAsia="Calibri" w:hAnsi="Times New Roman" w:cs="Times New Roman"/>
          <w:bCs/>
          <w:color w:val="000000"/>
          <w:sz w:val="24"/>
          <w:szCs w:val="24"/>
        </w:rPr>
        <w:t xml:space="preserve">, followed by discussions. </w:t>
      </w:r>
    </w:p>
    <w:p w14:paraId="6907D5CA" w14:textId="77777777" w:rsidR="005F3140" w:rsidRPr="0032506F" w:rsidRDefault="005F3140" w:rsidP="005F3140">
      <w:pPr>
        <w:keepNext/>
        <w:keepLines/>
        <w:spacing w:after="0" w:line="480" w:lineRule="auto"/>
        <w:outlineLvl w:val="2"/>
        <w:rPr>
          <w:rFonts w:ascii="Times New Roman" w:eastAsiaTheme="majorEastAsia" w:hAnsi="Times New Roman" w:cs="Times New Roman"/>
          <w:b/>
          <w:bCs/>
          <w:i/>
          <w:iCs/>
          <w:sz w:val="24"/>
          <w:szCs w:val="24"/>
        </w:rPr>
      </w:pPr>
      <w:bookmarkStart w:id="143" w:name="_Toc102489471"/>
      <w:r w:rsidRPr="0032506F">
        <w:rPr>
          <w:rFonts w:ascii="Times New Roman" w:eastAsiaTheme="majorEastAsia" w:hAnsi="Times New Roman" w:cs="Times New Roman"/>
          <w:b/>
          <w:bCs/>
          <w:i/>
          <w:iCs/>
          <w:sz w:val="24"/>
          <w:szCs w:val="24"/>
        </w:rPr>
        <w:t>Discussion of Results of Research Question One</w:t>
      </w:r>
      <w:bookmarkEnd w:id="143"/>
    </w:p>
    <w:p w14:paraId="6CA19DF7" w14:textId="64CC00E3"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Results regarding research question one </w:t>
      </w:r>
      <w:r w:rsidRPr="0032506F">
        <w:rPr>
          <w:rFonts w:ascii="Times New Roman" w:eastAsia="Calibri" w:hAnsi="Times New Roman" w:cs="Times New Roman"/>
          <w:bCs/>
          <w:i/>
          <w:iCs/>
          <w:color w:val="000000"/>
          <w:sz w:val="24"/>
          <w:szCs w:val="24"/>
        </w:rPr>
        <w:t>RQ1:</w:t>
      </w:r>
      <w:r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i/>
          <w:iCs/>
          <w:color w:val="000000"/>
          <w:sz w:val="24"/>
          <w:szCs w:val="24"/>
        </w:rPr>
        <w:t xml:space="preserve">Can a three-factor hypothesized model of online student engagement based on theory and prior research be confirmed in a validation sample of online students of higher education? </w:t>
      </w:r>
      <w:r w:rsidRPr="0032506F">
        <w:rPr>
          <w:rFonts w:ascii="Times New Roman" w:eastAsia="Calibri" w:hAnsi="Times New Roman" w:cs="Times New Roman"/>
          <w:bCs/>
          <w:color w:val="000000"/>
          <w:sz w:val="24"/>
          <w:szCs w:val="24"/>
        </w:rPr>
        <w:t>provided empirical evidence for the factorial validity of the OEHE instrument as one significant dimension of its construct validity. The a priori hypothesis for the factorial structure of the OEHE instrument was that online student engagement in higher education was comprised of three dimensions or factors and therefore three latent factors were used to assess online student engagement. To test this a priori hypothesis regarding the three-factor model of online student engagement, a series of CFA</w:t>
      </w:r>
      <w:r w:rsidR="00041F22" w:rsidRPr="0032506F">
        <w:rPr>
          <w:rFonts w:ascii="Times New Roman" w:eastAsia="Calibri" w:hAnsi="Times New Roman" w:cs="Times New Roman"/>
          <w:bCs/>
          <w:color w:val="000000"/>
          <w:sz w:val="24"/>
          <w:szCs w:val="24"/>
        </w:rPr>
        <w:t>s were conducted</w:t>
      </w:r>
      <w:r w:rsidRPr="0032506F">
        <w:rPr>
          <w:rFonts w:ascii="Times New Roman" w:eastAsia="Calibri" w:hAnsi="Times New Roman" w:cs="Times New Roman"/>
          <w:bCs/>
          <w:color w:val="000000"/>
          <w:sz w:val="24"/>
          <w:szCs w:val="24"/>
        </w:rPr>
        <w:t xml:space="preserve"> by revising the model </w:t>
      </w:r>
      <w:proofErr w:type="gramStart"/>
      <w:r w:rsidRPr="0032506F">
        <w:rPr>
          <w:rFonts w:ascii="Times New Roman" w:eastAsia="Calibri" w:hAnsi="Times New Roman" w:cs="Times New Roman"/>
          <w:bCs/>
          <w:color w:val="000000"/>
          <w:sz w:val="24"/>
          <w:szCs w:val="24"/>
        </w:rPr>
        <w:t>in order to</w:t>
      </w:r>
      <w:proofErr w:type="gramEnd"/>
      <w:r w:rsidRPr="0032506F">
        <w:rPr>
          <w:rFonts w:ascii="Times New Roman" w:eastAsia="Calibri" w:hAnsi="Times New Roman" w:cs="Times New Roman"/>
          <w:bCs/>
          <w:color w:val="000000"/>
          <w:sz w:val="24"/>
          <w:szCs w:val="24"/>
        </w:rPr>
        <w:t xml:space="preserve"> be able to reach at least </w:t>
      </w:r>
      <w:r w:rsidR="00041F22" w:rsidRPr="0032506F">
        <w:rPr>
          <w:rFonts w:ascii="Times New Roman" w:eastAsia="Calibri" w:hAnsi="Times New Roman" w:cs="Times New Roman"/>
          <w:bCs/>
          <w:color w:val="000000"/>
          <w:sz w:val="24"/>
          <w:szCs w:val="24"/>
        </w:rPr>
        <w:t xml:space="preserve">an </w:t>
      </w:r>
      <w:r w:rsidRPr="0032506F">
        <w:rPr>
          <w:rFonts w:ascii="Times New Roman" w:eastAsia="Calibri" w:hAnsi="Times New Roman" w:cs="Times New Roman"/>
          <w:bCs/>
          <w:color w:val="000000"/>
          <w:sz w:val="24"/>
          <w:szCs w:val="24"/>
        </w:rPr>
        <w:t xml:space="preserve">acceptably fitting three-factor model of online student engagement. All revisions and modifications to the hypothesized model were made </w:t>
      </w:r>
      <w:proofErr w:type="gramStart"/>
      <w:r w:rsidRPr="0032506F">
        <w:rPr>
          <w:rFonts w:ascii="Times New Roman" w:eastAsia="Calibri" w:hAnsi="Times New Roman" w:cs="Times New Roman"/>
          <w:bCs/>
          <w:color w:val="000000"/>
          <w:sz w:val="24"/>
          <w:szCs w:val="24"/>
        </w:rPr>
        <w:t>in light of</w:t>
      </w:r>
      <w:proofErr w:type="gramEnd"/>
      <w:r w:rsidRPr="0032506F">
        <w:rPr>
          <w:rFonts w:ascii="Times New Roman" w:eastAsia="Calibri" w:hAnsi="Times New Roman" w:cs="Times New Roman"/>
          <w:bCs/>
          <w:color w:val="000000"/>
          <w:sz w:val="24"/>
          <w:szCs w:val="24"/>
        </w:rPr>
        <w:t xml:space="preserve"> both statistical evidence (e.g., global model fit indices, regression weights, modification indices) and theoretical sense (e.g., overlap in item content). After each refinement on the model (e.g., removal of items, specifying error covariances), both the model fit indices and the parameter estimates of the factor loadings within each hypothesized factor were carefully examined to judge the extent of the impact of the revisions and modifications on the model. </w:t>
      </w:r>
    </w:p>
    <w:p w14:paraId="2705854C" w14:textId="5810F731" w:rsidR="005F3140" w:rsidRPr="0032506F" w:rsidRDefault="005F3140" w:rsidP="005F3140">
      <w:pPr>
        <w:spacing w:after="0" w:line="480" w:lineRule="auto"/>
        <w:ind w:firstLine="720"/>
        <w:rPr>
          <w:rFonts w:ascii="Times New Roman" w:hAnsi="Times New Roman" w:cs="Times New Roman"/>
          <w:sz w:val="24"/>
          <w:szCs w:val="24"/>
        </w:rPr>
      </w:pPr>
      <w:r w:rsidRPr="0032506F">
        <w:rPr>
          <w:rFonts w:ascii="Times New Roman" w:eastAsia="Calibri" w:hAnsi="Times New Roman" w:cs="Times New Roman"/>
          <w:bCs/>
          <w:color w:val="000000"/>
          <w:sz w:val="24"/>
          <w:szCs w:val="24"/>
        </w:rPr>
        <w:t>In the final best-fitting model with three factors as hypothesized and confirmed,</w:t>
      </w:r>
      <w:r w:rsidR="00041F22"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there were a total of 20 indicator variables, with four items for the latent factor of online behavioral engagement, seven items for the latent factor of online emotional engagement, and nine items for the latent factor of online cognitive engagement. Although the number of measures for the latent </w:t>
      </w:r>
      <w:r w:rsidRPr="0032506F">
        <w:rPr>
          <w:rFonts w:ascii="Times New Roman" w:eastAsia="Calibri" w:hAnsi="Times New Roman" w:cs="Times New Roman"/>
          <w:bCs/>
          <w:color w:val="000000"/>
          <w:sz w:val="24"/>
          <w:szCs w:val="24"/>
        </w:rPr>
        <w:lastRenderedPageBreak/>
        <w:t>variable of online behavioral engagement in the final best-fitting model was relatively lower than the other two factors, it still meets the criterion of having at least three items for each factor (Russell, 2002).</w:t>
      </w:r>
      <w:r w:rsidRPr="0032506F">
        <w:rPr>
          <w:rFonts w:ascii="Times New Roman" w:hAnsi="Times New Roman" w:cs="Times New Roman"/>
          <w:sz w:val="24"/>
          <w:szCs w:val="24"/>
        </w:rPr>
        <w:t xml:space="preserve"> </w:t>
      </w:r>
      <w:r w:rsidRPr="0032506F">
        <w:rPr>
          <w:rFonts w:ascii="Times New Roman" w:eastAsia="Calibri" w:hAnsi="Times New Roman" w:cs="Times New Roman"/>
          <w:bCs/>
          <w:color w:val="000000"/>
          <w:sz w:val="24"/>
          <w:szCs w:val="24"/>
        </w:rPr>
        <w:t>In the final best-fitting model, there were positive</w:t>
      </w:r>
      <w:r w:rsidR="00D37995" w:rsidRPr="0032506F">
        <w:rPr>
          <w:rFonts w:ascii="Times New Roman" w:eastAsia="Calibri" w:hAnsi="Times New Roman" w:cs="Times New Roman"/>
          <w:bCs/>
          <w:color w:val="000000"/>
          <w:sz w:val="24"/>
          <w:szCs w:val="24"/>
        </w:rPr>
        <w:t>, significant,</w:t>
      </w:r>
      <w:r w:rsidRPr="0032506F">
        <w:rPr>
          <w:rFonts w:ascii="Times New Roman" w:eastAsia="Calibri" w:hAnsi="Times New Roman" w:cs="Times New Roman"/>
          <w:bCs/>
          <w:color w:val="000000"/>
          <w:sz w:val="24"/>
          <w:szCs w:val="24"/>
        </w:rPr>
        <w:t xml:space="preserve"> and moderate to strong correlations among the three factors of online student engagement, as theoretically expected. All these factor correlations between </w:t>
      </w:r>
      <w:r w:rsidR="00D37995" w:rsidRPr="0032506F">
        <w:rPr>
          <w:rFonts w:ascii="Times New Roman" w:eastAsia="Calibri" w:hAnsi="Times New Roman" w:cs="Times New Roman"/>
          <w:bCs/>
          <w:color w:val="000000"/>
          <w:sz w:val="24"/>
          <w:szCs w:val="24"/>
        </w:rPr>
        <w:t xml:space="preserve">behavioral, emotional, and cognitive </w:t>
      </w:r>
      <w:r w:rsidR="00D74C6C" w:rsidRPr="0032506F">
        <w:rPr>
          <w:rFonts w:ascii="Times New Roman" w:eastAsia="Calibri" w:hAnsi="Times New Roman" w:cs="Times New Roman"/>
          <w:bCs/>
          <w:color w:val="000000"/>
          <w:sz w:val="24"/>
          <w:szCs w:val="24"/>
        </w:rPr>
        <w:t>engagement dimensions</w:t>
      </w:r>
      <w:r w:rsidRPr="0032506F">
        <w:rPr>
          <w:rFonts w:ascii="Times New Roman" w:eastAsia="Calibri" w:hAnsi="Times New Roman" w:cs="Times New Roman"/>
          <w:bCs/>
          <w:color w:val="000000"/>
          <w:sz w:val="24"/>
          <w:szCs w:val="24"/>
        </w:rPr>
        <w:t xml:space="preserve"> were consistent with the student engagement framework used in this study (Fredricks et al., 2004, 2005) and with prior research of student engagement in both traditional and online learning environments (e.g., </w:t>
      </w:r>
      <w:r w:rsidR="00D74C6C" w:rsidRPr="0032506F">
        <w:rPr>
          <w:rFonts w:ascii="Times New Roman" w:eastAsia="Calibri" w:hAnsi="Times New Roman" w:cs="Times New Roman"/>
          <w:bCs/>
          <w:color w:val="000000"/>
          <w:sz w:val="24"/>
          <w:szCs w:val="24"/>
        </w:rPr>
        <w:t xml:space="preserve">Deng et al., 2020; </w:t>
      </w:r>
      <w:r w:rsidRPr="0032506F">
        <w:rPr>
          <w:rFonts w:ascii="Times New Roman" w:eastAsia="Calibri" w:hAnsi="Times New Roman" w:cs="Times New Roman"/>
          <w:bCs/>
          <w:color w:val="000000"/>
          <w:sz w:val="24"/>
          <w:szCs w:val="24"/>
        </w:rPr>
        <w:t xml:space="preserve">Hoi &amp; Le Hang, 2021; Kucuk &amp; Richardson, 2019; Li &amp; Lerner, 2013; Park &amp; Yun, 2019; Rimm-Kaufman et al., 2015; Sun &amp; Rueda, 2012). The relatively higher correlation between the online behavioral engagement and emotional engagement factors in this study can be explained by the considerable content overlap since the items in both subscales were asking the students about their online discussion interactions, whereas the online cognitive engagement items were also asking about overall online learning experiences besides online discussions. </w:t>
      </w:r>
    </w:p>
    <w:p w14:paraId="19D78516"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Theme="majorEastAsia" w:hAnsi="Times New Roman" w:cs="Times New Roman"/>
          <w:b/>
          <w:bCs/>
          <w:sz w:val="24"/>
          <w:szCs w:val="24"/>
        </w:rPr>
        <w:t>Justification of Remaining Indicators of OBE in the Confirmed Model.</w:t>
      </w:r>
      <w:r w:rsidRPr="0032506F">
        <w:rPr>
          <w:rFonts w:ascii="Times New Roman" w:eastAsia="Calibri" w:hAnsi="Times New Roman" w:cs="Times New Roman"/>
          <w:bCs/>
          <w:color w:val="000000"/>
          <w:sz w:val="24"/>
          <w:szCs w:val="24"/>
        </w:rPr>
        <w:t xml:space="preserve"> The results of this dissertation research provide supporting evidence that behavioral engagement is one of the three hypothesized factors or dimensions of online student engagement, as theoretically hypothesized (Fredricks et al., 2004). The four indicator variables of online behavioral engagement in the final confirmed model are associated with student-student and student-instructor interaction behaviors happening during online discussions. This pattern of results is consistent with the relevant online learning literature stating that asynchronous online discussion boards or discussion forums are commonly used in online education and are the primary avenues in which students perform certain online learning behaviors through their interactions with their </w:t>
      </w:r>
      <w:r w:rsidRPr="0032506F">
        <w:rPr>
          <w:rFonts w:ascii="Times New Roman" w:eastAsia="Calibri" w:hAnsi="Times New Roman" w:cs="Times New Roman"/>
          <w:bCs/>
          <w:color w:val="000000"/>
          <w:sz w:val="24"/>
          <w:szCs w:val="24"/>
        </w:rPr>
        <w:lastRenderedPageBreak/>
        <w:t>peers and their course instructor (Cheng et al., 2011; Ding et al., 2017</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 xml:space="preserve">Goggins &amp; Xing, 2016; </w:t>
      </w:r>
      <w:r w:rsidRPr="0032506F">
        <w:rPr>
          <w:rFonts w:ascii="Times New Roman" w:eastAsia="Times New Roman" w:hAnsi="Times New Roman" w:cs="Times New Roman"/>
          <w:bCs/>
          <w:sz w:val="24"/>
          <w:szCs w:val="24"/>
        </w:rPr>
        <w:t xml:space="preserve">Hew &amp; Cheung, 2008; </w:t>
      </w:r>
      <w:r w:rsidRPr="0032506F">
        <w:rPr>
          <w:rFonts w:ascii="Times New Roman" w:eastAsia="Calibri" w:hAnsi="Times New Roman" w:cs="Times New Roman"/>
          <w:bCs/>
          <w:color w:val="000000"/>
          <w:sz w:val="24"/>
          <w:szCs w:val="24"/>
        </w:rPr>
        <w:t>Kay, 2006;</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Lee &amp; Recker, 2021;</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Salter &amp; Conneely, 2015; Xie et al., 2006).</w:t>
      </w:r>
      <w:r w:rsidRPr="0032506F">
        <w:rPr>
          <w:rFonts w:ascii="AdvPTimes" w:hAnsi="AdvPTimes" w:cs="AdvPTimes"/>
          <w:sz w:val="19"/>
          <w:szCs w:val="19"/>
        </w:rPr>
        <w:t xml:space="preserve"> </w:t>
      </w:r>
      <w:r w:rsidRPr="0032506F">
        <w:rPr>
          <w:rFonts w:ascii="Times New Roman" w:eastAsia="Calibri" w:hAnsi="Times New Roman" w:cs="Times New Roman"/>
          <w:bCs/>
          <w:color w:val="000000"/>
          <w:sz w:val="24"/>
          <w:szCs w:val="24"/>
        </w:rPr>
        <w:t xml:space="preserve">Discussions taking place through discussion boards or forums have been regarded and shown to be an integral element of online learning environments by means of which students learn (Hew et al., 2010; Lee &amp; Recker, 2021). Therefore, the discussion board participation behaviors measured by the OEHE instrument as indicators of online behavioral engagement in this study are noteworthy given that “students do not only learn from course materials and lectures, </w:t>
      </w:r>
      <w:proofErr w:type="gramStart"/>
      <w:r w:rsidRPr="0032506F">
        <w:rPr>
          <w:rFonts w:ascii="Times New Roman" w:eastAsia="Calibri" w:hAnsi="Times New Roman" w:cs="Times New Roman"/>
          <w:bCs/>
          <w:color w:val="000000"/>
          <w:sz w:val="24"/>
          <w:szCs w:val="24"/>
        </w:rPr>
        <w:t>they</w:t>
      </w:r>
      <w:proofErr w:type="gramEnd"/>
      <w:r w:rsidRPr="0032506F">
        <w:rPr>
          <w:rFonts w:ascii="Times New Roman" w:eastAsia="Calibri" w:hAnsi="Times New Roman" w:cs="Times New Roman"/>
          <w:bCs/>
          <w:color w:val="000000"/>
          <w:sz w:val="24"/>
          <w:szCs w:val="24"/>
        </w:rPr>
        <w:t xml:space="preserve"> also learn a great deal from interacting with one another” (Cheng et al., 2011, p. 254). Discussion board interactions provide this learning opportunity for online students. Through reading their peers’ posts and participating in content-related dialogues or conversations with their peers as well as their course instructor during online discussions, online students can gain not only factual content knowledge but can also come up with new ideas and gain new insights into the course content (Cheng et al., 2011;</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 xml:space="preserve">Lee &amp; Recker, 2021). </w:t>
      </w:r>
    </w:p>
    <w:p w14:paraId="7C19539D"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Measuring such discussion-based participation behaviors as indicators of behavioral engagement is also justified by the relevant prior research showing a positive relationship between participating in online discussions and academic achievement in the online course (Cheng et al., 2011;</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 xml:space="preserve">Lee &amp; Recker, 2021). Measuring students’ participation behaviors in online discussions as indicators of their engagement is also crucial and relevant because previous research suggests that “the presence of a forum transforms less engaged students into more engaged students” (Cheng et al., 2011, p. 261). Due to its engaging power, asynchronous online discussions are given in the relevant literature as an effective instructional tool or strategy to foster student engagement because online discussion board or forum conversations, interactions </w:t>
      </w:r>
      <w:r w:rsidRPr="0032506F">
        <w:rPr>
          <w:rFonts w:ascii="Times New Roman" w:eastAsia="Calibri" w:hAnsi="Times New Roman" w:cs="Times New Roman"/>
          <w:bCs/>
          <w:color w:val="000000"/>
          <w:sz w:val="24"/>
          <w:szCs w:val="24"/>
        </w:rPr>
        <w:lastRenderedPageBreak/>
        <w:t xml:space="preserve">or dialogues </w:t>
      </w:r>
      <w:proofErr w:type="gramStart"/>
      <w:r w:rsidRPr="0032506F">
        <w:rPr>
          <w:rFonts w:ascii="Times New Roman" w:eastAsia="Calibri" w:hAnsi="Times New Roman" w:cs="Times New Roman"/>
          <w:bCs/>
          <w:color w:val="000000"/>
          <w:sz w:val="24"/>
          <w:szCs w:val="24"/>
        </w:rPr>
        <w:t>are considered to be</w:t>
      </w:r>
      <w:proofErr w:type="gramEnd"/>
      <w:r w:rsidRPr="0032506F">
        <w:rPr>
          <w:rFonts w:ascii="Times New Roman" w:eastAsia="Calibri" w:hAnsi="Times New Roman" w:cs="Times New Roman"/>
          <w:bCs/>
          <w:color w:val="000000"/>
          <w:sz w:val="24"/>
          <w:szCs w:val="24"/>
        </w:rPr>
        <w:t xml:space="preserve"> engaging learning activities for students in online learning environments (</w:t>
      </w:r>
      <w:r w:rsidRPr="0032506F">
        <w:rPr>
          <w:rFonts w:ascii="Times New Roman" w:eastAsia="Times New Roman" w:hAnsi="Times New Roman" w:cs="Times New Roman"/>
          <w:bCs/>
          <w:sz w:val="24"/>
          <w:szCs w:val="24"/>
        </w:rPr>
        <w:t xml:space="preserve">Salter &amp; Conneely, 2015) </w:t>
      </w:r>
    </w:p>
    <w:p w14:paraId="72A997D5"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Measuring online behavioral engagement via such online discussion participation indicators is also consistent with the previous literature suggesting that student participation in asynchronous online discussions can foster and support higher-order thinking, problem solving, and active learning, and students need to participate in those online discussions so that the benefits of online discussions can be reaped by online students (Ding et al., 2017; Goggins &amp; Xing, 2016; Salter &amp; Conneely, 2015). Therefore, assessing the level of student engagement in online discussions is particularly important to identify whether online students are more likely or less likely to enjoy such positive outcomes of online discussions. Given that lack of or low participation in asynchronous online discussions is a widespread issue in online courses (Hew et al., 2010; Lee &amp; Recker, 2021), measuring participation in online discussions as indicators of the level of behavioral engagement in online courses is also relevant and justified. </w:t>
      </w:r>
    </w:p>
    <w:p w14:paraId="6F32B27F"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addition, given that student engagement in online discussions is influenced by instructor participation as well as peer interactions (Ding et al., 2017), the OEHE items measuring instructor’s involvement in online discussions as well as interactions with peers are also consistent with the relevant literature. Moreover, the current confirmed set of online behavioral engagement (OBE) items associated with students’ participation behaviors in online discussions is also consistent with the previous research on student engagement, most of which associates behavioral engagement with students’ participation in learning, which primarily takes place in asynchronous discussions in online learning environments (Cheng et al., 2011; Ding et al., 2017; Salter &amp; Conneely, 2015). Further, the current OBE items measuring students’ participation in content-related dialogues with the course instructor and with the peers, which </w:t>
      </w:r>
      <w:r w:rsidRPr="0032506F">
        <w:rPr>
          <w:rFonts w:ascii="Times New Roman" w:eastAsia="Calibri" w:hAnsi="Times New Roman" w:cs="Times New Roman"/>
          <w:bCs/>
          <w:color w:val="000000"/>
          <w:sz w:val="24"/>
          <w:szCs w:val="24"/>
        </w:rPr>
        <w:lastRenderedPageBreak/>
        <w:t xml:space="preserve">encompass the behaviors of asking and answering questions, making comments, and offering suggestions during the natural course of these dialogues, rather than the behavior of posting only, and measuring participation in online discussions through the behavior of reading posts are also supported by the relevant literature. Dennen (2008) states: </w:t>
      </w:r>
    </w:p>
    <w:p w14:paraId="06F6B68A" w14:textId="77777777" w:rsidR="005F3140" w:rsidRPr="0032506F" w:rsidRDefault="005F3140" w:rsidP="005F3140">
      <w:pPr>
        <w:spacing w:after="0" w:line="480" w:lineRule="auto"/>
        <w:ind w:left="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Discussion itself requires a pattern of call and response, with turn-taking and listening being as important as contributing thoughts to the dialogue.</w:t>
      </w:r>
      <w:r w:rsidRPr="0032506F">
        <w:rPr>
          <w:rFonts w:ascii="AdvEPSTIM" w:hAnsi="AdvEPSTIM" w:cs="AdvEPSTIM"/>
          <w:sz w:val="20"/>
          <w:szCs w:val="20"/>
        </w:rPr>
        <w:t xml:space="preserve"> </w:t>
      </w:r>
      <w:r w:rsidRPr="0032506F">
        <w:rPr>
          <w:rFonts w:ascii="Times New Roman" w:eastAsia="Calibri" w:hAnsi="Times New Roman" w:cs="Times New Roman"/>
          <w:bCs/>
          <w:color w:val="000000"/>
          <w:sz w:val="24"/>
          <w:szCs w:val="24"/>
        </w:rPr>
        <w:t>Is it possible that students might engage with the asynchronous discussion by reading, the online equivalent of listening? Of course. (p. 1625)</w:t>
      </w:r>
      <w:r w:rsidRPr="0032506F">
        <w:rPr>
          <w:rFonts w:ascii="Times New Roman" w:eastAsia="Calibri" w:hAnsi="Times New Roman" w:cs="Times New Roman"/>
          <w:bCs/>
          <w:color w:val="000000"/>
          <w:sz w:val="24"/>
          <w:szCs w:val="24"/>
        </w:rPr>
        <w:tab/>
      </w:r>
    </w:p>
    <w:p w14:paraId="41C57E1C"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support of the validity of the current OBE items measuring participation in content-related dialogues during online discussions, Goggings and Xing (2016) also point out that “true learning dialogue requires students to read and reflect in order to be part of a dialogue instead of just posting activities” (p. 242).  </w:t>
      </w:r>
    </w:p>
    <w:p w14:paraId="5083D7EE"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On the other hand, there were other behavioral indicators given in the traditional engagement literature, such as</w:t>
      </w: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bCs/>
          <w:color w:val="000000"/>
          <w:sz w:val="24"/>
          <w:szCs w:val="24"/>
        </w:rPr>
        <w:t xml:space="preserve">homework completion, studying, asking for help, or accessing course material (Bond et al., 2020) and those given in online learning literature, such as sharing additional knowledge resources with others (Park et al., 2016; Shackelford &amp; Maxwell, 2012), taking notes (van de Sande et al., 2017; Watkins et al., 2015), completing online tasks and activities and submitting assignments online (Cerezo et al., 2016; Kokoc et al., 2021; Park et al., 2016) and getting feedback from the instructor (Watson et al., 2017). </w:t>
      </w:r>
      <w:proofErr w:type="gramStart"/>
      <w:r w:rsidRPr="0032506F">
        <w:rPr>
          <w:rFonts w:ascii="Times New Roman" w:eastAsia="Calibri" w:hAnsi="Times New Roman" w:cs="Times New Roman"/>
          <w:bCs/>
          <w:color w:val="000000"/>
          <w:sz w:val="24"/>
          <w:szCs w:val="24"/>
        </w:rPr>
        <w:t>All of</w:t>
      </w:r>
      <w:proofErr w:type="gramEnd"/>
      <w:r w:rsidRPr="0032506F">
        <w:rPr>
          <w:rFonts w:ascii="Times New Roman" w:eastAsia="Calibri" w:hAnsi="Times New Roman" w:cs="Times New Roman"/>
          <w:bCs/>
          <w:color w:val="000000"/>
          <w:sz w:val="24"/>
          <w:szCs w:val="24"/>
        </w:rPr>
        <w:t xml:space="preserve"> these indicators were theoretically hypothesized, based on the existing theoretical and empirical literature, and operationally used in the construction of the behavioral engagement items of the OEHE to measure other dimensions of online behavioral engagement in this study. However, these </w:t>
      </w:r>
      <w:r w:rsidRPr="0032506F">
        <w:rPr>
          <w:rFonts w:ascii="Times New Roman" w:eastAsia="Calibri" w:hAnsi="Times New Roman" w:cs="Times New Roman"/>
          <w:bCs/>
          <w:color w:val="000000"/>
          <w:sz w:val="24"/>
          <w:szCs w:val="24"/>
        </w:rPr>
        <w:lastRenderedPageBreak/>
        <w:t xml:space="preserve">indicators could not pass the reliability and validity tests with the sample of this study, </w:t>
      </w:r>
      <w:bookmarkStart w:id="144" w:name="_Hlk94462057"/>
      <w:r w:rsidRPr="0032506F">
        <w:rPr>
          <w:rFonts w:ascii="Times New Roman" w:eastAsia="Calibri" w:hAnsi="Times New Roman" w:cs="Times New Roman"/>
          <w:bCs/>
          <w:color w:val="000000"/>
          <w:sz w:val="24"/>
          <w:szCs w:val="24"/>
        </w:rPr>
        <w:t xml:space="preserve">which needs further examination with follow-up and/or replication studies with a larger sample size. </w:t>
      </w:r>
      <w:bookmarkEnd w:id="144"/>
    </w:p>
    <w:p w14:paraId="6CFFA48B" w14:textId="1B82D1EE"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This pattern of findings regarding the less well-defined status of the behavioral engagement dimension compared to the other two dimensions of online engagement in this study is consistent with the literature indicating that behavioral engagement as a construct is influenced by specific changes in specific contexts and it may greatly vary from context to context or even from moment to moment (Hoi &amp; Le Hang, 2021; Nguyen et al., 2018). This is particularly relevant to the context of this study. Most of the online learning experiences were delivered to the participants in this study as fully asynchronous and mostly asynchronous online (70.2%) and for this reason their participation behaviors in online learning experiences could be “unstable over time and across specific activities” (Hoi &amp; Le Hang, 2021, p. 1150). Considering that there were also important variations in the experiences of the participants, such as whether they had learning activities in their online course or whether they received feedback or not as evidenced by their responses to the </w:t>
      </w:r>
      <w:r w:rsidR="00673869" w:rsidRPr="0032506F">
        <w:rPr>
          <w:rFonts w:ascii="Times New Roman" w:eastAsia="Calibri" w:hAnsi="Times New Roman" w:cs="Times New Roman"/>
          <w:bCs/>
          <w:color w:val="000000"/>
          <w:sz w:val="24"/>
          <w:szCs w:val="24"/>
        </w:rPr>
        <w:t>course context</w:t>
      </w:r>
      <w:r w:rsidRPr="0032506F">
        <w:rPr>
          <w:rFonts w:ascii="Times New Roman" w:eastAsia="Calibri" w:hAnsi="Times New Roman" w:cs="Times New Roman"/>
          <w:bCs/>
          <w:color w:val="000000"/>
          <w:sz w:val="24"/>
          <w:szCs w:val="24"/>
        </w:rPr>
        <w:t xml:space="preserve"> questions, the participants might have used their general notions or interpretations of their behavioral engagement in online courses while judging and responding to this cross-sectional survey assessment of online behavioral engagement (Hoi &amp; Le Hang, 2021). Findings from this study regarding the behavioral engagement dimension suggest that future researchers and scale developers should exercise caution</w:t>
      </w:r>
      <w:r w:rsidR="00100227"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by considering this context-specific</w:t>
      </w:r>
      <w:r w:rsidR="00100227" w:rsidRPr="0032506F">
        <w:rPr>
          <w:rFonts w:ascii="Times New Roman" w:eastAsia="Calibri" w:hAnsi="Times New Roman" w:cs="Times New Roman"/>
          <w:bCs/>
          <w:color w:val="000000"/>
          <w:sz w:val="24"/>
          <w:szCs w:val="24"/>
        </w:rPr>
        <w:t xml:space="preserve"> and context-dependent</w:t>
      </w:r>
      <w:r w:rsidRPr="0032506F">
        <w:rPr>
          <w:rFonts w:ascii="Times New Roman" w:eastAsia="Calibri" w:hAnsi="Times New Roman" w:cs="Times New Roman"/>
          <w:bCs/>
          <w:color w:val="000000"/>
          <w:sz w:val="24"/>
          <w:szCs w:val="24"/>
        </w:rPr>
        <w:t xml:space="preserve"> nature of the behavioral engagement construct in online learning environments (Hoi &amp; Le Hang, 2021). </w:t>
      </w:r>
    </w:p>
    <w:p w14:paraId="26585598" w14:textId="67AE5F5D"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Theme="majorEastAsia" w:hAnsi="Times New Roman" w:cs="Times New Roman"/>
          <w:b/>
          <w:bCs/>
          <w:sz w:val="24"/>
          <w:szCs w:val="24"/>
        </w:rPr>
        <w:t>Justification of Remaining Indicators of OEE in the Confirmed Model.</w:t>
      </w:r>
      <w:r w:rsidRPr="0032506F">
        <w:rPr>
          <w:rFonts w:ascii="Times New Roman" w:eastAsia="Calibri" w:hAnsi="Times New Roman" w:cs="Times New Roman"/>
          <w:bCs/>
          <w:color w:val="000000"/>
          <w:sz w:val="24"/>
          <w:szCs w:val="24"/>
        </w:rPr>
        <w:t xml:space="preserve"> The results of this dissertation research provide supporting evidence that emotional engagement is one of the three hypothesized factors or dimensions of online student engagement, as theoretically </w:t>
      </w:r>
      <w:r w:rsidRPr="0032506F">
        <w:rPr>
          <w:rFonts w:ascii="Times New Roman" w:eastAsia="Calibri" w:hAnsi="Times New Roman" w:cs="Times New Roman"/>
          <w:bCs/>
          <w:color w:val="000000"/>
          <w:sz w:val="24"/>
          <w:szCs w:val="24"/>
        </w:rPr>
        <w:lastRenderedPageBreak/>
        <w:t xml:space="preserve">hypothesized (Fredricks et al., 2004). The seven indicator variables of online emotional engagement in the final confirmed model are also associated with student-student and student-instructor interaction behaviors happening during online discussions. This pattern of results is consistent with the relevant online learning literature stating that asynchronous online discussion boards or discussion forums are commonly used in online education and are the primary spaces in which online students are engaged in learning through their interactions with their peers and their course instructor (Cheng et al., 2011; Ding et al., 2017; Goggins &amp; Xing, 2016; Hew &amp; Cheung, 2008; Kay, 2006; Lee &amp; Recker, 2021; Salter &amp; Conneely, 2015).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was confirmed in this study as the dominant academic positive emotion representing online students’ emotional engagement associated with their interactions with their peers, their course instructors, and the course content during online discussions. </w:t>
      </w:r>
      <w:r w:rsidRPr="0032506F">
        <w:rPr>
          <w:rFonts w:ascii="Times New Roman" w:eastAsia="Calibri" w:hAnsi="Times New Roman" w:cs="Times New Roman"/>
          <w:bCs/>
          <w:i/>
          <w:iCs/>
          <w:color w:val="000000"/>
          <w:sz w:val="24"/>
          <w:szCs w:val="24"/>
        </w:rPr>
        <w:t xml:space="preserve">Curiosity </w:t>
      </w:r>
      <w:r w:rsidRPr="0032506F">
        <w:rPr>
          <w:rFonts w:ascii="Times New Roman" w:eastAsia="Calibri" w:hAnsi="Times New Roman" w:cs="Times New Roman"/>
          <w:bCs/>
          <w:color w:val="000000"/>
          <w:sz w:val="24"/>
          <w:szCs w:val="24"/>
        </w:rPr>
        <w:t xml:space="preserve">was also represented in the final best-fitting confirmed model by a single indicator variable assessing curiosity associated with peers’ perspectives/experiences in each online discussion. This pattern of results is consistent with the previous literature indicating that “emotions are critically important for students’ engagement with academic tasks” (Pekrun &amp; Linnenbrink-Garcia, 2012, p. 278). These results are also consistent with the previous research suggesting that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is one of the positive-activating emotions </w:t>
      </w:r>
      <w:proofErr w:type="gramStart"/>
      <w:r w:rsidRPr="0032506F">
        <w:rPr>
          <w:rFonts w:ascii="Times New Roman" w:eastAsia="Calibri" w:hAnsi="Times New Roman" w:cs="Times New Roman"/>
          <w:bCs/>
          <w:color w:val="000000"/>
          <w:sz w:val="24"/>
          <w:szCs w:val="24"/>
        </w:rPr>
        <w:t>most commonly reported</w:t>
      </w:r>
      <w:proofErr w:type="gramEnd"/>
      <w:r w:rsidRPr="0032506F">
        <w:rPr>
          <w:rFonts w:ascii="Times New Roman" w:eastAsia="Calibri" w:hAnsi="Times New Roman" w:cs="Times New Roman"/>
          <w:bCs/>
          <w:color w:val="000000"/>
          <w:sz w:val="24"/>
          <w:szCs w:val="24"/>
        </w:rPr>
        <w:t xml:space="preserve"> and experienced by university students in academic settings and learning contexts (Pekrun et al., 2011; Pekrun &amp; Linnenbrink-Garcia, 2012; Reindl et al. 2018). The use of the positive activating emotion of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to identify online students’ emotional engagement is also relevant and important in the context of empirical research indicating the positive impact of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on academic performance and achievement (Reindl et al. 2018) and its positive relation with students’ use of cognitive and metacognitive strategies in online courses for better learning (Artino &amp; Jones, 2012). The use of </w:t>
      </w:r>
      <w:r w:rsidRPr="0032506F">
        <w:rPr>
          <w:rFonts w:ascii="Times New Roman" w:eastAsia="Calibri" w:hAnsi="Times New Roman" w:cs="Times New Roman"/>
          <w:bCs/>
          <w:i/>
          <w:iCs/>
          <w:color w:val="000000"/>
          <w:sz w:val="24"/>
          <w:szCs w:val="24"/>
        </w:rPr>
        <w:t xml:space="preserve">enjoyment </w:t>
      </w:r>
      <w:r w:rsidRPr="0032506F">
        <w:rPr>
          <w:rFonts w:ascii="Times New Roman" w:eastAsia="Calibri" w:hAnsi="Times New Roman" w:cs="Times New Roman"/>
          <w:bCs/>
          <w:color w:val="000000"/>
          <w:sz w:val="24"/>
          <w:szCs w:val="24"/>
        </w:rPr>
        <w:t xml:space="preserve">as the major </w:t>
      </w:r>
      <w:r w:rsidRPr="0032506F">
        <w:rPr>
          <w:rFonts w:ascii="Times New Roman" w:eastAsia="Calibri" w:hAnsi="Times New Roman" w:cs="Times New Roman"/>
          <w:bCs/>
          <w:color w:val="000000"/>
          <w:sz w:val="24"/>
          <w:szCs w:val="24"/>
        </w:rPr>
        <w:lastRenderedPageBreak/>
        <w:t xml:space="preserve">emotion to measure students’ emotional engagement in online learning environments is also supported by prior online learning research measuring emotional engagement in online discussions by using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associated with online discussions as an indicator of emotional engagement (e.g., Ding et al., 2017; Xu et al., 2020) as well as by similar measures of online emotional engagement using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as </w:t>
      </w:r>
      <w:r w:rsidR="00AC751E" w:rsidRPr="0032506F">
        <w:rPr>
          <w:rFonts w:ascii="Times New Roman" w:eastAsia="Calibri" w:hAnsi="Times New Roman" w:cs="Times New Roman"/>
          <w:bCs/>
          <w:color w:val="000000"/>
          <w:sz w:val="24"/>
          <w:szCs w:val="24"/>
        </w:rPr>
        <w:t xml:space="preserve">one of the </w:t>
      </w:r>
      <w:r w:rsidRPr="0032506F">
        <w:rPr>
          <w:rFonts w:ascii="Times New Roman" w:eastAsia="Calibri" w:hAnsi="Times New Roman" w:cs="Times New Roman"/>
          <w:bCs/>
          <w:color w:val="000000"/>
          <w:sz w:val="24"/>
          <w:szCs w:val="24"/>
        </w:rPr>
        <w:t>positive emotion</w:t>
      </w:r>
      <w:r w:rsidR="00AC751E" w:rsidRPr="0032506F">
        <w:rPr>
          <w:rFonts w:ascii="Times New Roman" w:eastAsia="Calibri" w:hAnsi="Times New Roman" w:cs="Times New Roman"/>
          <w:bCs/>
          <w:color w:val="000000"/>
          <w:sz w:val="24"/>
          <w:szCs w:val="24"/>
        </w:rPr>
        <w:t>s</w:t>
      </w:r>
      <w:r w:rsidRPr="0032506F">
        <w:rPr>
          <w:rFonts w:ascii="Times New Roman" w:eastAsia="Calibri" w:hAnsi="Times New Roman" w:cs="Times New Roman"/>
          <w:bCs/>
          <w:color w:val="000000"/>
          <w:sz w:val="24"/>
          <w:szCs w:val="24"/>
        </w:rPr>
        <w:t xml:space="preserve"> experienced by students in online learning environments (e.g., Hoi &amp; Le Hang, 2021). Further, the use of enjoyment to measure emotional engagement in online learning environments is also important in the context of empirical research showing that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as a positive academic emotion contributes positively to students’ online learning experiences (Tempelaar et al., 2012). </w:t>
      </w:r>
    </w:p>
    <w:p w14:paraId="25D86DAE" w14:textId="7074942F"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The use of </w:t>
      </w:r>
      <w:r w:rsidRPr="0032506F">
        <w:rPr>
          <w:rFonts w:ascii="Times New Roman" w:eastAsia="Calibri" w:hAnsi="Times New Roman" w:cs="Times New Roman"/>
          <w:bCs/>
          <w:i/>
          <w:iCs/>
          <w:color w:val="000000"/>
          <w:sz w:val="24"/>
          <w:szCs w:val="24"/>
        </w:rPr>
        <w:t xml:space="preserve">curiosity </w:t>
      </w:r>
      <w:r w:rsidRPr="0032506F">
        <w:rPr>
          <w:rFonts w:ascii="Times New Roman" w:eastAsia="Calibri" w:hAnsi="Times New Roman" w:cs="Times New Roman"/>
          <w:bCs/>
          <w:color w:val="000000"/>
          <w:sz w:val="24"/>
          <w:szCs w:val="24"/>
        </w:rPr>
        <w:t xml:space="preserve">as another indicator of online emotional engagement in the final OEHE instrument is also consistent with the previous literature that </w:t>
      </w:r>
      <w:r w:rsidRPr="0032506F">
        <w:rPr>
          <w:rFonts w:ascii="Times New Roman" w:eastAsia="Calibri" w:hAnsi="Times New Roman" w:cs="Times New Roman"/>
          <w:bCs/>
          <w:i/>
          <w:iCs/>
          <w:color w:val="000000"/>
          <w:sz w:val="24"/>
          <w:szCs w:val="24"/>
        </w:rPr>
        <w:t>curiosity</w:t>
      </w:r>
      <w:r w:rsidRPr="0032506F">
        <w:rPr>
          <w:rFonts w:ascii="Times New Roman" w:eastAsia="Calibri" w:hAnsi="Times New Roman" w:cs="Times New Roman"/>
          <w:bCs/>
          <w:color w:val="000000"/>
          <w:sz w:val="24"/>
          <w:szCs w:val="24"/>
        </w:rPr>
        <w:t xml:space="preserve"> is one of the epistemic emotions triggered by cognitive incongruities and commonly experienced by students in academic settings and learning contexts (Litman &amp; Spielberger, 2003; Pekrun et al., 2017; Pekrun &amp; Linnenbrink-Garcia, 2012). The use of </w:t>
      </w:r>
      <w:r w:rsidRPr="0032506F">
        <w:rPr>
          <w:rFonts w:ascii="Times New Roman" w:eastAsia="Calibri" w:hAnsi="Times New Roman" w:cs="Times New Roman"/>
          <w:bCs/>
          <w:i/>
          <w:iCs/>
          <w:color w:val="000000"/>
          <w:sz w:val="24"/>
          <w:szCs w:val="24"/>
        </w:rPr>
        <w:t>curiosity</w:t>
      </w:r>
      <w:r w:rsidRPr="0032506F">
        <w:rPr>
          <w:rFonts w:ascii="Times New Roman" w:eastAsia="Calibri" w:hAnsi="Times New Roman" w:cs="Times New Roman"/>
          <w:bCs/>
          <w:color w:val="000000"/>
          <w:sz w:val="24"/>
          <w:szCs w:val="24"/>
        </w:rPr>
        <w:t xml:space="preserve"> as an indicator of online emotional engagement in the final OEHE in this study is also justified by the fact that the measurement of the epistemic emotions in the relevant literature has primarily concentrated on measuring </w:t>
      </w:r>
      <w:r w:rsidRPr="0032506F">
        <w:rPr>
          <w:rFonts w:ascii="Times New Roman" w:eastAsia="Calibri" w:hAnsi="Times New Roman" w:cs="Times New Roman"/>
          <w:bCs/>
          <w:i/>
          <w:iCs/>
          <w:color w:val="000000"/>
          <w:sz w:val="24"/>
          <w:szCs w:val="24"/>
        </w:rPr>
        <w:t xml:space="preserve">curiosity </w:t>
      </w:r>
      <w:r w:rsidRPr="0032506F">
        <w:rPr>
          <w:rFonts w:ascii="Times New Roman" w:eastAsia="Calibri" w:hAnsi="Times New Roman" w:cs="Times New Roman"/>
          <w:bCs/>
          <w:color w:val="000000"/>
          <w:sz w:val="24"/>
          <w:szCs w:val="24"/>
        </w:rPr>
        <w:t xml:space="preserve">(Pekrun et al., 2017). The use of </w:t>
      </w:r>
      <w:r w:rsidRPr="0032506F">
        <w:rPr>
          <w:rFonts w:ascii="Times New Roman" w:eastAsia="Calibri" w:hAnsi="Times New Roman" w:cs="Times New Roman"/>
          <w:bCs/>
          <w:i/>
          <w:iCs/>
          <w:color w:val="000000"/>
          <w:sz w:val="24"/>
          <w:szCs w:val="24"/>
        </w:rPr>
        <w:t>curiosity</w:t>
      </w:r>
      <w:r w:rsidRPr="0032506F">
        <w:rPr>
          <w:rFonts w:ascii="Times New Roman" w:eastAsia="Calibri" w:hAnsi="Times New Roman" w:cs="Times New Roman"/>
          <w:bCs/>
          <w:color w:val="000000"/>
          <w:sz w:val="24"/>
          <w:szCs w:val="24"/>
        </w:rPr>
        <w:t xml:space="preserve"> in the final OEHE instrument to measure emotional engagement is also relevant and important by the prior research indicating that academic learning and performance of students can be strongly influenced by epistemic emotions such as curiosity (Pekrun et al., 2017). </w:t>
      </w:r>
    </w:p>
    <w:p w14:paraId="7AF46E4B" w14:textId="0D339CB0"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On the other hand, there were two other positive achievement emotions related to success and failure, namely </w:t>
      </w:r>
      <w:r w:rsidRPr="0032506F">
        <w:rPr>
          <w:rFonts w:ascii="Times New Roman" w:eastAsia="Calibri" w:hAnsi="Times New Roman" w:cs="Times New Roman"/>
          <w:bCs/>
          <w:i/>
          <w:iCs/>
          <w:color w:val="000000"/>
          <w:sz w:val="24"/>
          <w:szCs w:val="24"/>
        </w:rPr>
        <w:t>pride</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 xml:space="preserve">hope </w:t>
      </w:r>
      <w:r w:rsidR="0007435A"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Pekrun et al., 2017</w:t>
      </w:r>
      <w:r w:rsidRPr="0032506F">
        <w:rPr>
          <w:rFonts w:ascii="Times New Roman" w:eastAsia="Calibri" w:hAnsi="Times New Roman" w:cs="Times New Roman"/>
          <w:bCs/>
          <w:i/>
          <w:iCs/>
          <w:color w:val="000000"/>
          <w:sz w:val="24"/>
          <w:szCs w:val="24"/>
        </w:rPr>
        <w:t>)</w:t>
      </w:r>
      <w:r w:rsidRPr="0032506F">
        <w:rPr>
          <w:rFonts w:ascii="Times New Roman" w:eastAsia="Calibri" w:hAnsi="Times New Roman" w:cs="Times New Roman"/>
          <w:bCs/>
          <w:color w:val="000000"/>
          <w:sz w:val="24"/>
          <w:szCs w:val="24"/>
        </w:rPr>
        <w:t xml:space="preserve">, used in the conceptualization and operationalization of online emotional engagement in this study, but the indicator variables </w:t>
      </w:r>
      <w:r w:rsidRPr="0032506F">
        <w:rPr>
          <w:rFonts w:ascii="Times New Roman" w:eastAsia="Calibri" w:hAnsi="Times New Roman" w:cs="Times New Roman"/>
          <w:bCs/>
          <w:color w:val="000000"/>
          <w:sz w:val="24"/>
          <w:szCs w:val="24"/>
        </w:rPr>
        <w:lastRenderedPageBreak/>
        <w:t xml:space="preserve">associated with these two emotions could not pass the reliability and validity tests with the sample used in this study. As indicated in the relevant research literature, one explanation is that although the achievement emotions may be similarly experienced in online learning environments like in traditional classrooms, certain distinct characteristics of online learning environments (e.g., lack of immediate contact, individual accountability, self-regulation, reliance on technology) may have differentially influenced the students’ appraisals of control (i.e., their beliefs regarding how effectively they can control and determine the outcomes of their online learning experiences) and value (how important or valuable their online learning experiences and outcomes are to them) and therefore their appraisals of the specific achievement emotions of </w:t>
      </w:r>
      <w:r w:rsidRPr="0032506F">
        <w:rPr>
          <w:rFonts w:ascii="Times New Roman" w:eastAsia="Calibri" w:hAnsi="Times New Roman" w:cs="Times New Roman"/>
          <w:bCs/>
          <w:i/>
          <w:iCs/>
          <w:color w:val="000000"/>
          <w:sz w:val="24"/>
          <w:szCs w:val="24"/>
        </w:rPr>
        <w:t>hope</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pride</w:t>
      </w:r>
      <w:r w:rsidRPr="0032506F">
        <w:rPr>
          <w:rFonts w:ascii="Times New Roman" w:eastAsia="Calibri" w:hAnsi="Times New Roman" w:cs="Times New Roman"/>
          <w:bCs/>
          <w:color w:val="000000"/>
          <w:sz w:val="24"/>
          <w:szCs w:val="24"/>
        </w:rPr>
        <w:t xml:space="preserve"> in their specific online courses (Daniels &amp; Stupnisky, 2012). In other words, the achievement emotions of </w:t>
      </w:r>
      <w:r w:rsidRPr="0032506F">
        <w:rPr>
          <w:rFonts w:ascii="Times New Roman" w:eastAsia="Calibri" w:hAnsi="Times New Roman" w:cs="Times New Roman"/>
          <w:bCs/>
          <w:i/>
          <w:iCs/>
          <w:color w:val="000000"/>
          <w:sz w:val="24"/>
          <w:szCs w:val="24"/>
        </w:rPr>
        <w:t>hope</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pride</w:t>
      </w:r>
      <w:r w:rsidRPr="0032506F">
        <w:rPr>
          <w:rFonts w:ascii="Times New Roman" w:eastAsia="Calibri" w:hAnsi="Times New Roman" w:cs="Times New Roman"/>
          <w:bCs/>
          <w:color w:val="000000"/>
          <w:sz w:val="24"/>
          <w:szCs w:val="24"/>
        </w:rPr>
        <w:t xml:space="preserve"> may have been influenced by those appraisals quite differently than the emotions of </w:t>
      </w:r>
      <w:r w:rsidRPr="0032506F">
        <w:rPr>
          <w:rFonts w:ascii="Times New Roman" w:eastAsia="Calibri" w:hAnsi="Times New Roman" w:cs="Times New Roman"/>
          <w:bCs/>
          <w:i/>
          <w:iCs/>
          <w:color w:val="000000"/>
          <w:sz w:val="24"/>
          <w:szCs w:val="24"/>
        </w:rPr>
        <w:t>enjoyment</w:t>
      </w:r>
      <w:r w:rsidRPr="0032506F">
        <w:rPr>
          <w:rFonts w:ascii="Times New Roman" w:eastAsia="Calibri" w:hAnsi="Times New Roman" w:cs="Times New Roman"/>
          <w:bCs/>
          <w:color w:val="000000"/>
          <w:sz w:val="24"/>
          <w:szCs w:val="24"/>
        </w:rPr>
        <w:t xml:space="preserve"> and </w:t>
      </w:r>
      <w:r w:rsidRPr="0032506F">
        <w:rPr>
          <w:rFonts w:ascii="Times New Roman" w:eastAsia="Calibri" w:hAnsi="Times New Roman" w:cs="Times New Roman"/>
          <w:bCs/>
          <w:i/>
          <w:iCs/>
          <w:color w:val="000000"/>
          <w:sz w:val="24"/>
          <w:szCs w:val="24"/>
        </w:rPr>
        <w:t>curiosity</w:t>
      </w:r>
      <w:r w:rsidRPr="0032506F">
        <w:rPr>
          <w:rFonts w:ascii="Times New Roman" w:eastAsia="Calibri" w:hAnsi="Times New Roman" w:cs="Times New Roman"/>
          <w:bCs/>
          <w:color w:val="000000"/>
          <w:sz w:val="24"/>
          <w:szCs w:val="24"/>
        </w:rPr>
        <w:t xml:space="preserve"> given that “the unique combination of students' control and value appraisals predicts their emotions” (Daniels &amp; Stupnisky, 2012, p. 223). This area also needs further examination with follow-up and/or replication studies with a larger sample size. </w:t>
      </w:r>
    </w:p>
    <w:p w14:paraId="0E383B65"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More research is </w:t>
      </w:r>
      <w:proofErr w:type="gramStart"/>
      <w:r w:rsidRPr="0032506F">
        <w:rPr>
          <w:rFonts w:ascii="Times New Roman" w:eastAsia="Calibri" w:hAnsi="Times New Roman" w:cs="Times New Roman"/>
          <w:bCs/>
          <w:color w:val="000000"/>
          <w:sz w:val="24"/>
          <w:szCs w:val="24"/>
        </w:rPr>
        <w:t>definitely needed</w:t>
      </w:r>
      <w:proofErr w:type="gramEnd"/>
      <w:r w:rsidRPr="0032506F">
        <w:rPr>
          <w:rFonts w:ascii="Times New Roman" w:eastAsia="Calibri" w:hAnsi="Times New Roman" w:cs="Times New Roman"/>
          <w:bCs/>
          <w:color w:val="000000"/>
          <w:sz w:val="24"/>
          <w:szCs w:val="24"/>
        </w:rPr>
        <w:t xml:space="preserve"> to examine all these academic achievement emotions in online learning environments since most of the empirical studies examining these emotions have traditionally examined them in face-to-face learning environments (Artino, 2010; Artino &amp; Jones, 2012; Daniels &amp; Stupnisky, 2012; Tempelaar et al., 2012). Finally, the fact that the online emotional engagement items associated with studying, completing tasks and assignments, participating in learning activities, and getting feedback did not pass the reliability and validity tests was consistent with the failure of similar behavioral engagement items to pass the reliability </w:t>
      </w:r>
      <w:r w:rsidRPr="0032506F">
        <w:rPr>
          <w:rFonts w:ascii="Times New Roman" w:eastAsia="Calibri" w:hAnsi="Times New Roman" w:cs="Times New Roman"/>
          <w:bCs/>
          <w:color w:val="000000"/>
          <w:sz w:val="24"/>
          <w:szCs w:val="24"/>
        </w:rPr>
        <w:lastRenderedPageBreak/>
        <w:t xml:space="preserve">and validity tests with the sample in this study, which similarly needs further examination with follow-up and/or replication studies with a larger sample.  </w:t>
      </w:r>
    </w:p>
    <w:p w14:paraId="1E4B46D1"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Theme="majorEastAsia" w:hAnsi="Times New Roman" w:cs="Times New Roman"/>
          <w:b/>
          <w:bCs/>
          <w:sz w:val="24"/>
          <w:szCs w:val="24"/>
        </w:rPr>
        <w:t>Justification of Remaining Indicators of OCE in the Confirmed Model.</w:t>
      </w:r>
      <w:r w:rsidRPr="0032506F">
        <w:rPr>
          <w:rFonts w:ascii="Times New Roman" w:eastAsia="Calibri" w:hAnsi="Times New Roman" w:cs="Times New Roman"/>
          <w:bCs/>
          <w:color w:val="000000"/>
          <w:sz w:val="24"/>
          <w:szCs w:val="24"/>
        </w:rPr>
        <w:t xml:space="preserve"> The results of this dissertation research provide supporting evidence that cognitive engagement is one of the three hypothesized factors or dimensions of online student engagement, as theoretically hypothesized (Fredricks et al., 2004). The nine indicator variables of online cognitive engagement in the final confirmed model are associated with students’ interaction behaviors happening during online discussions (e.g., explaining in depth during online discussions) and with their use of cognitive and metacognitive strategies to learn and understand the online course content (e.g., making connections between ideas, reflecting on one’s own understanding of course concepts). This pattern of results is consistent with the relevant online learning literature stating that asynchronous online discussion boards or discussion forums are commonly used in online education and are the primary spaces in which online students are engaged in learning through their interactions with their peers and their course instructor (Cheng et al., 2011; Ding et al., 2017; Goggins &amp; Xing, 2016; Hew &amp; Cheung, 2008; Kay, 2006; Lee &amp; Recker, 2021; Salter &amp; Conneely, 2015). </w:t>
      </w:r>
    </w:p>
    <w:p w14:paraId="48E89173"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addition, the use of cognitive and metacognitive strategies to measure cognitive engagement in online learning environments is also consistent with the relevant literature indicating the importance and value of cognitive engagement and cognitive and metacognitive strategies in traditional and online learning environments (Dennen, 2008; Fredricks et al., 2005; Greene &amp; Miller, 1996; Henrie et al., 2015; Miller et al., 1996, Reeve &amp; Tseng, 2011; Reeve, 2013; Sun &amp; Rueda, 2012; Wolters, 2004). The assessment of students’ use of cognitive and metacognitive strategies to measure online cognitive engagement in the OEHE instrument is also </w:t>
      </w:r>
      <w:r w:rsidRPr="0032506F">
        <w:rPr>
          <w:rFonts w:ascii="Times New Roman" w:eastAsia="Calibri" w:hAnsi="Times New Roman" w:cs="Times New Roman"/>
          <w:bCs/>
          <w:color w:val="000000"/>
          <w:sz w:val="24"/>
          <w:szCs w:val="24"/>
        </w:rPr>
        <w:lastRenderedPageBreak/>
        <w:t xml:space="preserve">justified and important in the context of the previous research indicating that students’ use of such learning strategies influences their online learning success (Lin et al., 2017; Yeh et al., 2019). The assessment of cognitive engagement associated with online discussions is also important and relevant to online learning environments given that previous research indicates that students’ cognitive engagement in online discussions can contribute to their learning and knowledge construction in online learning environments (Ding et al., 2017; Putman et al., 2012; Zhu, 2006). </w:t>
      </w:r>
    </w:p>
    <w:p w14:paraId="1D20B43C"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When compared to the construct representation achieved by the OBE and OEE subscales, this subscale of online cognitive engagement (OCE) more adequately represents online students’ engagement not only during online discussions but also during learning in the overall course. There were still some OCE items that could not pass the reliability and validity test with the sample in this study but almost </w:t>
      </w:r>
      <w:proofErr w:type="gramStart"/>
      <w:r w:rsidRPr="0032506F">
        <w:rPr>
          <w:rFonts w:ascii="Times New Roman" w:eastAsia="Calibri" w:hAnsi="Times New Roman" w:cs="Times New Roman"/>
          <w:bCs/>
          <w:color w:val="000000"/>
          <w:sz w:val="24"/>
          <w:szCs w:val="24"/>
        </w:rPr>
        <w:t>all of</w:t>
      </w:r>
      <w:proofErr w:type="gramEnd"/>
      <w:r w:rsidRPr="0032506F">
        <w:rPr>
          <w:rFonts w:ascii="Times New Roman" w:eastAsia="Calibri" w:hAnsi="Times New Roman" w:cs="Times New Roman"/>
          <w:bCs/>
          <w:color w:val="000000"/>
          <w:sz w:val="24"/>
          <w:szCs w:val="24"/>
        </w:rPr>
        <w:t xml:space="preserve"> the lost items are still expressed by the remaining OCE items due to their very similar cognitive and metacognitive content. However, there was one indicator variable intended to measure the metacognitive strategy of planning one’s study actions and it did not pass the reliability and validity tests in this study and no remaining OCE items represent its content. Given that planning one’s actions or setting goals is one of the important self-regulatory metacognitive strategies used by successful learners in both traditional and online learning environments (Lin et al., 2017; Wandler &amp; Imbriale, 2017; Zimmerman, 1990), this issue also needs further examinations by future studies with larger samples.  </w:t>
      </w:r>
    </w:p>
    <w:p w14:paraId="0AAF11E8" w14:textId="6A7F3C7F"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light of the three central issues that the current study was intended to address, which were (a) </w:t>
      </w:r>
      <w:r w:rsidR="00376191" w:rsidRPr="0032506F">
        <w:rPr>
          <w:rFonts w:ascii="Times New Roman" w:eastAsia="Calibri" w:hAnsi="Times New Roman" w:cs="Times New Roman"/>
          <w:bCs/>
          <w:color w:val="000000"/>
          <w:sz w:val="24"/>
          <w:szCs w:val="24"/>
        </w:rPr>
        <w:t>insufficient</w:t>
      </w:r>
      <w:r w:rsidRPr="0032506F">
        <w:rPr>
          <w:rFonts w:ascii="Times New Roman" w:eastAsia="Calibri" w:hAnsi="Times New Roman" w:cs="Times New Roman"/>
          <w:bCs/>
          <w:color w:val="000000"/>
          <w:sz w:val="24"/>
          <w:szCs w:val="24"/>
        </w:rPr>
        <w:t xml:space="preserve"> systematic and fully blown scale development research using Fredricks et al.’s (2004)</w:t>
      </w:r>
      <w:r w:rsidR="00376191"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tripartite conception to measure online student engagement in higher education contexts, (b) construct irrelevance (i.e., not measuring the intended construct of engagement) and </w:t>
      </w:r>
      <w:r w:rsidRPr="0032506F">
        <w:rPr>
          <w:rFonts w:ascii="Times New Roman" w:eastAsia="Calibri" w:hAnsi="Times New Roman" w:cs="Times New Roman"/>
          <w:bCs/>
          <w:color w:val="000000"/>
          <w:sz w:val="24"/>
          <w:szCs w:val="24"/>
        </w:rPr>
        <w:lastRenderedPageBreak/>
        <w:t xml:space="preserve">(c) construct underrepresentation (i.e., not measuring all fundamental aspects of engagement), the results of this dissertation study were able to fully address the first two issues. Through a systematic and fully blown scale development research, this dissertation study used and confirmed Fredricks et al.’s (2004) three-dimensional engagement conception in the context of online learning. This dissertation study also developed and validated an online engagement instrument that measures the intended construct of interest, engagement per se, rather than motivational elements such as self-efficacy, intrinsic </w:t>
      </w:r>
      <w:proofErr w:type="gramStart"/>
      <w:r w:rsidRPr="0032506F">
        <w:rPr>
          <w:rFonts w:ascii="Times New Roman" w:eastAsia="Calibri" w:hAnsi="Times New Roman" w:cs="Times New Roman"/>
          <w:bCs/>
          <w:color w:val="000000"/>
          <w:sz w:val="24"/>
          <w:szCs w:val="24"/>
        </w:rPr>
        <w:t>motivation</w:t>
      </w:r>
      <w:proofErr w:type="gramEnd"/>
      <w:r w:rsidRPr="0032506F">
        <w:rPr>
          <w:rFonts w:ascii="Times New Roman" w:eastAsia="Calibri" w:hAnsi="Times New Roman" w:cs="Times New Roman"/>
          <w:bCs/>
          <w:color w:val="000000"/>
          <w:sz w:val="24"/>
          <w:szCs w:val="24"/>
        </w:rPr>
        <w:t xml:space="preserve"> or any other irrelevant constructs, addressing the issue of construct irrelevance. The third issue, construct underrepresentation, was not fully resolved in this dissertation study due to the relatively limited nature of behavioral and emotional engagement subscales measuring behavioral and emotional engagement of students associated with their interactions in online discussions rather than overall course engagement including the online discussions. Given that “more items lead to better construct representation” (Eisinga et al., 2013, p. 641), both OBE and OEE subscales need to have more items to better represent the respective constructs of online behavioral engagement and online emotional engagement. This limitation regarding construct representation is discussed in detail in Limitations and Recommendations for Future Research sections. </w:t>
      </w:r>
    </w:p>
    <w:p w14:paraId="794E95EB" w14:textId="36AA17AA" w:rsidR="005F3140" w:rsidRPr="0032506F" w:rsidRDefault="005F3140" w:rsidP="005F3140">
      <w:pPr>
        <w:spacing w:after="0" w:line="480" w:lineRule="auto"/>
        <w:ind w:firstLine="720"/>
        <w:rPr>
          <w:rFonts w:ascii="Times New Roman" w:hAnsi="Times New Roman"/>
          <w:color w:val="000000" w:themeColor="text1"/>
          <w:sz w:val="24"/>
          <w:szCs w:val="24"/>
        </w:rPr>
      </w:pPr>
      <w:r w:rsidRPr="0032506F">
        <w:rPr>
          <w:rFonts w:ascii="Times New Roman" w:hAnsi="Times New Roman"/>
          <w:color w:val="000000" w:themeColor="text1"/>
          <w:sz w:val="24"/>
          <w:szCs w:val="24"/>
        </w:rPr>
        <w:t xml:space="preserve">Given (a) the meaningfulness, feasibility, and statistical significance of </w:t>
      </w:r>
      <w:r w:rsidR="00673869"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factor loadings, (b) the adequate global fit of</w:t>
      </w:r>
      <w:r w:rsidR="00CA2779" w:rsidRPr="0032506F">
        <w:rPr>
          <w:rFonts w:ascii="Times New Roman" w:hAnsi="Times New Roman"/>
          <w:color w:val="000000" w:themeColor="text1"/>
          <w:sz w:val="24"/>
          <w:szCs w:val="24"/>
        </w:rPr>
        <w:t xml:space="preserve"> the</w:t>
      </w:r>
      <w:r w:rsidRPr="0032506F">
        <w:rPr>
          <w:rFonts w:ascii="Times New Roman" w:hAnsi="Times New Roman"/>
          <w:color w:val="000000" w:themeColor="text1"/>
          <w:sz w:val="24"/>
          <w:szCs w:val="24"/>
        </w:rPr>
        <w:t xml:space="preserve"> three-factor hypothesized model with acceptable fitting model fit indices, </w:t>
      </w:r>
      <w:r w:rsidR="00CA2779" w:rsidRPr="0032506F">
        <w:rPr>
          <w:rFonts w:ascii="Times New Roman" w:hAnsi="Times New Roman"/>
          <w:color w:val="000000" w:themeColor="text1"/>
          <w:sz w:val="24"/>
          <w:szCs w:val="24"/>
        </w:rPr>
        <w:t xml:space="preserve">and </w:t>
      </w:r>
      <w:r w:rsidRPr="0032506F">
        <w:rPr>
          <w:rFonts w:ascii="Times New Roman" w:hAnsi="Times New Roman"/>
          <w:color w:val="000000" w:themeColor="text1"/>
          <w:sz w:val="24"/>
          <w:szCs w:val="24"/>
        </w:rPr>
        <w:t>(c) no serious indication of model misspecification checked through modification indices and standardized residual covariances</w:t>
      </w:r>
      <w:r w:rsidR="00CA2779" w:rsidRPr="0032506F">
        <w:rPr>
          <w:rFonts w:ascii="Times New Roman" w:hAnsi="Times New Roman"/>
          <w:color w:val="000000" w:themeColor="text1"/>
          <w:sz w:val="24"/>
          <w:szCs w:val="24"/>
        </w:rPr>
        <w:t xml:space="preserve">, it was concluded </w:t>
      </w:r>
      <w:r w:rsidRPr="0032506F">
        <w:rPr>
          <w:rFonts w:ascii="Times New Roman" w:hAnsi="Times New Roman"/>
          <w:color w:val="000000" w:themeColor="text1"/>
          <w:sz w:val="24"/>
          <w:szCs w:val="24"/>
        </w:rPr>
        <w:t>that</w:t>
      </w:r>
      <w:r w:rsidR="00CA2779" w:rsidRPr="0032506F">
        <w:rPr>
          <w:rFonts w:ascii="Times New Roman" w:hAnsi="Times New Roman"/>
          <w:color w:val="000000" w:themeColor="text1"/>
          <w:sz w:val="24"/>
          <w:szCs w:val="24"/>
        </w:rPr>
        <w:t xml:space="preserve"> the </w:t>
      </w:r>
      <w:r w:rsidRPr="0032506F">
        <w:rPr>
          <w:rFonts w:ascii="Times New Roman" w:hAnsi="Times New Roman"/>
          <w:color w:val="000000" w:themeColor="text1"/>
          <w:sz w:val="24"/>
          <w:szCs w:val="24"/>
        </w:rPr>
        <w:t xml:space="preserve">three-factor model adequately represents the structure of online student engagement for undergraduate and graduate students taking online courses in higher education settings, despite the fewer number and less variety of items of online behavioral and emotional engagement than theoretically </w:t>
      </w:r>
      <w:r w:rsidRPr="0032506F">
        <w:rPr>
          <w:rFonts w:ascii="Times New Roman" w:hAnsi="Times New Roman"/>
          <w:color w:val="000000" w:themeColor="text1"/>
          <w:sz w:val="24"/>
          <w:szCs w:val="24"/>
        </w:rPr>
        <w:lastRenderedPageBreak/>
        <w:t xml:space="preserve">hypothesized and operationally constructed at the onset of the development of the OEHE instrument. </w:t>
      </w:r>
      <w:r w:rsidR="00CA2779" w:rsidRPr="0032506F">
        <w:rPr>
          <w:rFonts w:ascii="Times New Roman" w:hAnsi="Times New Roman"/>
          <w:color w:val="000000" w:themeColor="text1"/>
          <w:sz w:val="24"/>
          <w:szCs w:val="24"/>
        </w:rPr>
        <w:t>T</w:t>
      </w:r>
      <w:r w:rsidRPr="0032506F">
        <w:rPr>
          <w:rFonts w:ascii="Times New Roman" w:hAnsi="Times New Roman"/>
          <w:color w:val="000000" w:themeColor="text1"/>
          <w:sz w:val="24"/>
          <w:szCs w:val="24"/>
        </w:rPr>
        <w:t>he limitations and recommendations regarding these issues</w:t>
      </w:r>
      <w:r w:rsidR="00CA2779" w:rsidRPr="0032506F">
        <w:rPr>
          <w:rFonts w:ascii="Times New Roman" w:hAnsi="Times New Roman"/>
          <w:color w:val="000000" w:themeColor="text1"/>
          <w:sz w:val="24"/>
          <w:szCs w:val="24"/>
        </w:rPr>
        <w:t xml:space="preserve"> are discussed</w:t>
      </w:r>
      <w:r w:rsidRPr="0032506F">
        <w:rPr>
          <w:rFonts w:ascii="Times New Roman" w:hAnsi="Times New Roman"/>
          <w:color w:val="000000" w:themeColor="text1"/>
          <w:sz w:val="24"/>
          <w:szCs w:val="24"/>
        </w:rPr>
        <w:t xml:space="preserve"> in the Limitations and Recommendations for Future Research sections.  </w:t>
      </w:r>
    </w:p>
    <w:p w14:paraId="56DA51C1" w14:textId="77777777" w:rsidR="005F3140" w:rsidRPr="0032506F" w:rsidRDefault="005F3140" w:rsidP="005F3140">
      <w:pPr>
        <w:keepNext/>
        <w:keepLines/>
        <w:spacing w:after="0" w:line="480" w:lineRule="auto"/>
        <w:outlineLvl w:val="2"/>
        <w:rPr>
          <w:rFonts w:ascii="Times New Roman" w:eastAsiaTheme="majorEastAsia" w:hAnsi="Times New Roman" w:cs="Times New Roman"/>
          <w:b/>
          <w:bCs/>
          <w:i/>
          <w:iCs/>
          <w:sz w:val="24"/>
          <w:szCs w:val="24"/>
        </w:rPr>
      </w:pPr>
      <w:bookmarkStart w:id="145" w:name="_Toc102489472"/>
      <w:r w:rsidRPr="0032506F">
        <w:rPr>
          <w:rFonts w:ascii="Times New Roman" w:eastAsiaTheme="majorEastAsia" w:hAnsi="Times New Roman" w:cs="Times New Roman"/>
          <w:b/>
          <w:bCs/>
          <w:i/>
          <w:iCs/>
          <w:sz w:val="24"/>
          <w:szCs w:val="24"/>
        </w:rPr>
        <w:t>Discussion of Results of Research Question Two</w:t>
      </w:r>
      <w:bookmarkEnd w:id="145"/>
    </w:p>
    <w:p w14:paraId="7C4DFB3D" w14:textId="18859F5B"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Results regarding</w:t>
      </w:r>
      <w:r w:rsidR="008A21D5" w:rsidRPr="0032506F">
        <w:rPr>
          <w:rFonts w:ascii="Times New Roman" w:eastAsia="Calibri" w:hAnsi="Times New Roman" w:cs="Times New Roman"/>
          <w:bCs/>
          <w:color w:val="000000"/>
          <w:sz w:val="24"/>
          <w:szCs w:val="24"/>
        </w:rPr>
        <w:t xml:space="preserve"> </w:t>
      </w:r>
      <w:r w:rsidR="00AD6951" w:rsidRPr="0032506F">
        <w:rPr>
          <w:rFonts w:ascii="Times New Roman" w:eastAsia="Calibri" w:hAnsi="Times New Roman" w:cs="Times New Roman"/>
          <w:bCs/>
          <w:color w:val="000000"/>
          <w:sz w:val="24"/>
          <w:szCs w:val="24"/>
        </w:rPr>
        <w:t xml:space="preserve">the </w:t>
      </w:r>
      <w:r w:rsidRPr="0032506F">
        <w:rPr>
          <w:rFonts w:ascii="Times New Roman" w:eastAsia="Calibri" w:hAnsi="Times New Roman" w:cs="Times New Roman"/>
          <w:bCs/>
          <w:color w:val="000000"/>
          <w:sz w:val="24"/>
          <w:szCs w:val="24"/>
        </w:rPr>
        <w:t xml:space="preserve">second research question </w:t>
      </w:r>
      <w:r w:rsidRPr="0032506F">
        <w:rPr>
          <w:rFonts w:ascii="Times New Roman" w:eastAsia="Calibri" w:hAnsi="Times New Roman" w:cs="Times New Roman"/>
          <w:bCs/>
          <w:i/>
          <w:iCs/>
          <w:color w:val="000000"/>
          <w:sz w:val="24"/>
          <w:szCs w:val="24"/>
        </w:rPr>
        <w:t xml:space="preserve">RQ2: Assuming the hypothesized three-factor model of online student engagement is an adequately fitting model, does convergent, discriminant, and criterion validity evidence support the use of the scale factors as indicators of online student engagement in higher education contexts? </w:t>
      </w:r>
      <w:r w:rsidRPr="0032506F">
        <w:rPr>
          <w:rFonts w:ascii="Times New Roman" w:eastAsia="Calibri" w:hAnsi="Times New Roman" w:cs="Times New Roman"/>
          <w:bCs/>
          <w:color w:val="000000"/>
          <w:sz w:val="24"/>
          <w:szCs w:val="24"/>
        </w:rPr>
        <w:t xml:space="preserve">provided empirical evidence of convergent, discriminant, and criterion validity for the use of the OEHE factors and the OEHE instrument as a whole to assess online student engagement in higher education. The correlation results were used to test for convergent, discriminant, and criterion validity of each OEHE subscale and of the OEHE </w:t>
      </w:r>
      <w:proofErr w:type="gramStart"/>
      <w:r w:rsidRPr="0032506F">
        <w:rPr>
          <w:rFonts w:ascii="Times New Roman" w:eastAsia="Calibri" w:hAnsi="Times New Roman" w:cs="Times New Roman"/>
          <w:bCs/>
          <w:color w:val="000000"/>
          <w:sz w:val="24"/>
          <w:szCs w:val="24"/>
        </w:rPr>
        <w:t>instrument as a whole</w:t>
      </w:r>
      <w:proofErr w:type="gramEnd"/>
      <w:r w:rsidRPr="0032506F">
        <w:rPr>
          <w:rFonts w:ascii="Times New Roman" w:eastAsia="Calibri" w:hAnsi="Times New Roman" w:cs="Times New Roman"/>
          <w:bCs/>
          <w:color w:val="000000"/>
          <w:sz w:val="24"/>
          <w:szCs w:val="24"/>
        </w:rPr>
        <w:t xml:space="preserve">. </w:t>
      </w:r>
      <w:r w:rsidR="00AD6951" w:rsidRPr="0032506F">
        <w:rPr>
          <w:rFonts w:ascii="Times New Roman" w:eastAsia="Calibri" w:hAnsi="Times New Roman" w:cs="Times New Roman"/>
          <w:bCs/>
          <w:color w:val="000000"/>
          <w:sz w:val="24"/>
          <w:szCs w:val="24"/>
        </w:rPr>
        <w:t>T</w:t>
      </w:r>
      <w:r w:rsidRPr="0032506F">
        <w:rPr>
          <w:rFonts w:ascii="Times New Roman" w:eastAsia="Calibri" w:hAnsi="Times New Roman" w:cs="Times New Roman"/>
          <w:bCs/>
          <w:color w:val="000000"/>
          <w:sz w:val="24"/>
          <w:szCs w:val="24"/>
        </w:rPr>
        <w:t>he magnitude</w:t>
      </w:r>
      <w:r w:rsidR="00AD6951" w:rsidRPr="0032506F">
        <w:rPr>
          <w:rFonts w:ascii="Times New Roman" w:eastAsia="Calibri" w:hAnsi="Times New Roman" w:cs="Times New Roman"/>
          <w:bCs/>
          <w:color w:val="000000"/>
          <w:sz w:val="24"/>
          <w:szCs w:val="24"/>
        </w:rPr>
        <w:t>s</w:t>
      </w:r>
      <w:r w:rsidRPr="0032506F">
        <w:rPr>
          <w:rFonts w:ascii="Times New Roman" w:eastAsia="Calibri" w:hAnsi="Times New Roman" w:cs="Times New Roman"/>
          <w:bCs/>
          <w:color w:val="000000"/>
          <w:sz w:val="24"/>
          <w:szCs w:val="24"/>
        </w:rPr>
        <w:t xml:space="preserve"> of the factor loadings within each subscale </w:t>
      </w:r>
      <w:r w:rsidR="00AD6951" w:rsidRPr="0032506F">
        <w:rPr>
          <w:rFonts w:ascii="Times New Roman" w:eastAsia="Calibri" w:hAnsi="Times New Roman" w:cs="Times New Roman"/>
          <w:bCs/>
          <w:color w:val="000000"/>
          <w:sz w:val="24"/>
          <w:szCs w:val="24"/>
        </w:rPr>
        <w:t xml:space="preserve">were also used </w:t>
      </w:r>
      <w:r w:rsidRPr="0032506F">
        <w:rPr>
          <w:rFonts w:ascii="Times New Roman" w:eastAsia="Calibri" w:hAnsi="Times New Roman" w:cs="Times New Roman"/>
          <w:bCs/>
          <w:color w:val="000000"/>
          <w:sz w:val="24"/>
          <w:szCs w:val="24"/>
        </w:rPr>
        <w:t>to judge the extent of convergent validity. The standardized factor loadings of all the OEHE items within each subscale, except for one online behavioral engagement item, namely OBE4, in the final best-fitting confirmed model were .50 and above, with majority of the item loadings in the .70s and .80s. Even the relatively less strong loading of the OBE4 item (.333) can be considered a reasonably good measure of the underlying factor (Wang et al., 2019</w:t>
      </w:r>
      <w:r w:rsidR="00AD6951"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In terms of the correlational results, the Pearson product-moment correlation coefficients between the mean scores of three subscales of the OEHE measure and the three corresponding subscales of Reeve’s (2013) online-modified classroom engagement instrument indicated weak </w:t>
      </w:r>
      <w:r w:rsidR="00AD6951" w:rsidRPr="0032506F">
        <w:rPr>
          <w:rFonts w:ascii="Times New Roman" w:eastAsia="Calibri" w:hAnsi="Times New Roman" w:cs="Times New Roman"/>
          <w:bCs/>
          <w:color w:val="000000"/>
          <w:sz w:val="24"/>
          <w:szCs w:val="24"/>
        </w:rPr>
        <w:t>but</w:t>
      </w:r>
      <w:r w:rsidRPr="0032506F">
        <w:rPr>
          <w:rFonts w:ascii="Times New Roman" w:eastAsia="Calibri" w:hAnsi="Times New Roman" w:cs="Times New Roman"/>
          <w:bCs/>
          <w:color w:val="000000"/>
          <w:sz w:val="24"/>
          <w:szCs w:val="24"/>
        </w:rPr>
        <w:t xml:space="preserve"> positive, and significant correlations, providing relatively weak evidence for convergent validity of the OEHE subscales.</w:t>
      </w:r>
      <w:r w:rsidRPr="0032506F">
        <w:rPr>
          <w:rFonts w:ascii="Times New Roman" w:hAnsi="Times New Roman"/>
          <w:bCs/>
          <w:color w:val="000000" w:themeColor="text1"/>
          <w:sz w:val="24"/>
          <w:szCs w:val="24"/>
        </w:rPr>
        <w:t xml:space="preserve"> </w:t>
      </w:r>
      <w:r w:rsidRPr="0032506F">
        <w:rPr>
          <w:rFonts w:ascii="Times New Roman" w:eastAsia="Calibri" w:hAnsi="Times New Roman" w:cs="Times New Roman"/>
          <w:bCs/>
          <w:color w:val="000000"/>
          <w:sz w:val="24"/>
          <w:szCs w:val="24"/>
        </w:rPr>
        <w:t xml:space="preserve">There was also a positive and significant correlation, </w:t>
      </w:r>
      <w:r w:rsidRPr="0032506F">
        <w:rPr>
          <w:rFonts w:ascii="Times New Roman" w:eastAsia="Calibri" w:hAnsi="Times New Roman" w:cs="Times New Roman"/>
          <w:bCs/>
          <w:color w:val="000000"/>
          <w:sz w:val="24"/>
          <w:szCs w:val="24"/>
        </w:rPr>
        <w:lastRenderedPageBreak/>
        <w:t xml:space="preserve">although still </w:t>
      </w:r>
      <w:r w:rsidR="00AD6951" w:rsidRPr="0032506F">
        <w:rPr>
          <w:rFonts w:ascii="Times New Roman" w:eastAsia="Calibri" w:hAnsi="Times New Roman" w:cs="Times New Roman"/>
          <w:bCs/>
          <w:color w:val="000000"/>
          <w:sz w:val="24"/>
          <w:szCs w:val="24"/>
        </w:rPr>
        <w:t>not strong</w:t>
      </w:r>
      <w:r w:rsidRPr="0032506F">
        <w:rPr>
          <w:rFonts w:ascii="Times New Roman" w:eastAsia="Calibri" w:hAnsi="Times New Roman" w:cs="Times New Roman"/>
          <w:bCs/>
          <w:color w:val="000000"/>
          <w:sz w:val="24"/>
          <w:szCs w:val="24"/>
        </w:rPr>
        <w:t>, between the overall OEHE score and the overall score of Reeve’s engagement measure, again providing relatively weak evidence for convergent validity.</w:t>
      </w:r>
    </w:p>
    <w:p w14:paraId="56AC4C05" w14:textId="4EA15CBA"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One potential reason for the weak correlations is that although Reeve’s (2013) engagement items were modified in wording to fit the online context, they were originally intended for traditional face-to-face classrooms, and they might not have worked as effectively even when modified to fit online learning environments. Another potential reason is that Reeve’s (2013) student engagement items are quite general in wording and item content (see </w:t>
      </w:r>
      <w:hyperlink w:anchor="_Appendix_I_Engagement" w:history="1">
        <w:r w:rsidRPr="0032506F">
          <w:rPr>
            <w:rStyle w:val="Hyperlink"/>
            <w:rFonts w:ascii="Times New Roman" w:eastAsia="Calibri" w:hAnsi="Times New Roman" w:cs="Times New Roman"/>
            <w:bCs/>
            <w:sz w:val="24"/>
            <w:szCs w:val="24"/>
          </w:rPr>
          <w:t xml:space="preserve">Appendix </w:t>
        </w:r>
        <w:r w:rsidR="00FD4983">
          <w:rPr>
            <w:rStyle w:val="Hyperlink"/>
            <w:rFonts w:ascii="Times New Roman" w:eastAsia="Calibri" w:hAnsi="Times New Roman" w:cs="Times New Roman"/>
            <w:bCs/>
            <w:sz w:val="24"/>
            <w:szCs w:val="24"/>
          </w:rPr>
          <w:t>I</w:t>
        </w:r>
      </w:hyperlink>
      <w:r w:rsidRPr="0032506F">
        <w:rPr>
          <w:rFonts w:ascii="Times New Roman" w:eastAsia="Calibri" w:hAnsi="Times New Roman" w:cs="Times New Roman"/>
          <w:bCs/>
          <w:color w:val="000000"/>
          <w:sz w:val="24"/>
          <w:szCs w:val="24"/>
        </w:rPr>
        <w:t xml:space="preserve">), whereas the items of the OEHE subscales are much more specific in terms of behavior, emotion, and cognition regarding specific components of online courses such as discussion board activities and student-student and student-instructor interactions. Due to the highly specific wording and content of the OEHE items relative to Reeve’s (2013) more general items, strong correlations might not have been obtained for convergent validity, although both measures theoretically converge on the same conception of student engagement (Fredricks et al., 2004). </w:t>
      </w:r>
    </w:p>
    <w:p w14:paraId="2AED3535" w14:textId="062A017F" w:rsidR="005F3140" w:rsidRPr="0032506F" w:rsidRDefault="005F3140" w:rsidP="005F3140">
      <w:pPr>
        <w:spacing w:after="0" w:line="480" w:lineRule="auto"/>
        <w:ind w:firstLine="720"/>
        <w:rPr>
          <w:rFonts w:ascii="Times New Roman" w:hAnsi="Times New Roman"/>
          <w:color w:val="000000" w:themeColor="text1"/>
          <w:sz w:val="24"/>
          <w:szCs w:val="24"/>
        </w:rPr>
      </w:pPr>
      <w:r w:rsidRPr="0032506F">
        <w:rPr>
          <w:rFonts w:ascii="Times New Roman" w:eastAsia="Calibri" w:hAnsi="Times New Roman" w:cs="Times New Roman"/>
          <w:bCs/>
          <w:color w:val="000000"/>
          <w:sz w:val="24"/>
          <w:szCs w:val="24"/>
        </w:rPr>
        <w:t xml:space="preserve">The correlations between the three subscales of the OEHE measure and the EBI-FA were extremely weak and non-significant, providing strong evidence for discriminant validity of all three OEHE subscales. </w:t>
      </w:r>
      <w:r w:rsidR="0039618F" w:rsidRPr="0032506F">
        <w:rPr>
          <w:rFonts w:ascii="Times New Roman" w:eastAsia="Calibri" w:hAnsi="Times New Roman" w:cs="Times New Roman"/>
          <w:bCs/>
          <w:color w:val="000000"/>
          <w:sz w:val="24"/>
          <w:szCs w:val="24"/>
        </w:rPr>
        <w:t xml:space="preserve">The </w:t>
      </w:r>
      <w:r w:rsidRPr="0032506F">
        <w:rPr>
          <w:rFonts w:ascii="Times New Roman" w:eastAsia="Calibri" w:hAnsi="Times New Roman" w:cs="Times New Roman"/>
          <w:bCs/>
          <w:color w:val="000000"/>
          <w:sz w:val="24"/>
          <w:szCs w:val="24"/>
        </w:rPr>
        <w:t xml:space="preserve">correlation between the overall mean score of the OEHE instrument and the mean score of EBI-FA </w:t>
      </w:r>
      <w:r w:rsidR="0039618F" w:rsidRPr="0032506F">
        <w:rPr>
          <w:rFonts w:ascii="Times New Roman" w:eastAsia="Calibri" w:hAnsi="Times New Roman" w:cs="Times New Roman"/>
          <w:bCs/>
          <w:color w:val="000000"/>
          <w:sz w:val="24"/>
          <w:szCs w:val="24"/>
        </w:rPr>
        <w:t xml:space="preserve">was also examined </w:t>
      </w:r>
      <w:r w:rsidRPr="0032506F">
        <w:rPr>
          <w:rFonts w:ascii="Times New Roman" w:eastAsia="Calibri" w:hAnsi="Times New Roman" w:cs="Times New Roman"/>
          <w:bCs/>
          <w:color w:val="000000"/>
          <w:sz w:val="24"/>
          <w:szCs w:val="24"/>
        </w:rPr>
        <w:t>and an extremely weak and non-significant correlation</w:t>
      </w:r>
      <w:r w:rsidR="0039618F" w:rsidRPr="0032506F">
        <w:rPr>
          <w:rFonts w:ascii="Times New Roman" w:eastAsia="Calibri" w:hAnsi="Times New Roman" w:cs="Times New Roman"/>
          <w:bCs/>
          <w:color w:val="000000"/>
          <w:sz w:val="24"/>
          <w:szCs w:val="24"/>
        </w:rPr>
        <w:t xml:space="preserve"> was also found</w:t>
      </w:r>
      <w:r w:rsidRPr="0032506F">
        <w:rPr>
          <w:rFonts w:ascii="Times New Roman" w:eastAsia="Calibri" w:hAnsi="Times New Roman" w:cs="Times New Roman"/>
          <w:bCs/>
          <w:color w:val="000000"/>
          <w:sz w:val="24"/>
          <w:szCs w:val="24"/>
        </w:rPr>
        <w:t xml:space="preserve"> between the two, similarly providing strong evidence for discriminant validity of the OEHE instrument. </w:t>
      </w:r>
      <w:r w:rsidR="0039618F" w:rsidRPr="0032506F">
        <w:rPr>
          <w:rFonts w:ascii="Times New Roman" w:eastAsia="Calibri" w:hAnsi="Times New Roman" w:cs="Times New Roman"/>
          <w:bCs/>
          <w:color w:val="000000"/>
          <w:sz w:val="24"/>
          <w:szCs w:val="24"/>
        </w:rPr>
        <w:t>D</w:t>
      </w:r>
      <w:r w:rsidRPr="0032506F">
        <w:rPr>
          <w:rFonts w:ascii="Times New Roman" w:hAnsi="Times New Roman"/>
          <w:color w:val="000000" w:themeColor="text1"/>
          <w:sz w:val="24"/>
          <w:szCs w:val="24"/>
        </w:rPr>
        <w:t>iscriminant validity coefficients</w:t>
      </w:r>
      <w:r w:rsidR="00157C00" w:rsidRPr="0032506F">
        <w:rPr>
          <w:rFonts w:ascii="Times New Roman" w:hAnsi="Times New Roman"/>
          <w:color w:val="000000" w:themeColor="text1"/>
          <w:sz w:val="24"/>
          <w:szCs w:val="24"/>
        </w:rPr>
        <w:t xml:space="preserve"> were interpreted</w:t>
      </w:r>
      <w:r w:rsidRPr="0032506F">
        <w:rPr>
          <w:rFonts w:ascii="Times New Roman" w:hAnsi="Times New Roman"/>
          <w:color w:val="000000" w:themeColor="text1"/>
          <w:sz w:val="24"/>
          <w:szCs w:val="24"/>
        </w:rPr>
        <w:t xml:space="preserve"> in comparison to convergent</w:t>
      </w:r>
      <w:r w:rsidRPr="0032506F">
        <w:rPr>
          <w:rFonts w:ascii="Times New Roman" w:hAnsi="Times New Roman"/>
          <w:bCs/>
          <w:color w:val="000000" w:themeColor="text1"/>
          <w:sz w:val="24"/>
          <w:szCs w:val="24"/>
        </w:rPr>
        <w:t xml:space="preserve"> </w:t>
      </w:r>
      <w:r w:rsidRPr="0032506F">
        <w:rPr>
          <w:rFonts w:ascii="Times New Roman" w:hAnsi="Times New Roman"/>
          <w:color w:val="000000" w:themeColor="text1"/>
          <w:sz w:val="24"/>
          <w:szCs w:val="24"/>
        </w:rPr>
        <w:t xml:space="preserve">validity coefficients, which is the recommended approach to the interpretation of convergent and discriminant validity evidence (Hubley, 2014). </w:t>
      </w:r>
      <w:proofErr w:type="gramStart"/>
      <w:r w:rsidRPr="0032506F">
        <w:rPr>
          <w:rFonts w:ascii="Times New Roman" w:hAnsi="Times New Roman"/>
          <w:color w:val="000000" w:themeColor="text1"/>
          <w:sz w:val="24"/>
          <w:szCs w:val="24"/>
        </w:rPr>
        <w:t xml:space="preserve">Translating this principle into the context of this study, </w:t>
      </w:r>
      <w:r w:rsidR="00157C00" w:rsidRPr="0032506F">
        <w:rPr>
          <w:rFonts w:ascii="Times New Roman" w:hAnsi="Times New Roman"/>
          <w:color w:val="000000" w:themeColor="text1"/>
          <w:sz w:val="24"/>
          <w:szCs w:val="24"/>
        </w:rPr>
        <w:t>there</w:t>
      </w:r>
      <w:proofErr w:type="gramEnd"/>
      <w:r w:rsidR="00157C00" w:rsidRPr="0032506F">
        <w:rPr>
          <w:rFonts w:ascii="Times New Roman" w:hAnsi="Times New Roman"/>
          <w:color w:val="000000" w:themeColor="text1"/>
          <w:sz w:val="24"/>
          <w:szCs w:val="24"/>
        </w:rPr>
        <w:t xml:space="preserve"> were</w:t>
      </w:r>
      <w:r w:rsidRPr="0032506F">
        <w:rPr>
          <w:rFonts w:ascii="Times New Roman" w:hAnsi="Times New Roman"/>
          <w:color w:val="000000" w:themeColor="text1"/>
          <w:sz w:val="24"/>
          <w:szCs w:val="24"/>
        </w:rPr>
        <w:t xml:space="preserve"> relatively higher and statistically significant correlations between the subscales of the OEHE instrument and the corresponding subscales of </w:t>
      </w:r>
      <w:r w:rsidRPr="0032506F">
        <w:rPr>
          <w:rFonts w:ascii="Times New Roman" w:hAnsi="Times New Roman"/>
          <w:color w:val="000000" w:themeColor="text1"/>
          <w:sz w:val="24"/>
          <w:szCs w:val="24"/>
        </w:rPr>
        <w:lastRenderedPageBreak/>
        <w:t>Reeve’s (2013) engagement scale as two measures of the same construct of engagement, providing reasonable, although not strong, evidence for convergent validity. On the other hand, relatively lower or negligible and non-significant correlations</w:t>
      </w:r>
      <w:r w:rsidR="006E3EAA">
        <w:rPr>
          <w:rFonts w:ascii="Times New Roman" w:hAnsi="Times New Roman"/>
          <w:color w:val="000000" w:themeColor="text1"/>
          <w:sz w:val="24"/>
          <w:szCs w:val="24"/>
        </w:rPr>
        <w:t xml:space="preserve"> were found</w:t>
      </w:r>
      <w:r w:rsidRPr="0032506F">
        <w:rPr>
          <w:rFonts w:ascii="Times New Roman" w:hAnsi="Times New Roman"/>
          <w:color w:val="000000" w:themeColor="text1"/>
          <w:sz w:val="24"/>
          <w:szCs w:val="24"/>
        </w:rPr>
        <w:t xml:space="preserve"> between the subscales of </w:t>
      </w:r>
      <w:r w:rsidR="00AE2F72"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OEHE instrument and epistemic beliefs fixed ability mindset measure as the measures of two different constructs, providing strong evidence </w:t>
      </w:r>
      <w:r w:rsidRPr="0032506F">
        <w:rPr>
          <w:rFonts w:ascii="Times New Roman" w:hAnsi="Times New Roman"/>
          <w:bCs/>
          <w:color w:val="000000" w:themeColor="text1"/>
          <w:sz w:val="24"/>
          <w:szCs w:val="24"/>
        </w:rPr>
        <w:t>for discriminant validity</w:t>
      </w:r>
      <w:r w:rsidRPr="0032506F">
        <w:rPr>
          <w:rFonts w:ascii="Times New Roman" w:hAnsi="Times New Roman"/>
          <w:color w:val="000000" w:themeColor="text1"/>
          <w:sz w:val="24"/>
          <w:szCs w:val="24"/>
        </w:rPr>
        <w:t>. In addition, a relatively higher and statistically significant correlation</w:t>
      </w:r>
      <w:r w:rsidR="00F40F95" w:rsidRPr="0032506F">
        <w:rPr>
          <w:rFonts w:ascii="Times New Roman" w:hAnsi="Times New Roman"/>
          <w:color w:val="000000" w:themeColor="text1"/>
          <w:sz w:val="24"/>
          <w:szCs w:val="24"/>
        </w:rPr>
        <w:t xml:space="preserve"> was found</w:t>
      </w:r>
      <w:r w:rsidRPr="0032506F">
        <w:rPr>
          <w:rFonts w:ascii="Times New Roman" w:hAnsi="Times New Roman"/>
          <w:color w:val="000000" w:themeColor="text1"/>
          <w:sz w:val="24"/>
          <w:szCs w:val="24"/>
        </w:rPr>
        <w:t xml:space="preserve"> between the overall OEHE mean score and the overall mean score of Reeve’s (2013) measure of engagement, while a relatively much lower or negligible and non-significant correlation </w:t>
      </w:r>
      <w:r w:rsidR="00F40F95" w:rsidRPr="0032506F">
        <w:rPr>
          <w:rFonts w:ascii="Times New Roman" w:hAnsi="Times New Roman"/>
          <w:color w:val="000000" w:themeColor="text1"/>
          <w:sz w:val="24"/>
          <w:szCs w:val="24"/>
        </w:rPr>
        <w:t xml:space="preserve">was found </w:t>
      </w:r>
      <w:r w:rsidRPr="0032506F">
        <w:rPr>
          <w:rFonts w:ascii="Times New Roman" w:hAnsi="Times New Roman"/>
          <w:color w:val="000000" w:themeColor="text1"/>
          <w:sz w:val="24"/>
          <w:szCs w:val="24"/>
        </w:rPr>
        <w:t>between the overall OEHE mean score and the EBI mean score</w:t>
      </w:r>
      <w:r w:rsidR="00402313" w:rsidRPr="0032506F">
        <w:rPr>
          <w:rFonts w:ascii="Times New Roman" w:hAnsi="Times New Roman"/>
          <w:color w:val="000000" w:themeColor="text1"/>
          <w:sz w:val="24"/>
          <w:szCs w:val="24"/>
        </w:rPr>
        <w:t xml:space="preserve">. </w:t>
      </w:r>
    </w:p>
    <w:p w14:paraId="691F007A" w14:textId="4E2410EB"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hAnsi="Times New Roman"/>
          <w:color w:val="000000" w:themeColor="text1"/>
          <w:sz w:val="24"/>
          <w:szCs w:val="24"/>
        </w:rPr>
        <w:t xml:space="preserve">Regarding criterion validity evidence, </w:t>
      </w:r>
      <w:r w:rsidRPr="0032506F">
        <w:rPr>
          <w:rFonts w:ascii="Times New Roman" w:hAnsi="Times New Roman"/>
          <w:bCs/>
          <w:color w:val="000000" w:themeColor="text1"/>
          <w:sz w:val="24"/>
          <w:szCs w:val="24"/>
        </w:rPr>
        <w:t xml:space="preserve">there was a positive and statistically significant relationship between each OEHE subscale and the task value measure. In addition, </w:t>
      </w:r>
      <w:r w:rsidR="00D17611" w:rsidRPr="0032506F">
        <w:rPr>
          <w:rFonts w:ascii="Times New Roman" w:hAnsi="Times New Roman"/>
          <w:bCs/>
          <w:color w:val="000000" w:themeColor="text1"/>
          <w:sz w:val="24"/>
          <w:szCs w:val="24"/>
        </w:rPr>
        <w:t xml:space="preserve">there was </w:t>
      </w:r>
      <w:r w:rsidRPr="0032506F">
        <w:rPr>
          <w:rFonts w:ascii="Times New Roman" w:hAnsi="Times New Roman"/>
          <w:bCs/>
          <w:color w:val="000000" w:themeColor="text1"/>
          <w:sz w:val="24"/>
          <w:szCs w:val="24"/>
        </w:rPr>
        <w:t>a positive</w:t>
      </w:r>
      <w:r w:rsidR="00105AE3" w:rsidRPr="0032506F">
        <w:rPr>
          <w:rFonts w:ascii="Times New Roman" w:hAnsi="Times New Roman"/>
          <w:bCs/>
          <w:color w:val="000000" w:themeColor="text1"/>
          <w:sz w:val="24"/>
          <w:szCs w:val="24"/>
        </w:rPr>
        <w:t xml:space="preserve"> and </w:t>
      </w:r>
      <w:r w:rsidRPr="0032506F">
        <w:rPr>
          <w:rFonts w:ascii="Times New Roman" w:hAnsi="Times New Roman"/>
          <w:bCs/>
          <w:color w:val="000000" w:themeColor="text1"/>
          <w:sz w:val="24"/>
          <w:szCs w:val="24"/>
        </w:rPr>
        <w:t>statistically significant relationship between the overall OEHE mean score and the task value measure, providing reasonable evidence for criterion-related validity as well.  Overall, the results of research question 2 indicated that the</w:t>
      </w:r>
      <w:r w:rsidRPr="0032506F">
        <w:rPr>
          <w:rFonts w:ascii="Times New Roman" w:eastAsia="Calibri" w:hAnsi="Times New Roman" w:cs="Times New Roman"/>
          <w:bCs/>
          <w:i/>
          <w:iCs/>
          <w:color w:val="000000"/>
          <w:sz w:val="24"/>
          <w:szCs w:val="24"/>
        </w:rPr>
        <w:t xml:space="preserve"> </w:t>
      </w:r>
      <w:r w:rsidRPr="0032506F">
        <w:rPr>
          <w:rFonts w:ascii="Times New Roman" w:eastAsia="Calibri" w:hAnsi="Times New Roman" w:cs="Times New Roman"/>
          <w:bCs/>
          <w:color w:val="000000"/>
          <w:sz w:val="24"/>
          <w:szCs w:val="24"/>
        </w:rPr>
        <w:t>three OEHE</w:t>
      </w:r>
      <w:r w:rsidRPr="0032506F">
        <w:rPr>
          <w:rFonts w:ascii="Times New Roman" w:eastAsia="Calibri" w:hAnsi="Times New Roman" w:cs="Times New Roman"/>
          <w:bCs/>
          <w:i/>
          <w:iCs/>
          <w:color w:val="000000"/>
          <w:sz w:val="24"/>
          <w:szCs w:val="24"/>
        </w:rPr>
        <w:t xml:space="preserve"> </w:t>
      </w:r>
      <w:r w:rsidRPr="0032506F">
        <w:rPr>
          <w:rFonts w:ascii="Times New Roman" w:hAnsi="Times New Roman"/>
          <w:bCs/>
          <w:color w:val="000000" w:themeColor="text1"/>
          <w:sz w:val="24"/>
          <w:szCs w:val="24"/>
        </w:rPr>
        <w:t xml:space="preserve">scale factors as indicators of online student engagement in higher education contexts as well as the OEHE instrument </w:t>
      </w:r>
      <w:proofErr w:type="gramStart"/>
      <w:r w:rsidRPr="0032506F">
        <w:rPr>
          <w:rFonts w:ascii="Times New Roman" w:hAnsi="Times New Roman"/>
          <w:bCs/>
          <w:color w:val="000000" w:themeColor="text1"/>
          <w:sz w:val="24"/>
          <w:szCs w:val="24"/>
        </w:rPr>
        <w:t>as a whole had</w:t>
      </w:r>
      <w:proofErr w:type="gramEnd"/>
      <w:r w:rsidRPr="0032506F">
        <w:rPr>
          <w:rFonts w:ascii="Times New Roman" w:hAnsi="Times New Roman"/>
          <w:bCs/>
          <w:color w:val="000000" w:themeColor="text1"/>
          <w:sz w:val="24"/>
          <w:szCs w:val="24"/>
        </w:rPr>
        <w:t xml:space="preserve"> reasonable evidence of convergent validity and criterion validity, and strong evidence of discriminant validity.   </w:t>
      </w:r>
    </w:p>
    <w:p w14:paraId="65623A6F" w14:textId="77777777" w:rsidR="005F3140" w:rsidRPr="0032506F" w:rsidRDefault="005F3140" w:rsidP="005F3140">
      <w:pPr>
        <w:keepNext/>
        <w:keepLines/>
        <w:spacing w:after="0" w:line="480" w:lineRule="auto"/>
        <w:outlineLvl w:val="2"/>
        <w:rPr>
          <w:rFonts w:ascii="Times New Roman" w:eastAsiaTheme="majorEastAsia" w:hAnsi="Times New Roman" w:cs="Times New Roman"/>
          <w:b/>
          <w:bCs/>
          <w:i/>
          <w:iCs/>
          <w:sz w:val="24"/>
          <w:szCs w:val="24"/>
        </w:rPr>
      </w:pPr>
      <w:bookmarkStart w:id="146" w:name="_Toc102489473"/>
      <w:r w:rsidRPr="0032506F">
        <w:rPr>
          <w:rFonts w:ascii="Times New Roman" w:eastAsiaTheme="majorEastAsia" w:hAnsi="Times New Roman" w:cs="Times New Roman"/>
          <w:b/>
          <w:bCs/>
          <w:i/>
          <w:iCs/>
          <w:sz w:val="24"/>
          <w:szCs w:val="24"/>
        </w:rPr>
        <w:t>Discussion of Results of Research Question Three</w:t>
      </w:r>
      <w:bookmarkEnd w:id="146"/>
    </w:p>
    <w:p w14:paraId="0468A6AB" w14:textId="024DDF28" w:rsidR="005F3140" w:rsidRPr="0032506F" w:rsidRDefault="005F3140" w:rsidP="005F3140">
      <w:pPr>
        <w:spacing w:after="0" w:line="480" w:lineRule="auto"/>
        <w:ind w:firstLine="720"/>
        <w:rPr>
          <w:rFonts w:ascii="Times New Roman" w:hAnsi="Times New Roman"/>
          <w:bCs/>
          <w:color w:val="000000" w:themeColor="text1"/>
          <w:sz w:val="24"/>
          <w:szCs w:val="24"/>
        </w:rPr>
      </w:pPr>
      <w:r w:rsidRPr="0032506F">
        <w:rPr>
          <w:rFonts w:ascii="Times New Roman" w:hAnsi="Times New Roman"/>
          <w:color w:val="000000" w:themeColor="text1"/>
          <w:sz w:val="24"/>
          <w:szCs w:val="24"/>
        </w:rPr>
        <w:t xml:space="preserve">Results regarding </w:t>
      </w:r>
      <w:r w:rsidR="00866406" w:rsidRPr="0032506F">
        <w:rPr>
          <w:rFonts w:ascii="Times New Roman" w:hAnsi="Times New Roman"/>
          <w:color w:val="000000" w:themeColor="text1"/>
          <w:sz w:val="24"/>
          <w:szCs w:val="24"/>
        </w:rPr>
        <w:t xml:space="preserve">the </w:t>
      </w:r>
      <w:r w:rsidRPr="0032506F">
        <w:rPr>
          <w:rFonts w:ascii="Times New Roman" w:hAnsi="Times New Roman"/>
          <w:color w:val="000000" w:themeColor="text1"/>
          <w:sz w:val="24"/>
          <w:szCs w:val="24"/>
        </w:rPr>
        <w:t xml:space="preserve">third and final research question </w:t>
      </w:r>
      <w:r w:rsidRPr="0032506F">
        <w:rPr>
          <w:rFonts w:ascii="Times New Roman" w:hAnsi="Times New Roman"/>
          <w:i/>
          <w:iCs/>
          <w:color w:val="000000" w:themeColor="text1"/>
          <w:sz w:val="24"/>
          <w:szCs w:val="24"/>
        </w:rPr>
        <w:t xml:space="preserve">RQ3 </w:t>
      </w:r>
      <w:r w:rsidRPr="0032506F">
        <w:rPr>
          <w:rFonts w:ascii="Times New Roman" w:hAnsi="Times New Roman"/>
          <w:bCs/>
          <w:i/>
          <w:iCs/>
          <w:color w:val="000000" w:themeColor="text1"/>
          <w:sz w:val="24"/>
          <w:szCs w:val="24"/>
        </w:rPr>
        <w:t xml:space="preserve">Do the confirmed scale factors exhibit evidence of internal consistency reliability? If yes, to what extent? </w:t>
      </w:r>
      <w:r w:rsidRPr="0032506F">
        <w:rPr>
          <w:rFonts w:ascii="Times New Roman" w:hAnsi="Times New Roman"/>
          <w:bCs/>
          <w:color w:val="000000" w:themeColor="text1"/>
          <w:sz w:val="24"/>
          <w:szCs w:val="24"/>
        </w:rPr>
        <w:t xml:space="preserve">provided empirical information about the reliability of each construct-validated subscale of the OEHE instrument as well as the reliability of the OEHE </w:t>
      </w:r>
      <w:proofErr w:type="gramStart"/>
      <w:r w:rsidRPr="0032506F">
        <w:rPr>
          <w:rFonts w:ascii="Times New Roman" w:hAnsi="Times New Roman"/>
          <w:bCs/>
          <w:color w:val="000000" w:themeColor="text1"/>
          <w:sz w:val="24"/>
          <w:szCs w:val="24"/>
        </w:rPr>
        <w:t>instrument as a whole</w:t>
      </w:r>
      <w:proofErr w:type="gramEnd"/>
      <w:r w:rsidRPr="0032506F">
        <w:rPr>
          <w:rFonts w:ascii="Times New Roman" w:hAnsi="Times New Roman"/>
          <w:bCs/>
          <w:color w:val="000000" w:themeColor="text1"/>
          <w:sz w:val="24"/>
          <w:szCs w:val="24"/>
        </w:rPr>
        <w:t>.</w:t>
      </w:r>
      <w:r w:rsidRPr="0032506F">
        <w:rPr>
          <w:rFonts w:ascii="Times New Roman" w:eastAsia="Calibri" w:hAnsi="Times New Roman" w:cs="Times New Roman"/>
          <w:bCs/>
          <w:color w:val="000000"/>
          <w:sz w:val="24"/>
          <w:szCs w:val="24"/>
        </w:rPr>
        <w:t xml:space="preserve"> </w:t>
      </w:r>
      <w:r w:rsidRPr="0032506F">
        <w:rPr>
          <w:rFonts w:ascii="Times New Roman" w:hAnsi="Times New Roman"/>
          <w:bCs/>
          <w:color w:val="000000" w:themeColor="text1"/>
          <w:sz w:val="24"/>
          <w:szCs w:val="24"/>
        </w:rPr>
        <w:t xml:space="preserve">Given that the Cronbach’s alpha coefficients of .70 and above are generally considered to be acceptable or </w:t>
      </w:r>
      <w:r w:rsidRPr="0032506F">
        <w:rPr>
          <w:rFonts w:ascii="Times New Roman" w:hAnsi="Times New Roman"/>
          <w:bCs/>
          <w:color w:val="000000" w:themeColor="text1"/>
          <w:sz w:val="24"/>
          <w:szCs w:val="24"/>
        </w:rPr>
        <w:lastRenderedPageBreak/>
        <w:t xml:space="preserve">adequate, .80 and above very good, and .90 and above are considered excellent in social science research (Pallant, 2020), both the OEE subscale with seven items and the OCE subscale with nine items were found to have a very good to excellent internal consistency reliability, while the OBE subscale with only four items that passed the CFA tests had an almost adequate internal consistency (between .65 and .70 minimally acceptable, DeVellis, 2003), although still weaker compared to the other two OEHE subscales. </w:t>
      </w:r>
    </w:p>
    <w:p w14:paraId="3DCEA8A4" w14:textId="77777777" w:rsidR="005F3140" w:rsidRPr="0032506F" w:rsidRDefault="005F3140" w:rsidP="005F3140">
      <w:pPr>
        <w:spacing w:after="0" w:line="480" w:lineRule="auto"/>
        <w:ind w:firstLine="720"/>
        <w:rPr>
          <w:rFonts w:ascii="Times New Roman" w:hAnsi="Times New Roman"/>
          <w:bCs/>
          <w:color w:val="000000" w:themeColor="text1"/>
          <w:sz w:val="24"/>
          <w:szCs w:val="24"/>
        </w:rPr>
      </w:pPr>
      <w:r w:rsidRPr="0032506F">
        <w:rPr>
          <w:rFonts w:ascii="Times New Roman" w:hAnsi="Times New Roman"/>
          <w:bCs/>
          <w:color w:val="000000" w:themeColor="text1"/>
          <w:sz w:val="24"/>
          <w:szCs w:val="24"/>
        </w:rPr>
        <w:t xml:space="preserve">One possible reason for the weaker internal consistency reliability of the OBE subscale could be associated with the relatively limited number of items since the number of items significantly influences the Cronbach’s alpha reliability estimates (DeVellis, 2012). It should be noted that more items are needed to better represent the subconstruct of online behavioral engagement </w:t>
      </w:r>
      <w:proofErr w:type="gramStart"/>
      <w:r w:rsidRPr="0032506F">
        <w:rPr>
          <w:rFonts w:ascii="Times New Roman" w:hAnsi="Times New Roman"/>
          <w:bCs/>
          <w:color w:val="000000" w:themeColor="text1"/>
          <w:sz w:val="24"/>
          <w:szCs w:val="24"/>
        </w:rPr>
        <w:t>and also</w:t>
      </w:r>
      <w:proofErr w:type="gramEnd"/>
      <w:r w:rsidRPr="0032506F">
        <w:rPr>
          <w:rFonts w:ascii="Times New Roman" w:hAnsi="Times New Roman"/>
          <w:bCs/>
          <w:color w:val="000000" w:themeColor="text1"/>
          <w:sz w:val="24"/>
          <w:szCs w:val="24"/>
        </w:rPr>
        <w:t xml:space="preserve"> that “the primary way to make measures more reliable is to increase the number of items” (Eisinga et al., 2013, p. 641). Another reason could be associated with the less strong relationship between the OBE items as indicated by the CFA estimates previously. Less tight intercorrelations among the OBE items compared to the OEE and OCE items seem to have also influenced the internal consistency reliability of the OBE scale. On the other hand, the internal consistency reliability of the OEHE instrument </w:t>
      </w:r>
      <w:proofErr w:type="gramStart"/>
      <w:r w:rsidRPr="0032506F">
        <w:rPr>
          <w:rFonts w:ascii="Times New Roman" w:hAnsi="Times New Roman"/>
          <w:bCs/>
          <w:color w:val="000000" w:themeColor="text1"/>
          <w:sz w:val="24"/>
          <w:szCs w:val="24"/>
        </w:rPr>
        <w:t>as a whole with</w:t>
      </w:r>
      <w:proofErr w:type="gramEnd"/>
      <w:r w:rsidRPr="0032506F">
        <w:rPr>
          <w:rFonts w:ascii="Times New Roman" w:hAnsi="Times New Roman"/>
          <w:bCs/>
          <w:color w:val="000000" w:themeColor="text1"/>
          <w:sz w:val="24"/>
          <w:szCs w:val="24"/>
        </w:rPr>
        <w:t xml:space="preserve"> a total of 20 items was very high (</w:t>
      </w:r>
      <w:r w:rsidRPr="0032506F">
        <w:rPr>
          <w:rFonts w:ascii="Times New Roman" w:hAnsi="Times New Roman"/>
          <w:bCs/>
          <w:i/>
          <w:color w:val="000000" w:themeColor="text1"/>
          <w:sz w:val="24"/>
          <w:szCs w:val="24"/>
        </w:rPr>
        <w:t>α=</w:t>
      </w:r>
      <w:r w:rsidRPr="0032506F">
        <w:rPr>
          <w:rFonts w:ascii="Times New Roman" w:hAnsi="Times New Roman"/>
          <w:bCs/>
          <w:color w:val="000000" w:themeColor="text1"/>
          <w:sz w:val="24"/>
          <w:szCs w:val="24"/>
        </w:rPr>
        <w:t xml:space="preserve"> .906), providing strong empirical evidence for the reliability of the OEHE as an instrument to measure online student engagement.</w:t>
      </w:r>
    </w:p>
    <w:p w14:paraId="3C287019" w14:textId="413388EC" w:rsidR="005F3140" w:rsidRPr="0032506F" w:rsidRDefault="005F3140" w:rsidP="005F3140">
      <w:pPr>
        <w:spacing w:after="0" w:line="480" w:lineRule="auto"/>
        <w:rPr>
          <w:rFonts w:ascii="Times New Roman" w:hAnsi="Times New Roman"/>
          <w:color w:val="000000" w:themeColor="text1"/>
          <w:sz w:val="24"/>
          <w:szCs w:val="24"/>
        </w:rPr>
      </w:pPr>
      <w:r w:rsidRPr="0032506F">
        <w:rPr>
          <w:rFonts w:ascii="Times New Roman" w:hAnsi="Times New Roman"/>
          <w:bCs/>
          <w:i/>
          <w:iCs/>
          <w:color w:val="000000" w:themeColor="text1"/>
          <w:sz w:val="24"/>
          <w:szCs w:val="24"/>
        </w:rPr>
        <w:t xml:space="preserve"> </w:t>
      </w:r>
      <w:r w:rsidRPr="0032506F">
        <w:rPr>
          <w:rFonts w:ascii="Times New Roman" w:hAnsi="Times New Roman"/>
          <w:bCs/>
          <w:i/>
          <w:iCs/>
          <w:color w:val="000000" w:themeColor="text1"/>
          <w:sz w:val="24"/>
          <w:szCs w:val="24"/>
        </w:rPr>
        <w:tab/>
      </w:r>
      <w:r w:rsidRPr="0032506F">
        <w:rPr>
          <w:rFonts w:ascii="Times New Roman" w:hAnsi="Times New Roman"/>
          <w:bCs/>
          <w:color w:val="000000" w:themeColor="text1"/>
          <w:sz w:val="24"/>
          <w:szCs w:val="24"/>
        </w:rPr>
        <w:t xml:space="preserve">Considering the results of a series of CFAs, validity coefficients, and Cronbach’s alphas, </w:t>
      </w:r>
      <w:r w:rsidR="00105AE3" w:rsidRPr="0032506F">
        <w:rPr>
          <w:rFonts w:ascii="Times New Roman" w:hAnsi="Times New Roman"/>
          <w:bCs/>
          <w:color w:val="000000" w:themeColor="text1"/>
          <w:sz w:val="24"/>
          <w:szCs w:val="24"/>
        </w:rPr>
        <w:t xml:space="preserve">it was </w:t>
      </w:r>
      <w:r w:rsidRPr="0032506F">
        <w:rPr>
          <w:rFonts w:ascii="Times New Roman" w:hAnsi="Times New Roman"/>
          <w:bCs/>
          <w:color w:val="000000" w:themeColor="text1"/>
          <w:sz w:val="24"/>
          <w:szCs w:val="24"/>
        </w:rPr>
        <w:t xml:space="preserve">concluded with reasonable confidence that the final 20-item three-factor OEHE instrument can indeed measure the three dimensions of student engagement (Fredricks et al., 2004) in online learning environments of higher education, although its resulting behavioral and emotional measures are relatively limited in content domain when compared to its cognitive engagement </w:t>
      </w:r>
      <w:r w:rsidRPr="0032506F">
        <w:rPr>
          <w:rFonts w:ascii="Times New Roman" w:hAnsi="Times New Roman"/>
          <w:bCs/>
          <w:color w:val="000000" w:themeColor="text1"/>
          <w:sz w:val="24"/>
          <w:szCs w:val="24"/>
        </w:rPr>
        <w:lastRenderedPageBreak/>
        <w:t xml:space="preserve">measures. Both the reliability and validity evidence obtained from this dissertation study support the use of the OEHE subscales as reliable and valid indicators of student engagement in online courses of higher education and the use of the OEHE instrument as a promising assessment tool to measure student engagement in online courses of higher education from three core dimensions of behavior, emotion, and cognition. </w:t>
      </w:r>
      <w:r w:rsidR="000B4072" w:rsidRPr="0032506F">
        <w:rPr>
          <w:rFonts w:ascii="Times New Roman" w:hAnsi="Times New Roman"/>
          <w:bCs/>
          <w:color w:val="000000" w:themeColor="text1"/>
          <w:sz w:val="24"/>
          <w:szCs w:val="24"/>
        </w:rPr>
        <w:t xml:space="preserve">However, the findings of this study regarding the validity and reliability of the OEHE instrument are still </w:t>
      </w:r>
      <w:r w:rsidRPr="0032506F">
        <w:rPr>
          <w:rFonts w:ascii="Times New Roman" w:hAnsi="Times New Roman"/>
          <w:bCs/>
          <w:color w:val="000000" w:themeColor="text1"/>
          <w:sz w:val="24"/>
          <w:szCs w:val="24"/>
        </w:rPr>
        <w:t>open to fu</w:t>
      </w:r>
      <w:r w:rsidR="000B4072" w:rsidRPr="0032506F">
        <w:rPr>
          <w:rFonts w:ascii="Times New Roman" w:hAnsi="Times New Roman"/>
          <w:bCs/>
          <w:color w:val="000000" w:themeColor="text1"/>
          <w:sz w:val="24"/>
          <w:szCs w:val="24"/>
        </w:rPr>
        <w:t>ture</w:t>
      </w:r>
      <w:r w:rsidRPr="0032506F">
        <w:rPr>
          <w:rFonts w:ascii="Times New Roman" w:hAnsi="Times New Roman"/>
          <w:bCs/>
          <w:color w:val="000000" w:themeColor="text1"/>
          <w:sz w:val="24"/>
          <w:szCs w:val="24"/>
        </w:rPr>
        <w:t xml:space="preserve"> studies and further improvements. </w:t>
      </w:r>
    </w:p>
    <w:p w14:paraId="766144B9" w14:textId="77777777" w:rsidR="005F3140" w:rsidRPr="0032506F" w:rsidRDefault="005F3140" w:rsidP="005F3140">
      <w:pPr>
        <w:keepNext/>
        <w:keepLines/>
        <w:spacing w:after="0" w:line="480" w:lineRule="auto"/>
        <w:outlineLvl w:val="2"/>
        <w:rPr>
          <w:rFonts w:ascii="Times New Roman" w:eastAsiaTheme="majorEastAsia" w:hAnsi="Times New Roman" w:cs="Times New Roman"/>
          <w:b/>
          <w:bCs/>
          <w:i/>
          <w:iCs/>
          <w:sz w:val="24"/>
          <w:szCs w:val="24"/>
        </w:rPr>
      </w:pPr>
      <w:bookmarkStart w:id="147" w:name="_Toc102489474"/>
      <w:r w:rsidRPr="0032506F">
        <w:rPr>
          <w:rFonts w:ascii="Times New Roman" w:eastAsiaTheme="majorEastAsia" w:hAnsi="Times New Roman" w:cs="Times New Roman"/>
          <w:b/>
          <w:bCs/>
          <w:i/>
          <w:iCs/>
          <w:sz w:val="24"/>
          <w:szCs w:val="24"/>
        </w:rPr>
        <w:t>Implications of the Study</w:t>
      </w:r>
      <w:bookmarkEnd w:id="147"/>
    </w:p>
    <w:p w14:paraId="0C965EA7" w14:textId="531FEA18" w:rsidR="005F3140" w:rsidRPr="0032506F" w:rsidRDefault="00410167"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T</w:t>
      </w:r>
      <w:r w:rsidR="005F3140" w:rsidRPr="0032506F">
        <w:rPr>
          <w:rFonts w:ascii="Times New Roman" w:eastAsia="Calibri" w:hAnsi="Times New Roman" w:cs="Times New Roman"/>
          <w:bCs/>
          <w:color w:val="000000"/>
          <w:sz w:val="24"/>
          <w:szCs w:val="24"/>
        </w:rPr>
        <w:t xml:space="preserve">he findings of this dissertation study have implications for theory and research, and implications for practice. </w:t>
      </w:r>
    </w:p>
    <w:p w14:paraId="7FB9E071" w14:textId="7C9AB05D" w:rsidR="005F3140" w:rsidRPr="0032506F" w:rsidRDefault="005F3140" w:rsidP="005F3140">
      <w:pPr>
        <w:spacing w:after="0" w:line="480" w:lineRule="auto"/>
        <w:ind w:firstLine="720"/>
      </w:pPr>
      <w:r w:rsidRPr="0032506F">
        <w:rPr>
          <w:rFonts w:ascii="Times New Roman" w:eastAsiaTheme="majorEastAsia" w:hAnsi="Times New Roman" w:cs="Times New Roman"/>
          <w:b/>
          <w:bCs/>
          <w:sz w:val="24"/>
          <w:szCs w:val="24"/>
        </w:rPr>
        <w:t>Implications for Theory and Research.</w:t>
      </w:r>
      <w:r w:rsidRPr="0032506F">
        <w:rPr>
          <w:rFonts w:ascii="Times New Roman" w:eastAsia="Calibri" w:hAnsi="Times New Roman" w:cs="Times New Roman"/>
          <w:b/>
          <w:bCs/>
          <w:sz w:val="24"/>
          <w:szCs w:val="24"/>
        </w:rPr>
        <w:t xml:space="preserve"> </w:t>
      </w:r>
      <w:r w:rsidRPr="0032506F">
        <w:rPr>
          <w:rFonts w:ascii="Times New Roman" w:hAnsi="Times New Roman" w:cs="Times New Roman"/>
          <w:b/>
          <w:bCs/>
          <w:sz w:val="24"/>
          <w:szCs w:val="24"/>
        </w:rPr>
        <w:t xml:space="preserve"> </w:t>
      </w:r>
      <w:r w:rsidRPr="0032506F">
        <w:rPr>
          <w:rFonts w:ascii="Times New Roman" w:eastAsia="Calibri" w:hAnsi="Times New Roman" w:cs="Times New Roman"/>
          <w:sz w:val="24"/>
          <w:szCs w:val="24"/>
        </w:rPr>
        <w:t xml:space="preserve">Although there is </w:t>
      </w:r>
      <w:r w:rsidR="00500AAA" w:rsidRPr="0032506F">
        <w:rPr>
          <w:rFonts w:ascii="Times New Roman" w:eastAsia="Calibri" w:hAnsi="Times New Roman" w:cs="Times New Roman"/>
          <w:sz w:val="24"/>
          <w:szCs w:val="24"/>
        </w:rPr>
        <w:t>a consensus</w:t>
      </w:r>
      <w:r w:rsidRPr="0032506F">
        <w:rPr>
          <w:rFonts w:ascii="Times New Roman" w:eastAsia="Calibri" w:hAnsi="Times New Roman" w:cs="Times New Roman"/>
          <w:sz w:val="24"/>
          <w:szCs w:val="24"/>
        </w:rPr>
        <w:t xml:space="preserve"> on the </w:t>
      </w:r>
      <w:r w:rsidR="00D45B24" w:rsidRPr="0032506F">
        <w:rPr>
          <w:rFonts w:ascii="Times New Roman" w:eastAsia="Calibri" w:hAnsi="Times New Roman" w:cs="Times New Roman"/>
          <w:sz w:val="24"/>
          <w:szCs w:val="24"/>
        </w:rPr>
        <w:t xml:space="preserve">multidimensionality and </w:t>
      </w:r>
      <w:r w:rsidRPr="0032506F">
        <w:rPr>
          <w:rFonts w:ascii="Times New Roman" w:eastAsia="Calibri" w:hAnsi="Times New Roman" w:cs="Times New Roman"/>
          <w:sz w:val="24"/>
          <w:szCs w:val="24"/>
        </w:rPr>
        <w:t>significance of student engagement</w:t>
      </w:r>
      <w:r w:rsidR="00D45B24" w:rsidRPr="0032506F">
        <w:rPr>
          <w:rFonts w:ascii="Times New Roman" w:eastAsia="Calibri" w:hAnsi="Times New Roman" w:cs="Times New Roman"/>
          <w:sz w:val="24"/>
          <w:szCs w:val="24"/>
        </w:rPr>
        <w:t xml:space="preserve"> in learning environments (Hoi &amp; Le Hang, 2021)</w:t>
      </w:r>
      <w:r w:rsidRPr="0032506F">
        <w:rPr>
          <w:rFonts w:ascii="Times New Roman" w:eastAsia="Calibri" w:hAnsi="Times New Roman" w:cs="Times New Roman"/>
          <w:sz w:val="24"/>
          <w:szCs w:val="24"/>
        </w:rPr>
        <w:t>, there is still no scholarly consensus on the exact definition, operationalization, and assessment of student engagement (Fredricks, 2015, Reeve</w:t>
      </w:r>
      <w:r w:rsidR="00DF509B" w:rsidRPr="0032506F">
        <w:rPr>
          <w:rFonts w:ascii="Times New Roman" w:eastAsia="Calibri" w:hAnsi="Times New Roman" w:cs="Times New Roman"/>
          <w:sz w:val="24"/>
          <w:szCs w:val="24"/>
        </w:rPr>
        <w:t xml:space="preserve"> et al. </w:t>
      </w:r>
      <w:r w:rsidRPr="0032506F">
        <w:rPr>
          <w:rFonts w:ascii="Times New Roman" w:eastAsia="Calibri" w:hAnsi="Times New Roman" w:cs="Times New Roman"/>
          <w:sz w:val="24"/>
          <w:szCs w:val="24"/>
        </w:rPr>
        <w:t xml:space="preserve">2020). </w:t>
      </w:r>
      <w:r w:rsidR="00D45B24" w:rsidRPr="0032506F">
        <w:rPr>
          <w:rFonts w:ascii="Times New Roman" w:eastAsia="Calibri" w:hAnsi="Times New Roman" w:cs="Times New Roman"/>
          <w:sz w:val="24"/>
          <w:szCs w:val="24"/>
        </w:rPr>
        <w:t>R</w:t>
      </w:r>
      <w:r w:rsidRPr="0032506F">
        <w:rPr>
          <w:rFonts w:ascii="Times New Roman" w:eastAsia="Calibri" w:hAnsi="Times New Roman" w:cs="Times New Roman"/>
          <w:sz w:val="24"/>
          <w:szCs w:val="24"/>
        </w:rPr>
        <w:t>esearchers investigating student engagement in online learning environments have conceptualized</w:t>
      </w:r>
      <w:r w:rsidR="00555F83" w:rsidRPr="0032506F">
        <w:rPr>
          <w:rFonts w:ascii="Times New Roman" w:eastAsia="Calibri" w:hAnsi="Times New Roman" w:cs="Times New Roman"/>
          <w:sz w:val="24"/>
          <w:szCs w:val="24"/>
        </w:rPr>
        <w:t xml:space="preserve"> and examined</w:t>
      </w:r>
      <w:r w:rsidRPr="0032506F">
        <w:rPr>
          <w:rFonts w:ascii="Times New Roman" w:eastAsia="Calibri" w:hAnsi="Times New Roman" w:cs="Times New Roman"/>
          <w:sz w:val="24"/>
          <w:szCs w:val="24"/>
        </w:rPr>
        <w:t xml:space="preserve"> this elusive construct in </w:t>
      </w:r>
      <w:r w:rsidR="00555F83" w:rsidRPr="0032506F">
        <w:rPr>
          <w:rFonts w:ascii="Times New Roman" w:eastAsia="Calibri" w:hAnsi="Times New Roman" w:cs="Times New Roman"/>
          <w:sz w:val="24"/>
          <w:szCs w:val="24"/>
        </w:rPr>
        <w:t>many</w:t>
      </w:r>
      <w:r w:rsidRPr="0032506F">
        <w:rPr>
          <w:rFonts w:ascii="Times New Roman" w:eastAsia="Calibri" w:hAnsi="Times New Roman" w:cs="Times New Roman"/>
          <w:sz w:val="24"/>
          <w:szCs w:val="24"/>
        </w:rPr>
        <w:t xml:space="preserve"> ways, using different</w:t>
      </w:r>
      <w:r w:rsidR="00D45B24" w:rsidRPr="0032506F">
        <w:rPr>
          <w:rFonts w:ascii="Times New Roman" w:eastAsia="Calibri" w:hAnsi="Times New Roman" w:cs="Times New Roman"/>
          <w:sz w:val="24"/>
          <w:szCs w:val="24"/>
        </w:rPr>
        <w:t xml:space="preserve"> </w:t>
      </w:r>
      <w:r w:rsidRPr="0032506F">
        <w:rPr>
          <w:rFonts w:ascii="Times New Roman" w:eastAsia="Calibri" w:hAnsi="Times New Roman" w:cs="Times New Roman"/>
          <w:sz w:val="24"/>
          <w:szCs w:val="24"/>
        </w:rPr>
        <w:t>terms depending on their theoretical frameworks (Martin</w:t>
      </w:r>
      <w:r w:rsidR="00D45B24" w:rsidRPr="0032506F">
        <w:rPr>
          <w:rFonts w:ascii="Times New Roman" w:eastAsia="Calibri" w:hAnsi="Times New Roman" w:cs="Times New Roman"/>
          <w:sz w:val="24"/>
          <w:szCs w:val="24"/>
        </w:rPr>
        <w:t>, Sun, &amp; Westine</w:t>
      </w:r>
      <w:r w:rsidRPr="0032506F">
        <w:rPr>
          <w:rFonts w:ascii="Times New Roman" w:eastAsia="Calibri" w:hAnsi="Times New Roman" w:cs="Times New Roman"/>
          <w:sz w:val="24"/>
          <w:szCs w:val="24"/>
        </w:rPr>
        <w:t xml:space="preserve"> et al., 2020). This study provides </w:t>
      </w:r>
      <w:r w:rsidR="001D1A06" w:rsidRPr="0032506F">
        <w:rPr>
          <w:rFonts w:ascii="Times New Roman" w:eastAsia="Calibri" w:hAnsi="Times New Roman" w:cs="Times New Roman"/>
          <w:sz w:val="24"/>
          <w:szCs w:val="24"/>
        </w:rPr>
        <w:t xml:space="preserve">additional </w:t>
      </w:r>
      <w:r w:rsidRPr="0032506F">
        <w:rPr>
          <w:rFonts w:ascii="Times New Roman" w:eastAsia="Calibri" w:hAnsi="Times New Roman" w:cs="Times New Roman"/>
          <w:sz w:val="24"/>
          <w:szCs w:val="24"/>
        </w:rPr>
        <w:t xml:space="preserve">empirical evidence for the applicability of Fredricks et al.’s (2004) theory of student engagement to online learning environments via a multi-stage, systematic, and fully blown instrument development process. </w:t>
      </w:r>
      <w:r w:rsidR="00555F83" w:rsidRPr="0032506F">
        <w:rPr>
          <w:rFonts w:ascii="Times New Roman" w:eastAsia="Calibri" w:hAnsi="Times New Roman" w:cs="Times New Roman"/>
          <w:sz w:val="24"/>
          <w:szCs w:val="24"/>
        </w:rPr>
        <w:t>This dissertation study aimed</w:t>
      </w:r>
      <w:r w:rsidRPr="0032506F">
        <w:rPr>
          <w:rFonts w:ascii="Times New Roman" w:eastAsia="Calibri" w:hAnsi="Times New Roman" w:cs="Times New Roman"/>
          <w:sz w:val="24"/>
          <w:szCs w:val="24"/>
        </w:rPr>
        <w:t xml:space="preserve"> to contribute to the consistency in defining and conceptualizing engagement constructs based on the three core dimensions of behavior, emotion, and cognition (Fredricks et al., 2004) by empirically testing them in online learning environments. The findings of this study indicating a three-factor student engagement model may be used to further explore Fredricks et al.’s (2004) meta construct theory of student </w:t>
      </w:r>
      <w:r w:rsidRPr="0032506F">
        <w:rPr>
          <w:rFonts w:ascii="Times New Roman" w:eastAsia="Calibri" w:hAnsi="Times New Roman" w:cs="Times New Roman"/>
          <w:sz w:val="24"/>
          <w:szCs w:val="24"/>
        </w:rPr>
        <w:lastRenderedPageBreak/>
        <w:t>engagement applied to online learning environments. In addition, the inconsistency in conceptualizations and assessments of engagement have also led to inconsistencies in research findings regarding what engagement is and how many dimensions it is comprised of (Fredricks, 2015). Assessment instruments that can reliably and validly measure engagement in learning environments, both traditional and online, are thus needed so that there is more consistency in findings in future research examining student engagement across learning contexts. This study may benefit the researchers in our field by offering them a promising measure of engagement that they can use to examine relationships between engagement and other constructs of their interest in online learning environments.</w:t>
      </w:r>
      <w:r w:rsidRPr="0032506F">
        <w:tab/>
      </w:r>
    </w:p>
    <w:p w14:paraId="22B3209B" w14:textId="77777777" w:rsidR="00DA5799" w:rsidRDefault="005F3140" w:rsidP="00DA5799">
      <w:pPr>
        <w:spacing w:after="0" w:line="480" w:lineRule="auto"/>
        <w:ind w:firstLine="720"/>
        <w:rPr>
          <w:rFonts w:ascii="Times New Roman" w:hAnsi="Times New Roman" w:cs="Times New Roman"/>
          <w:sz w:val="24"/>
          <w:szCs w:val="24"/>
        </w:rPr>
      </w:pPr>
      <w:r w:rsidRPr="0032506F">
        <w:rPr>
          <w:rFonts w:ascii="Times New Roman" w:eastAsiaTheme="majorEastAsia" w:hAnsi="Times New Roman" w:cs="Times New Roman"/>
          <w:b/>
          <w:bCs/>
          <w:sz w:val="24"/>
          <w:szCs w:val="24"/>
        </w:rPr>
        <w:t>Implications for Practice.</w:t>
      </w:r>
      <w:r w:rsidRPr="0032506F">
        <w:rPr>
          <w:rFonts w:ascii="Times New Roman" w:hAnsi="Times New Roman" w:cs="Times New Roman"/>
          <w:b/>
          <w:bCs/>
          <w:sz w:val="24"/>
          <w:szCs w:val="24"/>
        </w:rPr>
        <w:t xml:space="preserve"> </w:t>
      </w:r>
      <w:r w:rsidRPr="0032506F">
        <w:rPr>
          <w:rFonts w:ascii="Times New Roman" w:hAnsi="Times New Roman" w:cs="Times New Roman"/>
          <w:sz w:val="24"/>
          <w:szCs w:val="24"/>
        </w:rPr>
        <w:t>Online education continues to grow at a rapid rate at higher education institutions</w:t>
      </w:r>
      <w:r w:rsidR="00A33290" w:rsidRPr="0032506F">
        <w:rPr>
          <w:rFonts w:ascii="Times New Roman" w:hAnsi="Times New Roman" w:cs="Times New Roman"/>
          <w:sz w:val="24"/>
          <w:szCs w:val="24"/>
        </w:rPr>
        <w:t xml:space="preserve"> (Bolliger &amp; Martin, 2021)</w:t>
      </w:r>
      <w:r w:rsidRPr="0032506F">
        <w:rPr>
          <w:rFonts w:ascii="Times New Roman" w:hAnsi="Times New Roman" w:cs="Times New Roman"/>
          <w:sz w:val="24"/>
          <w:szCs w:val="24"/>
        </w:rPr>
        <w:t xml:space="preserve"> and student engagement remains to be a significant parameter and indicator of </w:t>
      </w:r>
      <w:r w:rsidR="00D479C3" w:rsidRPr="0032506F">
        <w:rPr>
          <w:rFonts w:ascii="Times New Roman" w:hAnsi="Times New Roman" w:cs="Times New Roman"/>
          <w:sz w:val="24"/>
          <w:szCs w:val="24"/>
        </w:rPr>
        <w:t>successful online learning experiences</w:t>
      </w:r>
      <w:r w:rsidRPr="0032506F">
        <w:rPr>
          <w:rFonts w:ascii="Times New Roman" w:hAnsi="Times New Roman" w:cs="Times New Roman"/>
          <w:sz w:val="24"/>
          <w:szCs w:val="24"/>
        </w:rPr>
        <w:t xml:space="preserve"> (</w:t>
      </w:r>
      <w:r w:rsidR="00D479C3" w:rsidRPr="0032506F">
        <w:rPr>
          <w:rFonts w:ascii="Times New Roman" w:hAnsi="Times New Roman" w:cs="Times New Roman"/>
          <w:sz w:val="24"/>
          <w:szCs w:val="24"/>
        </w:rPr>
        <w:t xml:space="preserve">Bolliger &amp; Martin, 2018; </w:t>
      </w:r>
      <w:r w:rsidRPr="0032506F">
        <w:rPr>
          <w:rFonts w:ascii="Times New Roman" w:hAnsi="Times New Roman" w:cs="Times New Roman"/>
          <w:sz w:val="24"/>
          <w:szCs w:val="24"/>
        </w:rPr>
        <w:t>Kucuk &amp; Richardson, 2019; Meyer, 2014; Robinson &amp; Hullinger, 200</w:t>
      </w:r>
      <w:r w:rsidR="00214112" w:rsidRPr="0032506F">
        <w:rPr>
          <w:rFonts w:ascii="Times New Roman" w:hAnsi="Times New Roman" w:cs="Times New Roman"/>
          <w:sz w:val="24"/>
          <w:szCs w:val="24"/>
        </w:rPr>
        <w:t>8</w:t>
      </w:r>
      <w:r w:rsidRPr="0032506F">
        <w:rPr>
          <w:rFonts w:ascii="Times New Roman" w:hAnsi="Times New Roman" w:cs="Times New Roman"/>
          <w:sz w:val="24"/>
          <w:szCs w:val="24"/>
        </w:rPr>
        <w:t>). Accurate assessments and evaluations of online student engagement are thus necessary for all stakeholders of online education to make appropriate and accurate evidence-based decisions about instructional design, instructional practices, and possible interventions in online courses to improve student engagement and so enhance and ensure the quality of students’ online learning experiences (Czerkawski &amp; Lyman, 2016; Dixson, 2015; Kozan &amp; Richardson, 2014; Kucuk &amp; Richardson, 2019). The OEHE was developed and validated as a</w:t>
      </w:r>
      <w:r w:rsidR="004E70A8">
        <w:rPr>
          <w:rFonts w:ascii="Times New Roman" w:hAnsi="Times New Roman" w:cs="Times New Roman"/>
          <w:sz w:val="24"/>
          <w:szCs w:val="24"/>
        </w:rPr>
        <w:t xml:space="preserve">n </w:t>
      </w:r>
      <w:r w:rsidRPr="0032506F">
        <w:rPr>
          <w:rFonts w:ascii="Times New Roman" w:hAnsi="Times New Roman" w:cs="Times New Roman"/>
          <w:sz w:val="24"/>
          <w:szCs w:val="24"/>
        </w:rPr>
        <w:t xml:space="preserve">assessment tool to measure student engagement in online courses of higher education. Practitioners ranging from course instructors to program coordinators to higher education institutions can use </w:t>
      </w:r>
      <w:r w:rsidR="001879D0" w:rsidRPr="0032506F">
        <w:rPr>
          <w:rFonts w:ascii="Times New Roman" w:hAnsi="Times New Roman" w:cs="Times New Roman"/>
          <w:sz w:val="24"/>
          <w:szCs w:val="24"/>
        </w:rPr>
        <w:t xml:space="preserve">the OEHE instrument </w:t>
      </w:r>
      <w:r w:rsidRPr="0032506F">
        <w:rPr>
          <w:rFonts w:ascii="Times New Roman" w:hAnsi="Times New Roman" w:cs="Times New Roman"/>
          <w:sz w:val="24"/>
          <w:szCs w:val="24"/>
        </w:rPr>
        <w:t xml:space="preserve">to obtain empirical information about the types and levels of engagement of the students enrolled in their online courses and programs. They can use the OEHE findings to make informed </w:t>
      </w:r>
      <w:r w:rsidRPr="0032506F">
        <w:rPr>
          <w:rFonts w:ascii="Times New Roman" w:hAnsi="Times New Roman" w:cs="Times New Roman"/>
          <w:sz w:val="24"/>
          <w:szCs w:val="24"/>
        </w:rPr>
        <w:lastRenderedPageBreak/>
        <w:t xml:space="preserve">decisions about the </w:t>
      </w:r>
      <w:r w:rsidR="004D27B0" w:rsidRPr="0032506F">
        <w:rPr>
          <w:rFonts w:ascii="Times New Roman" w:hAnsi="Times New Roman" w:cs="Times New Roman"/>
          <w:sz w:val="24"/>
          <w:szCs w:val="24"/>
        </w:rPr>
        <w:t>performance</w:t>
      </w:r>
      <w:r w:rsidRPr="0032506F">
        <w:rPr>
          <w:rFonts w:ascii="Times New Roman" w:hAnsi="Times New Roman" w:cs="Times New Roman"/>
          <w:sz w:val="24"/>
          <w:szCs w:val="24"/>
        </w:rPr>
        <w:t xml:space="preserve"> of their courses and programs from the student engagement perspective and can take certain steps or </w:t>
      </w:r>
      <w:r w:rsidR="004D27B0" w:rsidRPr="0032506F">
        <w:rPr>
          <w:rFonts w:ascii="Times New Roman" w:hAnsi="Times New Roman" w:cs="Times New Roman"/>
          <w:sz w:val="24"/>
          <w:szCs w:val="24"/>
        </w:rPr>
        <w:t xml:space="preserve">design and implement </w:t>
      </w:r>
      <w:r w:rsidRPr="0032506F">
        <w:rPr>
          <w:rFonts w:ascii="Times New Roman" w:hAnsi="Times New Roman" w:cs="Times New Roman"/>
          <w:sz w:val="24"/>
          <w:szCs w:val="24"/>
        </w:rPr>
        <w:t>interventions to improve student engagement accordingly</w:t>
      </w:r>
      <w:r w:rsidR="001879D0" w:rsidRPr="0032506F">
        <w:rPr>
          <w:rFonts w:ascii="Times New Roman" w:hAnsi="Times New Roman" w:cs="Times New Roman"/>
          <w:sz w:val="24"/>
          <w:szCs w:val="24"/>
        </w:rPr>
        <w:t xml:space="preserve"> (e.g., engaging course design elements). </w:t>
      </w:r>
      <w:r w:rsidR="00A045E4" w:rsidRPr="0032506F">
        <w:rPr>
          <w:rFonts w:ascii="Times New Roman" w:hAnsi="Times New Roman" w:cs="Times New Roman"/>
          <w:sz w:val="24"/>
          <w:szCs w:val="24"/>
        </w:rPr>
        <w:t xml:space="preserve">The OEHE is especially relevant to the assessment of student engagement in </w:t>
      </w:r>
      <w:r w:rsidR="009F5613" w:rsidRPr="0032506F">
        <w:rPr>
          <w:rFonts w:ascii="Times New Roman" w:hAnsi="Times New Roman" w:cs="Times New Roman"/>
          <w:sz w:val="24"/>
          <w:szCs w:val="24"/>
        </w:rPr>
        <w:t xml:space="preserve">online learning through asynchronous online discussions where student-student, student-instructor, and student-content interactions </w:t>
      </w:r>
      <w:r w:rsidR="00555F83" w:rsidRPr="0032506F">
        <w:rPr>
          <w:rFonts w:ascii="Times New Roman" w:hAnsi="Times New Roman" w:cs="Times New Roman"/>
          <w:sz w:val="24"/>
          <w:szCs w:val="24"/>
        </w:rPr>
        <w:t xml:space="preserve">mainly </w:t>
      </w:r>
      <w:r w:rsidR="009F5613" w:rsidRPr="0032506F">
        <w:rPr>
          <w:rFonts w:ascii="Times New Roman" w:hAnsi="Times New Roman" w:cs="Times New Roman"/>
          <w:sz w:val="24"/>
          <w:szCs w:val="24"/>
        </w:rPr>
        <w:t>take place</w:t>
      </w:r>
      <w:r w:rsidR="00555F83" w:rsidRPr="0032506F">
        <w:rPr>
          <w:rFonts w:ascii="Times New Roman" w:hAnsi="Times New Roman" w:cs="Times New Roman"/>
          <w:sz w:val="24"/>
          <w:szCs w:val="24"/>
        </w:rPr>
        <w:t xml:space="preserve"> in online learning environments (Cheng et al., 2011; Ding et al., 2017; Goggins &amp; Xing, 2016)</w:t>
      </w:r>
      <w:r w:rsidR="00392B42" w:rsidRPr="0032506F">
        <w:rPr>
          <w:rFonts w:ascii="Times New Roman" w:hAnsi="Times New Roman" w:cs="Times New Roman"/>
          <w:sz w:val="24"/>
          <w:szCs w:val="24"/>
        </w:rPr>
        <w:t xml:space="preserve">. Using the OEHE scores, online course designers and instructors can </w:t>
      </w:r>
      <w:r w:rsidR="00F5795F" w:rsidRPr="0032506F">
        <w:rPr>
          <w:rFonts w:ascii="Times New Roman" w:hAnsi="Times New Roman" w:cs="Times New Roman"/>
          <w:sz w:val="24"/>
          <w:szCs w:val="24"/>
        </w:rPr>
        <w:t xml:space="preserve">design, develop, and implement engaging tasks and activities to promote students’ engagement behaviors, their emotional involvement with the learning process, and their cognitive engagement with the course content. </w:t>
      </w:r>
    </w:p>
    <w:p w14:paraId="10327E42" w14:textId="1D2A6B08" w:rsidR="005F3140" w:rsidRPr="0032506F" w:rsidRDefault="005F3140" w:rsidP="00DA5799">
      <w:pPr>
        <w:spacing w:after="0" w:line="480" w:lineRule="auto"/>
        <w:ind w:firstLine="720"/>
        <w:rPr>
          <w:rFonts w:ascii="Times New Roman" w:hAnsi="Times New Roman" w:cs="Times New Roman"/>
          <w:i/>
          <w:iCs/>
          <w:sz w:val="24"/>
          <w:szCs w:val="24"/>
        </w:rPr>
      </w:pPr>
      <w:r w:rsidRPr="0032506F">
        <w:rPr>
          <w:rFonts w:ascii="Times New Roman" w:hAnsi="Times New Roman" w:cs="Times New Roman"/>
          <w:b/>
          <w:bCs/>
          <w:sz w:val="24"/>
          <w:szCs w:val="24"/>
        </w:rPr>
        <w:t>Implications for Inclusiveness, Diversity, and Accessibility in Online Classes</w:t>
      </w:r>
      <w:r w:rsidR="00043B71" w:rsidRPr="0032506F">
        <w:rPr>
          <w:rFonts w:ascii="Times New Roman" w:hAnsi="Times New Roman" w:cs="Times New Roman"/>
          <w:b/>
          <w:bCs/>
          <w:sz w:val="24"/>
          <w:szCs w:val="24"/>
        </w:rPr>
        <w:t>.</w:t>
      </w:r>
      <w:r w:rsidR="00043B71" w:rsidRPr="0032506F">
        <w:rPr>
          <w:b/>
          <w:bCs/>
        </w:rPr>
        <w:t xml:space="preserve"> </w:t>
      </w:r>
      <w:r w:rsidR="00043B71" w:rsidRPr="0032506F">
        <w:rPr>
          <w:rFonts w:ascii="Times New Roman" w:hAnsi="Times New Roman" w:cs="Times New Roman"/>
          <w:sz w:val="24"/>
          <w:szCs w:val="24"/>
        </w:rPr>
        <w:t xml:space="preserve">The </w:t>
      </w:r>
      <w:r w:rsidR="009A7301" w:rsidRPr="0032506F">
        <w:rPr>
          <w:rFonts w:ascii="Times New Roman" w:hAnsi="Times New Roman" w:cs="Times New Roman"/>
          <w:sz w:val="24"/>
          <w:szCs w:val="24"/>
        </w:rPr>
        <w:t xml:space="preserve">demographic </w:t>
      </w:r>
      <w:r w:rsidR="00043B71" w:rsidRPr="0032506F">
        <w:rPr>
          <w:rFonts w:ascii="Times New Roman" w:hAnsi="Times New Roman" w:cs="Times New Roman"/>
          <w:sz w:val="24"/>
          <w:szCs w:val="24"/>
        </w:rPr>
        <w:t xml:space="preserve">data </w:t>
      </w:r>
      <w:r w:rsidR="00557309" w:rsidRPr="0032506F">
        <w:rPr>
          <w:rFonts w:ascii="Times New Roman" w:hAnsi="Times New Roman" w:cs="Times New Roman"/>
          <w:sz w:val="24"/>
          <w:szCs w:val="24"/>
        </w:rPr>
        <w:t xml:space="preserve">collected in this study regarding students’ perceptions and experiences </w:t>
      </w:r>
      <w:r w:rsidR="004D51E1" w:rsidRPr="0032506F">
        <w:rPr>
          <w:rFonts w:ascii="Times New Roman" w:hAnsi="Times New Roman" w:cs="Times New Roman"/>
          <w:sz w:val="24"/>
          <w:szCs w:val="24"/>
        </w:rPr>
        <w:t xml:space="preserve">of </w:t>
      </w:r>
      <w:r w:rsidR="00557309" w:rsidRPr="0032506F">
        <w:rPr>
          <w:rFonts w:ascii="Times New Roman" w:hAnsi="Times New Roman" w:cs="Times New Roman"/>
          <w:sz w:val="24"/>
          <w:szCs w:val="24"/>
        </w:rPr>
        <w:t>inclusiveness, diversity, and accessibility also hav</w:t>
      </w:r>
      <w:r w:rsidR="00A966F3" w:rsidRPr="0032506F">
        <w:rPr>
          <w:rFonts w:ascii="Times New Roman" w:hAnsi="Times New Roman" w:cs="Times New Roman"/>
          <w:sz w:val="24"/>
          <w:szCs w:val="24"/>
        </w:rPr>
        <w:t xml:space="preserve">e implications for </w:t>
      </w:r>
      <w:r w:rsidR="000E1E34" w:rsidRPr="0032506F">
        <w:rPr>
          <w:rFonts w:ascii="Times New Roman" w:hAnsi="Times New Roman" w:cs="Times New Roman"/>
          <w:sz w:val="24"/>
          <w:szCs w:val="24"/>
        </w:rPr>
        <w:t xml:space="preserve">scale development </w:t>
      </w:r>
      <w:r w:rsidR="00A966F3" w:rsidRPr="0032506F">
        <w:rPr>
          <w:rFonts w:ascii="Times New Roman" w:hAnsi="Times New Roman" w:cs="Times New Roman"/>
          <w:sz w:val="24"/>
          <w:szCs w:val="24"/>
        </w:rPr>
        <w:t xml:space="preserve">research and </w:t>
      </w:r>
      <w:r w:rsidR="00475887" w:rsidRPr="0032506F">
        <w:rPr>
          <w:rFonts w:ascii="Times New Roman" w:hAnsi="Times New Roman" w:cs="Times New Roman"/>
          <w:sz w:val="24"/>
          <w:szCs w:val="24"/>
        </w:rPr>
        <w:t xml:space="preserve">online education </w:t>
      </w:r>
      <w:r w:rsidR="00A966F3" w:rsidRPr="0032506F">
        <w:rPr>
          <w:rFonts w:ascii="Times New Roman" w:hAnsi="Times New Roman" w:cs="Times New Roman"/>
          <w:sz w:val="24"/>
          <w:szCs w:val="24"/>
        </w:rPr>
        <w:t>practice.</w:t>
      </w:r>
      <w:bookmarkStart w:id="148" w:name="_Hlk94178527"/>
      <w:r w:rsidR="00A966F3" w:rsidRPr="0032506F">
        <w:rPr>
          <w:rFonts w:ascii="Times New Roman" w:hAnsi="Times New Roman" w:cs="Times New Roman"/>
          <w:sz w:val="24"/>
          <w:szCs w:val="24"/>
        </w:rPr>
        <w:t xml:space="preserve"> </w:t>
      </w:r>
      <w:r w:rsidR="004E7500" w:rsidRPr="0032506F">
        <w:rPr>
          <w:rFonts w:ascii="Times New Roman" w:hAnsi="Times New Roman" w:cs="Times New Roman"/>
          <w:sz w:val="24"/>
          <w:szCs w:val="24"/>
        </w:rPr>
        <w:t xml:space="preserve">This study aimed to raise awareness about the intentional incorporation of diversity, </w:t>
      </w:r>
      <w:r w:rsidR="00500AAA" w:rsidRPr="0032506F">
        <w:rPr>
          <w:rFonts w:ascii="Times New Roman" w:hAnsi="Times New Roman" w:cs="Times New Roman"/>
          <w:sz w:val="24"/>
          <w:szCs w:val="24"/>
        </w:rPr>
        <w:t>equity,</w:t>
      </w:r>
      <w:r w:rsidR="004E7500" w:rsidRPr="0032506F">
        <w:rPr>
          <w:rFonts w:ascii="Times New Roman" w:hAnsi="Times New Roman" w:cs="Times New Roman"/>
          <w:sz w:val="24"/>
          <w:szCs w:val="24"/>
        </w:rPr>
        <w:t xml:space="preserve"> and inclusion (DEI) issues in the entire instrument development process including item development</w:t>
      </w:r>
      <w:r w:rsidR="009A7301" w:rsidRPr="0032506F">
        <w:rPr>
          <w:rFonts w:ascii="Times New Roman" w:hAnsi="Times New Roman" w:cs="Times New Roman"/>
          <w:sz w:val="24"/>
          <w:szCs w:val="24"/>
        </w:rPr>
        <w:t xml:space="preserve">, </w:t>
      </w:r>
      <w:r w:rsidR="004E7500" w:rsidRPr="0032506F">
        <w:rPr>
          <w:rFonts w:ascii="Times New Roman" w:hAnsi="Times New Roman" w:cs="Times New Roman"/>
          <w:sz w:val="24"/>
          <w:szCs w:val="24"/>
        </w:rPr>
        <w:t>item validation</w:t>
      </w:r>
      <w:r w:rsidR="009A7301" w:rsidRPr="0032506F">
        <w:rPr>
          <w:rFonts w:ascii="Times New Roman" w:hAnsi="Times New Roman" w:cs="Times New Roman"/>
          <w:sz w:val="24"/>
          <w:szCs w:val="24"/>
        </w:rPr>
        <w:t>,</w:t>
      </w:r>
      <w:r w:rsidR="004E7500" w:rsidRPr="0032506F">
        <w:rPr>
          <w:rFonts w:ascii="Times New Roman" w:hAnsi="Times New Roman" w:cs="Times New Roman"/>
          <w:sz w:val="24"/>
          <w:szCs w:val="24"/>
        </w:rPr>
        <w:t xml:space="preserve"> and sampling procedures (Cintron &amp; Hagan, 2021). In addition, t</w:t>
      </w:r>
      <w:r w:rsidR="00C7692E" w:rsidRPr="0032506F">
        <w:rPr>
          <w:rFonts w:ascii="Times New Roman" w:hAnsi="Times New Roman" w:cs="Times New Roman"/>
          <w:sz w:val="24"/>
          <w:szCs w:val="24"/>
        </w:rPr>
        <w:t xml:space="preserve">he fact that </w:t>
      </w:r>
      <w:r w:rsidR="002A3FA6" w:rsidRPr="0032506F">
        <w:rPr>
          <w:rFonts w:ascii="Times New Roman" w:hAnsi="Times New Roman" w:cs="Times New Roman"/>
          <w:sz w:val="24"/>
          <w:szCs w:val="24"/>
        </w:rPr>
        <w:t>some</w:t>
      </w:r>
      <w:r w:rsidRPr="0032506F">
        <w:rPr>
          <w:rFonts w:ascii="Times New Roman" w:hAnsi="Times New Roman" w:cs="Times New Roman"/>
          <w:sz w:val="24"/>
          <w:szCs w:val="24"/>
        </w:rPr>
        <w:t xml:space="preserve"> students in this study reported that they sometimes, often, </w:t>
      </w:r>
      <w:r w:rsidR="00662DD3" w:rsidRPr="0032506F">
        <w:rPr>
          <w:rFonts w:ascii="Times New Roman" w:hAnsi="Times New Roman" w:cs="Times New Roman"/>
          <w:sz w:val="24"/>
          <w:szCs w:val="24"/>
        </w:rPr>
        <w:t>or</w:t>
      </w:r>
      <w:r w:rsidRPr="0032506F">
        <w:rPr>
          <w:rFonts w:ascii="Times New Roman" w:hAnsi="Times New Roman" w:cs="Times New Roman"/>
          <w:sz w:val="24"/>
          <w:szCs w:val="24"/>
        </w:rPr>
        <w:t xml:space="preserve"> always experienced different forms of bias against them in their online courses </w:t>
      </w:r>
      <w:r w:rsidR="00C7692E" w:rsidRPr="0032506F">
        <w:rPr>
          <w:rFonts w:ascii="Times New Roman" w:hAnsi="Times New Roman" w:cs="Times New Roman"/>
          <w:sz w:val="24"/>
          <w:szCs w:val="24"/>
        </w:rPr>
        <w:t>should draw attention to the issues of inclusive</w:t>
      </w:r>
      <w:r w:rsidR="00862CC1" w:rsidRPr="0032506F">
        <w:rPr>
          <w:rFonts w:ascii="Times New Roman" w:hAnsi="Times New Roman" w:cs="Times New Roman"/>
          <w:sz w:val="24"/>
          <w:szCs w:val="24"/>
        </w:rPr>
        <w:t xml:space="preserve"> online course design in which such perceptions of bias can be minimized, if not eliminated, by course designers and course instructors</w:t>
      </w:r>
      <w:r w:rsidR="0066291A" w:rsidRPr="0032506F">
        <w:rPr>
          <w:rFonts w:ascii="Times New Roman" w:hAnsi="Times New Roman" w:cs="Times New Roman"/>
          <w:sz w:val="24"/>
          <w:szCs w:val="24"/>
        </w:rPr>
        <w:t xml:space="preserve"> through inclusive and engaging course components and expectations</w:t>
      </w:r>
      <w:r w:rsidR="00862CC1" w:rsidRPr="0032506F">
        <w:rPr>
          <w:rFonts w:ascii="Times New Roman" w:hAnsi="Times New Roman" w:cs="Times New Roman"/>
          <w:sz w:val="24"/>
          <w:szCs w:val="24"/>
        </w:rPr>
        <w:t xml:space="preserve">. </w:t>
      </w:r>
      <w:r w:rsidR="009A7301" w:rsidRPr="0032506F">
        <w:rPr>
          <w:rFonts w:ascii="Times New Roman" w:hAnsi="Times New Roman" w:cs="Times New Roman"/>
          <w:sz w:val="24"/>
          <w:szCs w:val="24"/>
        </w:rPr>
        <w:t>Moreover</w:t>
      </w:r>
      <w:r w:rsidR="00862CC1" w:rsidRPr="0032506F">
        <w:rPr>
          <w:rFonts w:ascii="Times New Roman" w:hAnsi="Times New Roman" w:cs="Times New Roman"/>
          <w:sz w:val="24"/>
          <w:szCs w:val="24"/>
        </w:rPr>
        <w:t xml:space="preserve">, </w:t>
      </w:r>
      <w:bookmarkEnd w:id="148"/>
      <w:r w:rsidRPr="0032506F">
        <w:rPr>
          <w:rFonts w:ascii="Times New Roman" w:hAnsi="Times New Roman" w:cs="Times New Roman"/>
          <w:sz w:val="24"/>
          <w:szCs w:val="24"/>
        </w:rPr>
        <w:t xml:space="preserve">this </w:t>
      </w:r>
      <w:r w:rsidR="00B00673">
        <w:rPr>
          <w:rFonts w:ascii="Times New Roman" w:hAnsi="Times New Roman" w:cs="Times New Roman"/>
          <w:sz w:val="24"/>
          <w:szCs w:val="24"/>
        </w:rPr>
        <w:t>study</w:t>
      </w:r>
      <w:r w:rsidRPr="0032506F">
        <w:rPr>
          <w:rFonts w:ascii="Times New Roman" w:hAnsi="Times New Roman" w:cs="Times New Roman"/>
          <w:sz w:val="24"/>
          <w:szCs w:val="24"/>
        </w:rPr>
        <w:t xml:space="preserve"> also provide</w:t>
      </w:r>
      <w:r w:rsidR="00DD5A52" w:rsidRPr="0032506F">
        <w:rPr>
          <w:rFonts w:ascii="Times New Roman" w:hAnsi="Times New Roman" w:cs="Times New Roman"/>
          <w:sz w:val="24"/>
          <w:szCs w:val="24"/>
        </w:rPr>
        <w:t>d</w:t>
      </w:r>
      <w:r w:rsidRPr="0032506F">
        <w:rPr>
          <w:rFonts w:ascii="Times New Roman" w:hAnsi="Times New Roman" w:cs="Times New Roman"/>
          <w:sz w:val="24"/>
          <w:szCs w:val="24"/>
        </w:rPr>
        <w:t xml:space="preserve"> empirical evidence that although the large majority of the students that participated in this study reported that they had not experienced any accessibility issues while </w:t>
      </w:r>
      <w:r w:rsidRPr="0032506F">
        <w:rPr>
          <w:rFonts w:ascii="Times New Roman" w:hAnsi="Times New Roman" w:cs="Times New Roman"/>
          <w:sz w:val="24"/>
          <w:szCs w:val="24"/>
        </w:rPr>
        <w:lastRenderedPageBreak/>
        <w:t>taking online courses, some of them still reported that they had experienced such accessibility issues as lack of access to a computer, lack of access to hardware (e.g., headphones, webcam), lack of access to reliable Internet, lack of access to software (e.g., Microsoft Office), lack of accommodations for students with disabilities</w:t>
      </w:r>
      <w:r w:rsidR="00EE7C21" w:rsidRPr="0032506F">
        <w:rPr>
          <w:rFonts w:ascii="Times New Roman" w:hAnsi="Times New Roman" w:cs="Times New Roman"/>
          <w:sz w:val="24"/>
          <w:szCs w:val="24"/>
        </w:rPr>
        <w:t>,</w:t>
      </w:r>
      <w:r w:rsidRPr="0032506F">
        <w:rPr>
          <w:rFonts w:ascii="Times New Roman" w:hAnsi="Times New Roman" w:cs="Times New Roman"/>
          <w:sz w:val="24"/>
          <w:szCs w:val="24"/>
        </w:rPr>
        <w:t xml:space="preserve"> and other similar</w:t>
      </w:r>
      <w:r w:rsidR="00EE7C21" w:rsidRPr="0032506F">
        <w:rPr>
          <w:rFonts w:ascii="Times New Roman" w:hAnsi="Times New Roman" w:cs="Times New Roman"/>
          <w:sz w:val="24"/>
          <w:szCs w:val="24"/>
        </w:rPr>
        <w:t xml:space="preserve"> accessibility</w:t>
      </w:r>
      <w:r w:rsidRPr="0032506F">
        <w:rPr>
          <w:rFonts w:ascii="Times New Roman" w:hAnsi="Times New Roman" w:cs="Times New Roman"/>
          <w:sz w:val="24"/>
          <w:szCs w:val="24"/>
        </w:rPr>
        <w:t xml:space="preserve"> issues</w:t>
      </w:r>
      <w:r w:rsidR="00930009" w:rsidRPr="0032506F">
        <w:rPr>
          <w:rFonts w:ascii="Times New Roman" w:hAnsi="Times New Roman" w:cs="Times New Roman"/>
          <w:sz w:val="24"/>
          <w:szCs w:val="24"/>
        </w:rPr>
        <w:t xml:space="preserve">. </w:t>
      </w:r>
      <w:r w:rsidRPr="0032506F">
        <w:rPr>
          <w:rFonts w:ascii="Times New Roman" w:hAnsi="Times New Roman" w:cs="Times New Roman"/>
          <w:sz w:val="24"/>
          <w:szCs w:val="24"/>
        </w:rPr>
        <w:t>This finding also</w:t>
      </w:r>
      <w:r w:rsidR="00E07CA9" w:rsidRPr="0032506F">
        <w:rPr>
          <w:rFonts w:ascii="Times New Roman" w:hAnsi="Times New Roman" w:cs="Times New Roman"/>
          <w:sz w:val="24"/>
          <w:szCs w:val="24"/>
        </w:rPr>
        <w:t xml:space="preserve"> has implications for o</w:t>
      </w:r>
      <w:r w:rsidRPr="0032506F">
        <w:rPr>
          <w:rFonts w:ascii="Times New Roman" w:hAnsi="Times New Roman" w:cs="Times New Roman"/>
          <w:sz w:val="24"/>
          <w:szCs w:val="24"/>
        </w:rPr>
        <w:t xml:space="preserve">nline educators, instructional designers, institutions of higher education offering online courses, and other policy makers in online education who should strive to ensure that those accessibility issues are optimally mitigated to ensure that online education is fully accessible to students of diverse backgrounds and life conditions (Linder et al., 2015).       </w:t>
      </w:r>
    </w:p>
    <w:p w14:paraId="4BA1D13F" w14:textId="77777777" w:rsidR="005F3140" w:rsidRPr="0032506F" w:rsidRDefault="005F3140" w:rsidP="005F3140">
      <w:pPr>
        <w:keepNext/>
        <w:keepLines/>
        <w:spacing w:after="0" w:line="480" w:lineRule="auto"/>
        <w:outlineLvl w:val="2"/>
        <w:rPr>
          <w:rFonts w:ascii="Times New Roman" w:eastAsiaTheme="majorEastAsia" w:hAnsi="Times New Roman" w:cs="Times New Roman"/>
          <w:b/>
          <w:bCs/>
          <w:i/>
          <w:iCs/>
          <w:sz w:val="24"/>
          <w:szCs w:val="24"/>
        </w:rPr>
      </w:pPr>
      <w:bookmarkStart w:id="149" w:name="_Toc102489475"/>
      <w:r w:rsidRPr="0032506F">
        <w:rPr>
          <w:rFonts w:ascii="Times New Roman" w:eastAsiaTheme="majorEastAsia" w:hAnsi="Times New Roman" w:cs="Times New Roman"/>
          <w:b/>
          <w:bCs/>
          <w:i/>
          <w:iCs/>
          <w:sz w:val="24"/>
          <w:szCs w:val="24"/>
        </w:rPr>
        <w:t>Limitations of the Study</w:t>
      </w:r>
      <w:bookmarkEnd w:id="149"/>
    </w:p>
    <w:p w14:paraId="19E5363B" w14:textId="0076AEDE"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Despite best efforts to ensure rigor, this study still has its own limitations. Although the present results clearly support, as a priori hypothesized, a three-factor model of online student engagement in line with Fredricks et al.’s (2004) conception of engagement, it is appropriate to recognize several potential limitations. </w:t>
      </w:r>
    </w:p>
    <w:p w14:paraId="095E2ED5" w14:textId="2FDA203E"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bookmarkStart w:id="150" w:name="_Hlk93930804"/>
      <w:r w:rsidRPr="0032506F">
        <w:rPr>
          <w:rFonts w:ascii="Times New Roman" w:eastAsiaTheme="majorEastAsia" w:hAnsi="Times New Roman" w:cs="Times New Roman"/>
          <w:b/>
          <w:bCs/>
          <w:sz w:val="24"/>
          <w:szCs w:val="24"/>
        </w:rPr>
        <w:t>Limitation Regarding Study Design and Sample Demographics</w:t>
      </w:r>
      <w:r w:rsidRPr="0032506F">
        <w:rPr>
          <w:rFonts w:ascii="Times New Roman" w:eastAsia="Calibri" w:hAnsi="Times New Roman" w:cs="Times New Roman"/>
          <w:b/>
          <w:color w:val="000000"/>
          <w:sz w:val="24"/>
          <w:szCs w:val="24"/>
        </w:rPr>
        <w:t xml:space="preserve">. </w:t>
      </w:r>
      <w:bookmarkEnd w:id="150"/>
      <w:r w:rsidRPr="0032506F">
        <w:rPr>
          <w:rFonts w:ascii="Times New Roman" w:eastAsia="Calibri" w:hAnsi="Times New Roman" w:cs="Times New Roman"/>
          <w:bCs/>
          <w:color w:val="000000"/>
          <w:sz w:val="24"/>
          <w:szCs w:val="24"/>
        </w:rPr>
        <w:t xml:space="preserve">The generalizability of the findings regarding the reliability and validity of the OEHE instrument in this study might be limited by the cross-sectional nature of this study. One limitation of this study associated with the demographics of the participants in this study is that a large majority of the participants were female (80.8%, </w:t>
      </w:r>
      <w:r w:rsidRPr="0032506F">
        <w:rPr>
          <w:rFonts w:ascii="Times New Roman" w:eastAsia="Calibri" w:hAnsi="Times New Roman" w:cs="Times New Roman"/>
          <w:bCs/>
          <w:i/>
          <w:color w:val="000000"/>
          <w:sz w:val="24"/>
          <w:szCs w:val="24"/>
        </w:rPr>
        <w:t>n</w:t>
      </w:r>
      <w:r w:rsidRPr="0032506F">
        <w:rPr>
          <w:rFonts w:ascii="Times New Roman" w:eastAsia="Calibri" w:hAnsi="Times New Roman" w:cs="Times New Roman"/>
          <w:bCs/>
          <w:color w:val="000000"/>
          <w:sz w:val="24"/>
          <w:szCs w:val="24"/>
        </w:rPr>
        <w:t>=189) and only 16.7% (</w:t>
      </w:r>
      <w:r w:rsidRPr="0032506F">
        <w:rPr>
          <w:rFonts w:ascii="Times New Roman" w:eastAsia="Calibri" w:hAnsi="Times New Roman" w:cs="Times New Roman"/>
          <w:bCs/>
          <w:i/>
          <w:color w:val="000000"/>
          <w:sz w:val="24"/>
          <w:szCs w:val="24"/>
        </w:rPr>
        <w:t>n</w:t>
      </w:r>
      <w:r w:rsidRPr="0032506F">
        <w:rPr>
          <w:rFonts w:ascii="Times New Roman" w:eastAsia="Calibri" w:hAnsi="Times New Roman" w:cs="Times New Roman"/>
          <w:bCs/>
          <w:color w:val="000000"/>
          <w:sz w:val="24"/>
          <w:szCs w:val="24"/>
        </w:rPr>
        <w:t xml:space="preserve">=39) were male students. Another limitation associated with the demographics of the participants is that the proportion of graduate-level students (66.4%, </w:t>
      </w:r>
      <w:r w:rsidRPr="0032506F">
        <w:rPr>
          <w:rFonts w:ascii="Times New Roman" w:eastAsia="Calibri" w:hAnsi="Times New Roman" w:cs="Times New Roman"/>
          <w:bCs/>
          <w:i/>
          <w:color w:val="000000"/>
          <w:sz w:val="24"/>
          <w:szCs w:val="24"/>
        </w:rPr>
        <w:t>n</w:t>
      </w:r>
      <w:r w:rsidRPr="0032506F">
        <w:rPr>
          <w:rFonts w:ascii="Times New Roman" w:eastAsia="Calibri" w:hAnsi="Times New Roman" w:cs="Times New Roman"/>
          <w:bCs/>
          <w:color w:val="000000"/>
          <w:sz w:val="24"/>
          <w:szCs w:val="24"/>
        </w:rPr>
        <w:t xml:space="preserve">=156) was almost twice the number of undergraduate students (33.6%, </w:t>
      </w:r>
      <w:r w:rsidRPr="0032506F">
        <w:rPr>
          <w:rFonts w:ascii="Times New Roman" w:eastAsia="Calibri" w:hAnsi="Times New Roman" w:cs="Times New Roman"/>
          <w:bCs/>
          <w:i/>
          <w:color w:val="000000"/>
          <w:sz w:val="24"/>
          <w:szCs w:val="24"/>
        </w:rPr>
        <w:t>n</w:t>
      </w:r>
      <w:r w:rsidRPr="0032506F">
        <w:rPr>
          <w:rFonts w:ascii="Times New Roman" w:eastAsia="Calibri" w:hAnsi="Times New Roman" w:cs="Times New Roman"/>
          <w:bCs/>
          <w:color w:val="000000"/>
          <w:sz w:val="24"/>
          <w:szCs w:val="24"/>
        </w:rPr>
        <w:t xml:space="preserve">=79). In addition, most of the participants in this study were White (73.1%, </w:t>
      </w:r>
      <w:r w:rsidRPr="0032506F">
        <w:rPr>
          <w:rFonts w:ascii="Times New Roman" w:eastAsia="Calibri" w:hAnsi="Times New Roman" w:cs="Times New Roman"/>
          <w:bCs/>
          <w:i/>
          <w:color w:val="000000"/>
          <w:sz w:val="24"/>
          <w:szCs w:val="24"/>
        </w:rPr>
        <w:t>n</w:t>
      </w:r>
      <w:r w:rsidRPr="0032506F">
        <w:rPr>
          <w:rFonts w:ascii="Times New Roman" w:eastAsia="Calibri" w:hAnsi="Times New Roman" w:cs="Times New Roman"/>
          <w:bCs/>
          <w:color w:val="000000"/>
          <w:sz w:val="24"/>
          <w:szCs w:val="24"/>
        </w:rPr>
        <w:t xml:space="preserve">=171), while the other reported races/ethnicities were substantially lower. Therefore, future and/or follow-up studies should strive to recruit more equal numbers of participants of other genders, undergraduate and </w:t>
      </w:r>
      <w:r w:rsidRPr="0032506F">
        <w:rPr>
          <w:rFonts w:ascii="Times New Roman" w:eastAsia="Calibri" w:hAnsi="Times New Roman" w:cs="Times New Roman"/>
          <w:bCs/>
          <w:color w:val="000000"/>
          <w:sz w:val="24"/>
          <w:szCs w:val="24"/>
        </w:rPr>
        <w:lastRenderedPageBreak/>
        <w:t>graduate-level students, and of different races/ethnicities to reduce gender, education-level, and racial/ethnicity bias in the sample</w:t>
      </w:r>
      <w:r w:rsidR="009E31D7" w:rsidRPr="0032506F">
        <w:rPr>
          <w:rFonts w:ascii="Times New Roman" w:eastAsia="Calibri" w:hAnsi="Times New Roman" w:cs="Times New Roman"/>
          <w:bCs/>
          <w:color w:val="000000"/>
          <w:sz w:val="24"/>
          <w:szCs w:val="24"/>
        </w:rPr>
        <w:t xml:space="preserve"> and increase the generalizability of the findings</w:t>
      </w:r>
      <w:r w:rsidRPr="0032506F">
        <w:rPr>
          <w:rFonts w:ascii="Times New Roman" w:eastAsia="Calibri" w:hAnsi="Times New Roman" w:cs="Times New Roman"/>
          <w:bCs/>
          <w:color w:val="000000"/>
          <w:sz w:val="24"/>
          <w:szCs w:val="24"/>
        </w:rPr>
        <w:t xml:space="preserve">. Future studies should also consider testing the reliability and validity of the OEHE instrument in longitudinal studies given that student engagement is very likely to change over time (Hoi &amp; Le Hang, 2021). </w:t>
      </w:r>
    </w:p>
    <w:p w14:paraId="7D375A19"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bookmarkStart w:id="151" w:name="_Hlk93931544"/>
      <w:r w:rsidRPr="0032506F">
        <w:rPr>
          <w:rFonts w:ascii="Times New Roman" w:eastAsiaTheme="majorEastAsia" w:hAnsi="Times New Roman" w:cs="Times New Roman"/>
          <w:b/>
          <w:bCs/>
          <w:color w:val="000000" w:themeColor="text1"/>
          <w:sz w:val="24"/>
          <w:szCs w:val="24"/>
        </w:rPr>
        <w:t>Limitation Regarding Research Context and Sample Size.</w:t>
      </w:r>
      <w:r w:rsidRPr="0032506F">
        <w:rPr>
          <w:rFonts w:ascii="Times New Roman" w:eastAsia="Calibri" w:hAnsi="Times New Roman" w:cs="Times New Roman"/>
          <w:b/>
          <w:color w:val="000000"/>
          <w:sz w:val="24"/>
          <w:szCs w:val="24"/>
        </w:rPr>
        <w:t xml:space="preserve"> </w:t>
      </w:r>
      <w:r w:rsidRPr="0032506F">
        <w:rPr>
          <w:rFonts w:ascii="Times New Roman" w:eastAsia="Calibri" w:hAnsi="Times New Roman" w:cs="Times New Roman"/>
          <w:bCs/>
          <w:color w:val="000000"/>
          <w:sz w:val="24"/>
          <w:szCs w:val="24"/>
        </w:rPr>
        <w:t xml:space="preserve">CFA as a member of the SEM family is a large sample statistical technique requiring large sample sizes to yield stable parameter estimates (Byrne, 2016; Worthington &amp; Whittaker, 2006). After the removal of serious univariate and multivariate outliers and missing data cases on the OEHE variables, the sample size of this study used for CFA analyses was 235. There is no consensus on the ideal sample size for CFA and different authors recommend different sample sizes as adequate or minimal. For example, some researchers recommend that sample sizes smaller than 200 should not be used for SEM analyses while other researchers recommend using sample sizes of at least 100 and 200 cases (Worthington &amp;Whittaker, 2006), which the study’s sample size fits. However, future studies should strive to follow-up with a larger sample size because smaller sample sizes are known to decrease power and parameter stability. </w:t>
      </w:r>
    </w:p>
    <w:p w14:paraId="4F885E2D"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Regarding the research context, the participants in this study came from various online courses that they took as a student enrolled in various majors or degrees at various institutions in the United States, which is desirable to enhance generalizability of the findings (Gall et al., 2007). However, the problem is that none of these different research contexts (i.e., course, program, university) was represented by </w:t>
      </w:r>
      <w:proofErr w:type="gramStart"/>
      <w:r w:rsidRPr="0032506F">
        <w:rPr>
          <w:rFonts w:ascii="Times New Roman" w:eastAsia="Calibri" w:hAnsi="Times New Roman" w:cs="Times New Roman"/>
          <w:bCs/>
          <w:color w:val="000000"/>
          <w:sz w:val="24"/>
          <w:szCs w:val="24"/>
        </w:rPr>
        <w:t>a sufficient number of</w:t>
      </w:r>
      <w:proofErr w:type="gramEnd"/>
      <w:r w:rsidRPr="0032506F">
        <w:rPr>
          <w:rFonts w:ascii="Times New Roman" w:eastAsia="Calibri" w:hAnsi="Times New Roman" w:cs="Times New Roman"/>
          <w:bCs/>
          <w:color w:val="000000"/>
          <w:sz w:val="24"/>
          <w:szCs w:val="24"/>
        </w:rPr>
        <w:t xml:space="preserve"> participants in this study, raising some validity issues (Gall et al., 2007). Therefore, future studies should test the reliability and validity of the OEHE instrument across such diverse contexts but with sufficient samples of each </w:t>
      </w:r>
      <w:proofErr w:type="gramStart"/>
      <w:r w:rsidRPr="0032506F">
        <w:rPr>
          <w:rFonts w:ascii="Times New Roman" w:eastAsia="Calibri" w:hAnsi="Times New Roman" w:cs="Times New Roman"/>
          <w:bCs/>
          <w:color w:val="000000"/>
          <w:sz w:val="24"/>
          <w:szCs w:val="24"/>
        </w:rPr>
        <w:t>particular online</w:t>
      </w:r>
      <w:proofErr w:type="gramEnd"/>
      <w:r w:rsidRPr="0032506F">
        <w:rPr>
          <w:rFonts w:ascii="Times New Roman" w:eastAsia="Calibri" w:hAnsi="Times New Roman" w:cs="Times New Roman"/>
          <w:bCs/>
          <w:color w:val="000000"/>
          <w:sz w:val="24"/>
          <w:szCs w:val="24"/>
        </w:rPr>
        <w:t xml:space="preserve"> learning context.  </w:t>
      </w:r>
    </w:p>
    <w:p w14:paraId="3D91D02C" w14:textId="558C6FA9" w:rsidR="005F3140" w:rsidRPr="0032506F" w:rsidRDefault="005F3140" w:rsidP="005F3140">
      <w:pPr>
        <w:spacing w:after="0" w:line="480" w:lineRule="auto"/>
        <w:ind w:firstLine="720"/>
        <w:rPr>
          <w:rFonts w:ascii="Times New Roman" w:eastAsia="Calibri" w:hAnsi="Times New Roman" w:cs="Times New Roman"/>
          <w:b/>
          <w:color w:val="000000"/>
          <w:sz w:val="24"/>
          <w:szCs w:val="24"/>
        </w:rPr>
      </w:pPr>
      <w:r w:rsidRPr="0032506F">
        <w:rPr>
          <w:rFonts w:ascii="Times New Roman" w:eastAsiaTheme="majorEastAsia" w:hAnsi="Times New Roman" w:cs="Times New Roman"/>
          <w:b/>
          <w:bCs/>
          <w:color w:val="000000" w:themeColor="text1"/>
          <w:sz w:val="24"/>
          <w:szCs w:val="24"/>
        </w:rPr>
        <w:lastRenderedPageBreak/>
        <w:t>Limitation Regarding Item Correlations.</w:t>
      </w:r>
      <w:r w:rsidRPr="0032506F">
        <w:rPr>
          <w:rFonts w:ascii="Times New Roman" w:eastAsia="Calibri" w:hAnsi="Times New Roman" w:cs="Times New Roman"/>
          <w:b/>
          <w:color w:val="000000" w:themeColor="text1"/>
          <w:sz w:val="28"/>
          <w:szCs w:val="28"/>
        </w:rPr>
        <w:t xml:space="preserve"> </w:t>
      </w:r>
      <w:r w:rsidRPr="0032506F">
        <w:rPr>
          <w:rFonts w:ascii="Times New Roman" w:eastAsia="Calibri" w:hAnsi="Times New Roman" w:cs="Times New Roman"/>
          <w:bCs/>
          <w:color w:val="000000"/>
          <w:sz w:val="24"/>
          <w:szCs w:val="24"/>
        </w:rPr>
        <w:t xml:space="preserve">Item correlations obtained in this study may emanate from sampling error or other reasons including similar wordings of items (Holmes, 2018; Warner, 2013). To reduce, if not eliminate, this potential limitation, a multi-stage fully blown scale development process </w:t>
      </w:r>
      <w:r w:rsidR="00AE4DBC" w:rsidRPr="0032506F">
        <w:rPr>
          <w:rFonts w:ascii="Times New Roman" w:eastAsia="Calibri" w:hAnsi="Times New Roman" w:cs="Times New Roman"/>
          <w:bCs/>
          <w:color w:val="000000"/>
          <w:sz w:val="24"/>
          <w:szCs w:val="24"/>
        </w:rPr>
        <w:t xml:space="preserve">was used </w:t>
      </w:r>
      <w:r w:rsidRPr="0032506F">
        <w:rPr>
          <w:rFonts w:ascii="Times New Roman" w:eastAsia="Calibri" w:hAnsi="Times New Roman" w:cs="Times New Roman"/>
          <w:bCs/>
          <w:color w:val="000000"/>
          <w:sz w:val="24"/>
          <w:szCs w:val="24"/>
        </w:rPr>
        <w:t xml:space="preserve">where a thorough review </w:t>
      </w:r>
      <w:r w:rsidR="00D837BB" w:rsidRPr="0032506F">
        <w:rPr>
          <w:rFonts w:ascii="Times New Roman" w:eastAsia="Calibri" w:hAnsi="Times New Roman" w:cs="Times New Roman"/>
          <w:bCs/>
          <w:color w:val="000000"/>
          <w:sz w:val="24"/>
          <w:szCs w:val="24"/>
        </w:rPr>
        <w:t>of t</w:t>
      </w:r>
      <w:r w:rsidRPr="0032506F">
        <w:rPr>
          <w:rFonts w:ascii="Times New Roman" w:eastAsia="Calibri" w:hAnsi="Times New Roman" w:cs="Times New Roman"/>
          <w:bCs/>
          <w:color w:val="000000"/>
          <w:sz w:val="24"/>
          <w:szCs w:val="24"/>
        </w:rPr>
        <w:t xml:space="preserve">he relevant literature and </w:t>
      </w:r>
      <w:r w:rsidR="00D837BB" w:rsidRPr="0032506F">
        <w:rPr>
          <w:rFonts w:ascii="Times New Roman" w:eastAsia="Calibri" w:hAnsi="Times New Roman" w:cs="Times New Roman"/>
          <w:bCs/>
          <w:color w:val="000000"/>
          <w:sz w:val="24"/>
          <w:szCs w:val="24"/>
        </w:rPr>
        <w:t xml:space="preserve">the </w:t>
      </w:r>
      <w:r w:rsidRPr="0032506F">
        <w:rPr>
          <w:rFonts w:ascii="Times New Roman" w:eastAsia="Calibri" w:hAnsi="Times New Roman" w:cs="Times New Roman"/>
          <w:bCs/>
          <w:color w:val="000000"/>
          <w:sz w:val="24"/>
          <w:szCs w:val="24"/>
        </w:rPr>
        <w:t>existing measures of student engagement</w:t>
      </w:r>
      <w:r w:rsidR="00D837BB" w:rsidRPr="0032506F">
        <w:rPr>
          <w:rFonts w:ascii="Times New Roman" w:eastAsia="Calibri" w:hAnsi="Times New Roman" w:cs="Times New Roman"/>
          <w:bCs/>
          <w:color w:val="000000"/>
          <w:sz w:val="24"/>
          <w:szCs w:val="24"/>
        </w:rPr>
        <w:t xml:space="preserve"> was conducted </w:t>
      </w:r>
      <w:r w:rsidRPr="0032506F">
        <w:rPr>
          <w:rFonts w:ascii="Times New Roman" w:eastAsia="Calibri" w:hAnsi="Times New Roman" w:cs="Times New Roman"/>
          <w:bCs/>
          <w:color w:val="000000"/>
          <w:sz w:val="24"/>
          <w:szCs w:val="24"/>
        </w:rPr>
        <w:t xml:space="preserve">as well as using a panel of experts to evaluate content and face validity of the items including their language and wording characteristics. As part of this systematic scale development process, pilot cognitive interviews </w:t>
      </w:r>
      <w:r w:rsidR="009B6BA0" w:rsidRPr="0032506F">
        <w:rPr>
          <w:rFonts w:ascii="Times New Roman" w:eastAsia="Calibri" w:hAnsi="Times New Roman" w:cs="Times New Roman"/>
          <w:bCs/>
          <w:color w:val="000000"/>
          <w:sz w:val="24"/>
          <w:szCs w:val="24"/>
        </w:rPr>
        <w:t xml:space="preserve">were also conducted with </w:t>
      </w:r>
      <w:r w:rsidRPr="0032506F">
        <w:rPr>
          <w:rFonts w:ascii="Times New Roman" w:eastAsia="Calibri" w:hAnsi="Times New Roman" w:cs="Times New Roman"/>
          <w:bCs/>
          <w:color w:val="000000"/>
          <w:sz w:val="24"/>
          <w:szCs w:val="24"/>
        </w:rPr>
        <w:t xml:space="preserve">potential respondents </w:t>
      </w:r>
      <w:r w:rsidR="009B6BA0" w:rsidRPr="0032506F">
        <w:rPr>
          <w:rFonts w:ascii="Times New Roman" w:eastAsia="Calibri" w:hAnsi="Times New Roman" w:cs="Times New Roman"/>
          <w:bCs/>
          <w:color w:val="000000"/>
          <w:sz w:val="24"/>
          <w:szCs w:val="24"/>
        </w:rPr>
        <w:t xml:space="preserve">who </w:t>
      </w:r>
      <w:r w:rsidRPr="0032506F">
        <w:rPr>
          <w:rFonts w:ascii="Times New Roman" w:eastAsia="Calibri" w:hAnsi="Times New Roman" w:cs="Times New Roman"/>
          <w:bCs/>
          <w:color w:val="000000"/>
          <w:sz w:val="24"/>
          <w:szCs w:val="24"/>
        </w:rPr>
        <w:t>read and respond</w:t>
      </w:r>
      <w:r w:rsidR="009B6BA0" w:rsidRPr="0032506F">
        <w:rPr>
          <w:rFonts w:ascii="Times New Roman" w:eastAsia="Calibri" w:hAnsi="Times New Roman" w:cs="Times New Roman"/>
          <w:bCs/>
          <w:color w:val="000000"/>
          <w:sz w:val="24"/>
          <w:szCs w:val="24"/>
        </w:rPr>
        <w:t>ed</w:t>
      </w:r>
      <w:r w:rsidRPr="0032506F">
        <w:rPr>
          <w:rFonts w:ascii="Times New Roman" w:eastAsia="Calibri" w:hAnsi="Times New Roman" w:cs="Times New Roman"/>
          <w:bCs/>
          <w:color w:val="000000"/>
          <w:sz w:val="24"/>
          <w:szCs w:val="24"/>
        </w:rPr>
        <w:t xml:space="preserve"> to </w:t>
      </w:r>
      <w:r w:rsidR="00866406" w:rsidRPr="0032506F">
        <w:rPr>
          <w:rFonts w:ascii="Times New Roman" w:eastAsia="Calibri" w:hAnsi="Times New Roman" w:cs="Times New Roman"/>
          <w:bCs/>
          <w:color w:val="000000"/>
          <w:sz w:val="24"/>
          <w:szCs w:val="24"/>
        </w:rPr>
        <w:t xml:space="preserve">the </w:t>
      </w:r>
      <w:r w:rsidRPr="0032506F">
        <w:rPr>
          <w:rFonts w:ascii="Times New Roman" w:eastAsia="Calibri" w:hAnsi="Times New Roman" w:cs="Times New Roman"/>
          <w:bCs/>
          <w:color w:val="000000"/>
          <w:sz w:val="24"/>
          <w:szCs w:val="24"/>
        </w:rPr>
        <w:t>OEHE items and evaluate</w:t>
      </w:r>
      <w:r w:rsidR="009B6BA0" w:rsidRPr="0032506F">
        <w:rPr>
          <w:rFonts w:ascii="Times New Roman" w:eastAsia="Calibri" w:hAnsi="Times New Roman" w:cs="Times New Roman"/>
          <w:bCs/>
          <w:color w:val="000000"/>
          <w:sz w:val="24"/>
          <w:szCs w:val="24"/>
        </w:rPr>
        <w:t>d</w:t>
      </w:r>
      <w:r w:rsidRPr="0032506F">
        <w:rPr>
          <w:rFonts w:ascii="Times New Roman" w:eastAsia="Calibri" w:hAnsi="Times New Roman" w:cs="Times New Roman"/>
          <w:bCs/>
          <w:color w:val="000000"/>
          <w:sz w:val="24"/>
          <w:szCs w:val="24"/>
        </w:rPr>
        <w:t xml:space="preserve"> their relevance, validity, and meaningfulness. </w:t>
      </w:r>
    </w:p>
    <w:p w14:paraId="1DEBEA13" w14:textId="22F021D3" w:rsidR="005F3140" w:rsidRPr="0032506F" w:rsidRDefault="005F3140" w:rsidP="005F3140">
      <w:pPr>
        <w:spacing w:after="0" w:line="480" w:lineRule="auto"/>
        <w:ind w:firstLine="720"/>
        <w:rPr>
          <w:rFonts w:ascii="Times New Roman" w:eastAsia="Calibri" w:hAnsi="Times New Roman" w:cs="Times New Roman"/>
          <w:color w:val="000000"/>
          <w:sz w:val="24"/>
          <w:szCs w:val="24"/>
        </w:rPr>
      </w:pPr>
      <w:r w:rsidRPr="0032506F">
        <w:rPr>
          <w:rFonts w:ascii="Times New Roman" w:eastAsiaTheme="majorEastAsia" w:hAnsi="Times New Roman" w:cs="Times New Roman"/>
          <w:b/>
          <w:bCs/>
          <w:color w:val="000000" w:themeColor="text1"/>
          <w:sz w:val="24"/>
          <w:szCs w:val="24"/>
        </w:rPr>
        <w:t xml:space="preserve">Limitations Regarding </w:t>
      </w:r>
      <w:bookmarkEnd w:id="151"/>
      <w:r w:rsidRPr="0032506F">
        <w:rPr>
          <w:rFonts w:ascii="Times New Roman" w:eastAsiaTheme="majorEastAsia" w:hAnsi="Times New Roman" w:cs="Times New Roman"/>
          <w:b/>
          <w:bCs/>
          <w:color w:val="000000" w:themeColor="text1"/>
          <w:sz w:val="24"/>
          <w:szCs w:val="24"/>
        </w:rPr>
        <w:t xml:space="preserve">Likert Data, Data Analysis </w:t>
      </w:r>
      <w:r w:rsidR="001842E8" w:rsidRPr="0032506F">
        <w:rPr>
          <w:rFonts w:ascii="Times New Roman" w:eastAsiaTheme="majorEastAsia" w:hAnsi="Times New Roman" w:cs="Times New Roman"/>
          <w:b/>
          <w:bCs/>
          <w:color w:val="000000" w:themeColor="text1"/>
          <w:sz w:val="24"/>
          <w:szCs w:val="24"/>
        </w:rPr>
        <w:t>Method,</w:t>
      </w:r>
      <w:r w:rsidRPr="0032506F">
        <w:rPr>
          <w:rFonts w:ascii="Times New Roman" w:eastAsiaTheme="majorEastAsia" w:hAnsi="Times New Roman" w:cs="Times New Roman"/>
          <w:b/>
          <w:bCs/>
          <w:color w:val="000000" w:themeColor="text1"/>
          <w:sz w:val="24"/>
          <w:szCs w:val="24"/>
        </w:rPr>
        <w:t xml:space="preserve"> and Software.</w:t>
      </w:r>
      <w:r w:rsidRPr="0032506F">
        <w:rPr>
          <w:rFonts w:ascii="Times New Roman" w:eastAsia="Calibri" w:hAnsi="Times New Roman" w:cs="Times New Roman"/>
          <w:b/>
          <w:color w:val="000000"/>
          <w:sz w:val="24"/>
          <w:szCs w:val="24"/>
        </w:rPr>
        <w:t xml:space="preserve"> </w:t>
      </w:r>
      <w:r w:rsidRPr="0032506F">
        <w:rPr>
          <w:rFonts w:ascii="Times New Roman" w:eastAsia="Calibri" w:hAnsi="Times New Roman" w:cs="Times New Roman"/>
          <w:bCs/>
          <w:color w:val="000000"/>
          <w:sz w:val="24"/>
          <w:szCs w:val="24"/>
        </w:rPr>
        <w:t>A 5-point Likert-type scale was used in this study. Likert-type scales commonly used in social science research are widely regarded and treated as interval scales although there is still a long-standing debate in the relevant literature as to whether Likert-scales should be treated as interval or ordinal scales (</w:t>
      </w:r>
      <w:r w:rsidRPr="0032506F">
        <w:rPr>
          <w:rFonts w:ascii="Times New Roman" w:eastAsia="Calibri" w:hAnsi="Times New Roman" w:cs="Times New Roman"/>
          <w:color w:val="000000"/>
          <w:sz w:val="24"/>
          <w:szCs w:val="24"/>
        </w:rPr>
        <w:t xml:space="preserve">Wu &amp; Leung, 2017). </w:t>
      </w:r>
      <w:r w:rsidR="00072C16" w:rsidRPr="0032506F">
        <w:rPr>
          <w:rFonts w:ascii="Times New Roman" w:eastAsia="Calibri" w:hAnsi="Times New Roman" w:cs="Times New Roman"/>
          <w:color w:val="000000"/>
          <w:sz w:val="24"/>
          <w:szCs w:val="24"/>
        </w:rPr>
        <w:t xml:space="preserve">A </w:t>
      </w:r>
      <w:r w:rsidRPr="0032506F">
        <w:rPr>
          <w:rFonts w:ascii="Times New Roman" w:eastAsia="Calibri" w:hAnsi="Times New Roman" w:cs="Times New Roman"/>
          <w:color w:val="000000"/>
          <w:sz w:val="24"/>
          <w:szCs w:val="24"/>
        </w:rPr>
        <w:t xml:space="preserve">five-point Likert scale </w:t>
      </w:r>
      <w:r w:rsidR="00072C16" w:rsidRPr="0032506F">
        <w:rPr>
          <w:rFonts w:ascii="Times New Roman" w:eastAsia="Calibri" w:hAnsi="Times New Roman" w:cs="Times New Roman"/>
          <w:color w:val="000000"/>
          <w:sz w:val="24"/>
          <w:szCs w:val="24"/>
        </w:rPr>
        <w:t xml:space="preserve">was used </w:t>
      </w:r>
      <w:r w:rsidRPr="0032506F">
        <w:rPr>
          <w:rFonts w:ascii="Times New Roman" w:eastAsia="Calibri" w:hAnsi="Times New Roman" w:cs="Times New Roman"/>
          <w:color w:val="000000"/>
          <w:sz w:val="24"/>
          <w:szCs w:val="24"/>
        </w:rPr>
        <w:t>in this study and treated as an interval scale and</w:t>
      </w:r>
      <w:r w:rsidR="00072C16" w:rsidRPr="0032506F">
        <w:rPr>
          <w:rFonts w:ascii="Times New Roman" w:eastAsia="Calibri" w:hAnsi="Times New Roman" w:cs="Times New Roman"/>
          <w:color w:val="000000"/>
          <w:sz w:val="24"/>
          <w:szCs w:val="24"/>
        </w:rPr>
        <w:t xml:space="preserve"> the </w:t>
      </w:r>
      <w:r w:rsidRPr="0032506F">
        <w:rPr>
          <w:rFonts w:ascii="Times New Roman" w:eastAsia="Calibri" w:hAnsi="Times New Roman" w:cs="Times New Roman"/>
          <w:color w:val="000000"/>
          <w:sz w:val="24"/>
          <w:szCs w:val="24"/>
        </w:rPr>
        <w:t>indicator variables as continuous because five</w:t>
      </w:r>
      <w:r w:rsidRPr="0032506F">
        <w:rPr>
          <w:rFonts w:ascii="Times New Roman" w:eastAsia="Calibri" w:hAnsi="Times New Roman" w:cs="Times New Roman"/>
          <w:b/>
          <w:bCs/>
          <w:color w:val="000000"/>
          <w:sz w:val="24"/>
          <w:szCs w:val="24"/>
        </w:rPr>
        <w:t xml:space="preserve"> </w:t>
      </w:r>
      <w:r w:rsidRPr="0032506F">
        <w:rPr>
          <w:rFonts w:ascii="Times New Roman" w:eastAsia="Calibri" w:hAnsi="Times New Roman" w:cs="Times New Roman"/>
          <w:color w:val="000000"/>
          <w:sz w:val="24"/>
          <w:szCs w:val="24"/>
        </w:rPr>
        <w:t xml:space="preserve">levels often yield a response scale that behaves reasonably close to continuous although increasing the number of points to as high as eleven to make it a continuous measure is also recommended in the literature (Wu &amp; Leung, 2017). </w:t>
      </w:r>
      <w:r w:rsidR="00072C16" w:rsidRPr="0032506F">
        <w:rPr>
          <w:rFonts w:ascii="Times New Roman" w:eastAsia="Calibri" w:hAnsi="Times New Roman" w:cs="Times New Roman"/>
          <w:color w:val="000000"/>
          <w:sz w:val="24"/>
          <w:szCs w:val="24"/>
        </w:rPr>
        <w:t xml:space="preserve">The </w:t>
      </w:r>
      <w:r w:rsidR="007472FC" w:rsidRPr="0032506F">
        <w:rPr>
          <w:rFonts w:ascii="Times New Roman" w:eastAsia="Calibri" w:hAnsi="Times New Roman" w:cs="Times New Roman"/>
          <w:color w:val="000000"/>
          <w:sz w:val="24"/>
          <w:szCs w:val="24"/>
        </w:rPr>
        <w:t xml:space="preserve">OEHE </w:t>
      </w:r>
      <w:r w:rsidRPr="0032506F">
        <w:rPr>
          <w:rFonts w:ascii="Times New Roman" w:eastAsia="Calibri" w:hAnsi="Times New Roman" w:cs="Times New Roman"/>
          <w:color w:val="000000"/>
          <w:sz w:val="24"/>
          <w:szCs w:val="24"/>
        </w:rPr>
        <w:t xml:space="preserve">indicator variables in this study </w:t>
      </w:r>
      <w:r w:rsidR="007472FC" w:rsidRPr="0032506F">
        <w:rPr>
          <w:rFonts w:ascii="Times New Roman" w:eastAsia="Calibri" w:hAnsi="Times New Roman" w:cs="Times New Roman"/>
          <w:color w:val="000000"/>
          <w:sz w:val="24"/>
          <w:szCs w:val="24"/>
        </w:rPr>
        <w:t xml:space="preserve">were also treated as </w:t>
      </w:r>
      <w:r w:rsidRPr="0032506F">
        <w:rPr>
          <w:rFonts w:ascii="Times New Roman" w:eastAsia="Calibri" w:hAnsi="Times New Roman" w:cs="Times New Roman"/>
          <w:color w:val="000000"/>
          <w:sz w:val="24"/>
          <w:szCs w:val="24"/>
        </w:rPr>
        <w:t>continuous and the ML estimation</w:t>
      </w:r>
      <w:r w:rsidR="007472FC" w:rsidRPr="0032506F">
        <w:rPr>
          <w:rFonts w:ascii="Times New Roman" w:eastAsia="Calibri" w:hAnsi="Times New Roman" w:cs="Times New Roman"/>
          <w:color w:val="000000"/>
          <w:sz w:val="24"/>
          <w:szCs w:val="24"/>
        </w:rPr>
        <w:t xml:space="preserve"> was used</w:t>
      </w:r>
      <w:r w:rsidRPr="0032506F">
        <w:rPr>
          <w:rFonts w:ascii="Times New Roman" w:eastAsia="Calibri" w:hAnsi="Times New Roman" w:cs="Times New Roman"/>
          <w:color w:val="000000"/>
          <w:sz w:val="24"/>
          <w:szCs w:val="24"/>
        </w:rPr>
        <w:t xml:space="preserve"> with the main assumption that needs to be met being multivariate normality of the endogenous variables in</w:t>
      </w:r>
      <w:r w:rsidR="007472FC" w:rsidRPr="0032506F">
        <w:rPr>
          <w:rFonts w:ascii="Times New Roman" w:eastAsia="Calibri" w:hAnsi="Times New Roman" w:cs="Times New Roman"/>
          <w:color w:val="000000"/>
          <w:sz w:val="24"/>
          <w:szCs w:val="24"/>
        </w:rPr>
        <w:t xml:space="preserve"> the CFA </w:t>
      </w:r>
      <w:r w:rsidRPr="0032506F">
        <w:rPr>
          <w:rFonts w:ascii="Times New Roman" w:eastAsia="Calibri" w:hAnsi="Times New Roman" w:cs="Times New Roman"/>
          <w:color w:val="000000"/>
          <w:sz w:val="24"/>
          <w:szCs w:val="24"/>
        </w:rPr>
        <w:t xml:space="preserve">model. Given that the ML estimation method has been shown to be robust to mild violations of multivariate normality (Jackson et al., 2009), the limitation associated with the CFA estimation method used in this study was also reduced, if not </w:t>
      </w:r>
      <w:proofErr w:type="gramStart"/>
      <w:r w:rsidRPr="0032506F">
        <w:rPr>
          <w:rFonts w:ascii="Times New Roman" w:eastAsia="Calibri" w:hAnsi="Times New Roman" w:cs="Times New Roman"/>
          <w:color w:val="000000"/>
          <w:sz w:val="24"/>
          <w:szCs w:val="24"/>
        </w:rPr>
        <w:t>totally eliminated</w:t>
      </w:r>
      <w:proofErr w:type="gramEnd"/>
      <w:r w:rsidRPr="0032506F">
        <w:rPr>
          <w:rFonts w:ascii="Times New Roman" w:eastAsia="Calibri" w:hAnsi="Times New Roman" w:cs="Times New Roman"/>
          <w:color w:val="000000"/>
          <w:sz w:val="24"/>
          <w:szCs w:val="24"/>
        </w:rPr>
        <w:t xml:space="preserve">. Finally, IBM SPSS Amos Graphics 27 was used </w:t>
      </w:r>
      <w:r w:rsidRPr="0032506F">
        <w:rPr>
          <w:rFonts w:ascii="Times New Roman" w:eastAsia="Calibri" w:hAnsi="Times New Roman" w:cs="Times New Roman"/>
          <w:color w:val="000000"/>
          <w:sz w:val="24"/>
          <w:szCs w:val="24"/>
        </w:rPr>
        <w:lastRenderedPageBreak/>
        <w:t>as the software to CFA-analyze the Likert-type data treated as continuous indicators. The software used in this study is known to have limitations regarding the correction procedures that can be used to address multivariate normality and Bollen-Stine bootstrap is the only option provided by Amos for evaluating the overall model fit and individual parameters providing the bias-corrected confidence intervals.</w:t>
      </w:r>
      <w:r w:rsidRPr="0032506F">
        <w:rPr>
          <w:rFonts w:ascii="Times New Roman" w:eastAsia="Calibri" w:hAnsi="Times New Roman" w:cs="Times New Roman"/>
          <w:b/>
          <w:bCs/>
          <w:color w:val="000000"/>
          <w:sz w:val="24"/>
          <w:szCs w:val="24"/>
        </w:rPr>
        <w:t xml:space="preserve"> </w:t>
      </w:r>
      <w:r w:rsidRPr="0032506F">
        <w:rPr>
          <w:rFonts w:ascii="Times New Roman" w:eastAsia="Calibri" w:hAnsi="Times New Roman" w:cs="Times New Roman"/>
          <w:color w:val="000000"/>
          <w:sz w:val="24"/>
          <w:szCs w:val="24"/>
        </w:rPr>
        <w:t>This potential limitation of multivariate nonnormal data was therefore mitigated by using the bootstrap procedures provided by Amos as well.</w:t>
      </w:r>
      <w:r w:rsidRPr="0032506F">
        <w:rPr>
          <w:rFonts w:ascii="Times New Roman" w:eastAsia="Calibri" w:hAnsi="Times New Roman" w:cs="Times New Roman"/>
          <w:b/>
          <w:bCs/>
          <w:color w:val="000000"/>
          <w:sz w:val="24"/>
          <w:szCs w:val="24"/>
        </w:rPr>
        <w:t xml:space="preserve"> </w:t>
      </w:r>
      <w:bookmarkStart w:id="152" w:name="_Hlk101176913"/>
      <w:r w:rsidR="00994310" w:rsidRPr="0032506F">
        <w:rPr>
          <w:rFonts w:ascii="Times New Roman" w:eastAsia="Calibri" w:hAnsi="Times New Roman" w:cs="Times New Roman"/>
          <w:color w:val="000000"/>
          <w:sz w:val="24"/>
          <w:szCs w:val="24"/>
        </w:rPr>
        <w:t xml:space="preserve">Also, </w:t>
      </w:r>
      <w:r w:rsidR="005B6793" w:rsidRPr="0032506F">
        <w:rPr>
          <w:rFonts w:ascii="Times New Roman" w:eastAsia="Calibri" w:hAnsi="Times New Roman" w:cs="Times New Roman"/>
          <w:color w:val="000000"/>
          <w:sz w:val="24"/>
          <w:szCs w:val="24"/>
        </w:rPr>
        <w:t xml:space="preserve">an exploratory factor analysis (EFA) might need to be considered </w:t>
      </w:r>
      <w:r w:rsidR="00900FEE" w:rsidRPr="0032506F">
        <w:rPr>
          <w:rFonts w:ascii="Times New Roman" w:eastAsia="Calibri" w:hAnsi="Times New Roman" w:cs="Times New Roman"/>
          <w:color w:val="000000"/>
          <w:sz w:val="24"/>
          <w:szCs w:val="24"/>
        </w:rPr>
        <w:t xml:space="preserve">with a new sample to explore the OEHE items </w:t>
      </w:r>
      <w:r w:rsidR="003101E0" w:rsidRPr="0032506F">
        <w:rPr>
          <w:rFonts w:ascii="Times New Roman" w:eastAsia="Calibri" w:hAnsi="Times New Roman" w:cs="Times New Roman"/>
          <w:color w:val="000000"/>
          <w:sz w:val="24"/>
          <w:szCs w:val="24"/>
        </w:rPr>
        <w:t>more thoroughly</w:t>
      </w:r>
      <w:r w:rsidR="00900FEE" w:rsidRPr="0032506F">
        <w:rPr>
          <w:rFonts w:ascii="Times New Roman" w:eastAsia="Calibri" w:hAnsi="Times New Roman" w:cs="Times New Roman"/>
          <w:color w:val="000000"/>
          <w:sz w:val="24"/>
          <w:szCs w:val="24"/>
        </w:rPr>
        <w:t xml:space="preserve"> before </w:t>
      </w:r>
      <w:r w:rsidR="003101E0" w:rsidRPr="0032506F">
        <w:rPr>
          <w:rFonts w:ascii="Times New Roman" w:eastAsia="Calibri" w:hAnsi="Times New Roman" w:cs="Times New Roman"/>
          <w:color w:val="000000"/>
          <w:sz w:val="24"/>
          <w:szCs w:val="24"/>
        </w:rPr>
        <w:t xml:space="preserve">conducting a confirmatory analysis to test and confirm the three-factor structure. </w:t>
      </w:r>
      <w:bookmarkEnd w:id="152"/>
    </w:p>
    <w:p w14:paraId="7E7F9651" w14:textId="23A1EFAD"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Theme="majorEastAsia" w:hAnsi="Times New Roman" w:cs="Times New Roman"/>
          <w:b/>
          <w:bCs/>
          <w:sz w:val="24"/>
          <w:szCs w:val="24"/>
        </w:rPr>
        <w:t xml:space="preserve">Limitation Regarding Online Engagement as Measured by OEHE </w:t>
      </w:r>
      <w:r w:rsidR="00280395" w:rsidRPr="0032506F">
        <w:rPr>
          <w:rFonts w:ascii="Times New Roman" w:eastAsiaTheme="majorEastAsia" w:hAnsi="Times New Roman" w:cs="Times New Roman"/>
          <w:b/>
          <w:bCs/>
          <w:sz w:val="24"/>
          <w:szCs w:val="24"/>
        </w:rPr>
        <w:t xml:space="preserve">Dimensions and </w:t>
      </w:r>
      <w:r w:rsidRPr="0032506F">
        <w:rPr>
          <w:rFonts w:ascii="Times New Roman" w:eastAsiaTheme="majorEastAsia" w:hAnsi="Times New Roman" w:cs="Times New Roman"/>
          <w:b/>
          <w:bCs/>
          <w:sz w:val="24"/>
          <w:szCs w:val="24"/>
        </w:rPr>
        <w:t>Items</w:t>
      </w:r>
      <w:r w:rsidRPr="0032506F">
        <w:rPr>
          <w:rFonts w:ascii="Times New Roman" w:eastAsia="Calibri" w:hAnsi="Times New Roman" w:cs="Times New Roman"/>
          <w:b/>
          <w:color w:val="000000"/>
          <w:sz w:val="24"/>
          <w:szCs w:val="24"/>
        </w:rPr>
        <w:t xml:space="preserve">. </w:t>
      </w:r>
      <w:r w:rsidRPr="0032506F">
        <w:rPr>
          <w:rFonts w:ascii="Times New Roman" w:eastAsia="Calibri" w:hAnsi="Times New Roman" w:cs="Times New Roman"/>
          <w:bCs/>
          <w:color w:val="000000"/>
          <w:sz w:val="24"/>
          <w:szCs w:val="24"/>
        </w:rPr>
        <w:t xml:space="preserve">One major limitation of this study was that the results from the OEHE instrument regarding online student engagement were limited to the behavioral, emotional, and cognitive characteristics as measured by the remaining indicator variables in the final best-fitting 20-item OEHE model. During the item construction process, several indicators of behavioral, emotional, and cognitive engagement were constructed in line with Fredricks et al.’s (2004) three-dimensional conception of engagement and based on the relevant literature and existing measures of engagement. However, certain items from each hypothesized subscale were lost due to poor inter-item correlations, extremely nonnormal distributions, and the poor model fit (local and global) fit indices during the CFA, as thoroughly presented and explained in Chapter Four Findings. As a result of this loss of items, indicators of online behavioral engagement were limited to student-student and student-instructor interactions during online discussions only. Online emotional engagement indicators were also limited to the positive emotions of enjoyment and curiosity, with enjoyment being the most dominant emotion in this subscale. Also, emotional </w:t>
      </w:r>
      <w:r w:rsidRPr="0032506F">
        <w:rPr>
          <w:rFonts w:ascii="Times New Roman" w:eastAsia="Calibri" w:hAnsi="Times New Roman" w:cs="Times New Roman"/>
          <w:bCs/>
          <w:color w:val="000000"/>
          <w:sz w:val="24"/>
          <w:szCs w:val="24"/>
        </w:rPr>
        <w:lastRenderedPageBreak/>
        <w:t xml:space="preserve">engagement was limited to students’ emotional engagement associated with their interactions during online discussions only. Finally, online cognitive engagement indicators were more inclusive and representative of the originally intended content domain of online cognitive engagement with indicators of cognitive engagement associated with both online discussions and learning experience in the online course overall.   </w:t>
      </w:r>
    </w:p>
    <w:p w14:paraId="7FB6A333" w14:textId="05D7935F"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The most probable reason to account for these limitations in the resulting OEHE instrument is associated with the sampling strategy used in this study. Through snowball convenience sampling, the data </w:t>
      </w:r>
      <w:r w:rsidR="00FE0552" w:rsidRPr="0032506F">
        <w:rPr>
          <w:rFonts w:ascii="Times New Roman" w:eastAsia="Calibri" w:hAnsi="Times New Roman" w:cs="Times New Roman"/>
          <w:bCs/>
          <w:color w:val="000000"/>
          <w:sz w:val="24"/>
          <w:szCs w:val="24"/>
        </w:rPr>
        <w:t xml:space="preserve">were collected </w:t>
      </w:r>
      <w:r w:rsidRPr="0032506F">
        <w:rPr>
          <w:rFonts w:ascii="Times New Roman" w:eastAsia="Calibri" w:hAnsi="Times New Roman" w:cs="Times New Roman"/>
          <w:bCs/>
          <w:color w:val="000000"/>
          <w:sz w:val="24"/>
          <w:szCs w:val="24"/>
        </w:rPr>
        <w:t>for the OEHE items in this study from multiple online courses, multiple programs, and multiple institutions with extremely small sample representation of each, and each case was embedded in a unique context with multiple unique features, expectations, structures, and other specific characteristics as evidenced by the responses to the OCC questions and the participant’s qualitative comments</w:t>
      </w:r>
      <w:r w:rsidR="00131CA3">
        <w:rPr>
          <w:rFonts w:ascii="Times New Roman" w:eastAsia="Calibri" w:hAnsi="Times New Roman" w:cs="Times New Roman"/>
          <w:bCs/>
          <w:color w:val="000000"/>
          <w:sz w:val="24"/>
          <w:szCs w:val="24"/>
        </w:rPr>
        <w:t xml:space="preserve"> about the OEHE items.</w:t>
      </w:r>
    </w:p>
    <w:p w14:paraId="1C9FCC72" w14:textId="0326139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In this study, more than 100 online courses of different subject domains were reported by the participants enrolled in more than 50 different programs or academic disciplines at 51 higher education institutions. </w:t>
      </w:r>
      <w:r w:rsidR="00866406" w:rsidRPr="0032506F">
        <w:rPr>
          <w:rFonts w:ascii="Times New Roman" w:eastAsia="Calibri" w:hAnsi="Times New Roman" w:cs="Times New Roman"/>
          <w:bCs/>
          <w:color w:val="000000"/>
          <w:sz w:val="24"/>
          <w:szCs w:val="24"/>
        </w:rPr>
        <w:t>T</w:t>
      </w:r>
      <w:r w:rsidRPr="0032506F">
        <w:rPr>
          <w:rFonts w:ascii="Times New Roman" w:eastAsia="Calibri" w:hAnsi="Times New Roman" w:cs="Times New Roman"/>
          <w:bCs/>
          <w:color w:val="000000"/>
          <w:sz w:val="24"/>
          <w:szCs w:val="24"/>
        </w:rPr>
        <w:t>his sampling strategy</w:t>
      </w:r>
      <w:r w:rsidR="00866406" w:rsidRPr="0032506F">
        <w:rPr>
          <w:rFonts w:ascii="Times New Roman" w:eastAsia="Calibri" w:hAnsi="Times New Roman" w:cs="Times New Roman"/>
          <w:bCs/>
          <w:color w:val="000000"/>
          <w:sz w:val="24"/>
          <w:szCs w:val="24"/>
        </w:rPr>
        <w:t xml:space="preserve"> was used</w:t>
      </w:r>
      <w:r w:rsidRPr="0032506F">
        <w:rPr>
          <w:rFonts w:ascii="Times New Roman" w:eastAsia="Calibri" w:hAnsi="Times New Roman" w:cs="Times New Roman"/>
          <w:bCs/>
          <w:color w:val="000000"/>
          <w:sz w:val="24"/>
          <w:szCs w:val="24"/>
        </w:rPr>
        <w:t xml:space="preserve"> to increase generalizability and external validity of </w:t>
      </w:r>
      <w:r w:rsidR="00866406" w:rsidRPr="0032506F">
        <w:rPr>
          <w:rFonts w:ascii="Times New Roman" w:eastAsia="Calibri" w:hAnsi="Times New Roman" w:cs="Times New Roman"/>
          <w:bCs/>
          <w:color w:val="000000"/>
          <w:sz w:val="24"/>
          <w:szCs w:val="24"/>
        </w:rPr>
        <w:t>the</w:t>
      </w:r>
      <w:r w:rsidRPr="0032506F">
        <w:rPr>
          <w:rFonts w:ascii="Times New Roman" w:eastAsia="Calibri" w:hAnsi="Times New Roman" w:cs="Times New Roman"/>
          <w:bCs/>
          <w:color w:val="000000"/>
          <w:sz w:val="24"/>
          <w:szCs w:val="24"/>
        </w:rPr>
        <w:t xml:space="preserve"> findings (Gall et al., 2007; Holmes, 2018). Using snowball sampling is also a good strategy to ensure high diversity in the study sample with better representativeness (Warner, 2013). However, considering that each online course or a program delivered at a specific higher education institution is one specific context with certain online learning components, requirements, and characteristics, not limiting the sample to a particular course or courses in a particular program or programs at a particular institution or institutions may have resulted in some validity issues because of too much variation and dissimilarity across various online courses, programs, and universities (Gall et al</w:t>
      </w:r>
      <w:r w:rsidR="003B6558"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2007). </w:t>
      </w:r>
    </w:p>
    <w:p w14:paraId="39730110"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lastRenderedPageBreak/>
        <w:t>Given that engagement is a malleable state highly sensitive to specific contextual characteristics (Manwaring et al., 2017) and that it is a complex construct that “results from an interaction of the individual with the context and is responsive to variations in contextual</w:t>
      </w:r>
    </w:p>
    <w:p w14:paraId="0BFC9FE0" w14:textId="77777777" w:rsidR="005F3140" w:rsidRPr="0032506F" w:rsidRDefault="005F3140" w:rsidP="005F314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characteristics” (Wang et al., 2016, p. 17), participants from such diverse online learning contexts and experiences are very likely to have interpreted and responded to the OEHE items in completely different ways, especially in terms of those online student behaviors such as studying the learning materials, completing tasks, participating in learning activities online or asking for help. </w:t>
      </w:r>
    </w:p>
    <w:p w14:paraId="758E1EC7" w14:textId="77777777"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Considering also that there is some research evidence indicating the domain specificity of the construct of student engagement (Wang et al., 2016), the variations resulting from so many different subject domains in this study might have also influenced the participants’ responses to the OEHE items. As can be understood from the participant’s responses to the OCC questions and their open-ended comments, there was great diversity in the online learning experiences of the participants in this study, which is very likely to have yielded some validity issues regarding each dimension of the OEHE items. This inconsistency in contextual factors might also explain why </w:t>
      </w:r>
      <w:r w:rsidRPr="002D1617">
        <w:rPr>
          <w:rFonts w:ascii="Times New Roman" w:eastAsia="Calibri" w:hAnsi="Times New Roman" w:cs="Times New Roman"/>
          <w:bCs/>
          <w:i/>
          <w:iCs/>
          <w:color w:val="000000"/>
          <w:sz w:val="24"/>
          <w:szCs w:val="24"/>
        </w:rPr>
        <w:t>pride</w:t>
      </w:r>
      <w:r w:rsidRPr="0032506F">
        <w:rPr>
          <w:rFonts w:ascii="Times New Roman" w:eastAsia="Calibri" w:hAnsi="Times New Roman" w:cs="Times New Roman"/>
          <w:bCs/>
          <w:color w:val="000000"/>
          <w:sz w:val="24"/>
          <w:szCs w:val="24"/>
        </w:rPr>
        <w:t xml:space="preserve"> and </w:t>
      </w:r>
      <w:r w:rsidRPr="002D1617">
        <w:rPr>
          <w:rFonts w:ascii="Times New Roman" w:eastAsia="Calibri" w:hAnsi="Times New Roman" w:cs="Times New Roman"/>
          <w:bCs/>
          <w:i/>
          <w:iCs/>
          <w:color w:val="000000"/>
          <w:sz w:val="24"/>
          <w:szCs w:val="24"/>
        </w:rPr>
        <w:t>hope</w:t>
      </w:r>
      <w:r w:rsidRPr="0032506F">
        <w:rPr>
          <w:rFonts w:ascii="Times New Roman" w:eastAsia="Calibri" w:hAnsi="Times New Roman" w:cs="Times New Roman"/>
          <w:bCs/>
          <w:color w:val="000000"/>
          <w:sz w:val="24"/>
          <w:szCs w:val="24"/>
        </w:rPr>
        <w:t xml:space="preserve"> emotions in the subscale of online emotional engagement could not pass the reliability and validity tests in the sample of this study.   </w:t>
      </w:r>
    </w:p>
    <w:p w14:paraId="6BF53B94" w14:textId="7D83D078" w:rsidR="005F3140" w:rsidRPr="0032506F" w:rsidRDefault="005F3140" w:rsidP="002D1617">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For all these reasons, a disclaimer should be noted that the current OEHE instrument developed and validated in this study is intended to be used to measure student engagement in online learning environments where </w:t>
      </w:r>
      <w:r w:rsidR="002D1617">
        <w:rPr>
          <w:rFonts w:ascii="Times New Roman" w:eastAsia="Calibri" w:hAnsi="Times New Roman" w:cs="Times New Roman"/>
          <w:bCs/>
          <w:color w:val="000000"/>
          <w:sz w:val="24"/>
          <w:szCs w:val="24"/>
        </w:rPr>
        <w:t xml:space="preserve">asynchronous </w:t>
      </w:r>
      <w:r w:rsidRPr="0032506F">
        <w:rPr>
          <w:rFonts w:ascii="Times New Roman" w:eastAsia="Calibri" w:hAnsi="Times New Roman" w:cs="Times New Roman"/>
          <w:bCs/>
          <w:color w:val="000000"/>
          <w:sz w:val="24"/>
          <w:szCs w:val="24"/>
        </w:rPr>
        <w:t xml:space="preserve">online discussions are the main component of online courses in which there are regular and structured student-student and student-instructor interactions during online discussions regarding the course content. Since the current OEHE instrument developed and validated in this dissertation study does not cover an exhaustive list of </w:t>
      </w:r>
      <w:r w:rsidRPr="0032506F">
        <w:rPr>
          <w:rFonts w:ascii="Times New Roman" w:eastAsia="Calibri" w:hAnsi="Times New Roman" w:cs="Times New Roman"/>
          <w:bCs/>
          <w:color w:val="000000"/>
          <w:sz w:val="24"/>
          <w:szCs w:val="24"/>
        </w:rPr>
        <w:lastRenderedPageBreak/>
        <w:t xml:space="preserve">indicators of online student engagement, the results of the study should be interpreted with caution as the OEHE indicators may not be generalizable to all online learning contexts and settings. However, it should also be noted that such limitations resulting from measuring online engagement by a certain set of variables are similarly seen in similar instruments developed to measure online student engagement (e.g., Hoi &amp; Le Hang, 2021). </w:t>
      </w:r>
      <w:r w:rsidR="00F039CB" w:rsidRPr="0032506F">
        <w:rPr>
          <w:rFonts w:ascii="Times New Roman" w:eastAsia="Calibri" w:hAnsi="Times New Roman" w:cs="Times New Roman"/>
          <w:bCs/>
          <w:color w:val="000000"/>
          <w:sz w:val="24"/>
          <w:szCs w:val="24"/>
        </w:rPr>
        <w:t xml:space="preserve">Finally, additional dimensions of student engagement </w:t>
      </w:r>
      <w:r w:rsidR="009A4A3B" w:rsidRPr="0032506F">
        <w:rPr>
          <w:rFonts w:ascii="Times New Roman" w:eastAsia="Calibri" w:hAnsi="Times New Roman" w:cs="Times New Roman"/>
          <w:bCs/>
          <w:color w:val="000000"/>
          <w:sz w:val="24"/>
          <w:szCs w:val="24"/>
        </w:rPr>
        <w:t>such as social engagement shown empirically</w:t>
      </w:r>
      <w:r w:rsidR="000D52A4" w:rsidRPr="0032506F">
        <w:rPr>
          <w:rFonts w:ascii="Times New Roman" w:eastAsia="Calibri" w:hAnsi="Times New Roman" w:cs="Times New Roman"/>
          <w:bCs/>
          <w:color w:val="000000"/>
          <w:sz w:val="24"/>
          <w:szCs w:val="24"/>
        </w:rPr>
        <w:t xml:space="preserve"> </w:t>
      </w:r>
      <w:r w:rsidR="003246B1">
        <w:rPr>
          <w:rFonts w:ascii="Times New Roman" w:eastAsia="Calibri" w:hAnsi="Times New Roman" w:cs="Times New Roman"/>
          <w:bCs/>
          <w:color w:val="000000"/>
          <w:sz w:val="24"/>
          <w:szCs w:val="24"/>
        </w:rPr>
        <w:t xml:space="preserve">by </w:t>
      </w:r>
      <w:r w:rsidR="000D52A4" w:rsidRPr="0032506F">
        <w:rPr>
          <w:rFonts w:ascii="Times New Roman" w:eastAsia="Calibri" w:hAnsi="Times New Roman" w:cs="Times New Roman"/>
          <w:bCs/>
          <w:color w:val="000000"/>
          <w:sz w:val="24"/>
          <w:szCs w:val="24"/>
        </w:rPr>
        <w:t xml:space="preserve">other online </w:t>
      </w:r>
      <w:r w:rsidR="00371ED4" w:rsidRPr="0032506F">
        <w:rPr>
          <w:rFonts w:ascii="Times New Roman" w:eastAsia="Calibri" w:hAnsi="Times New Roman" w:cs="Times New Roman"/>
          <w:bCs/>
          <w:color w:val="000000"/>
          <w:sz w:val="24"/>
          <w:szCs w:val="24"/>
        </w:rPr>
        <w:t xml:space="preserve">engagement </w:t>
      </w:r>
      <w:r w:rsidR="000D52A4" w:rsidRPr="0032506F">
        <w:rPr>
          <w:rFonts w:ascii="Times New Roman" w:eastAsia="Calibri" w:hAnsi="Times New Roman" w:cs="Times New Roman"/>
          <w:bCs/>
          <w:color w:val="000000"/>
          <w:sz w:val="24"/>
          <w:szCs w:val="24"/>
        </w:rPr>
        <w:t>scale developers</w:t>
      </w:r>
      <w:r w:rsidR="00371ED4" w:rsidRPr="0032506F">
        <w:rPr>
          <w:rFonts w:ascii="Times New Roman" w:eastAsia="Calibri" w:hAnsi="Times New Roman" w:cs="Times New Roman"/>
          <w:bCs/>
          <w:color w:val="000000"/>
          <w:sz w:val="24"/>
          <w:szCs w:val="24"/>
        </w:rPr>
        <w:t xml:space="preserve"> (e.g., </w:t>
      </w:r>
      <w:r w:rsidR="003A7AC1" w:rsidRPr="0032506F">
        <w:rPr>
          <w:rFonts w:ascii="Times New Roman" w:eastAsia="Calibri" w:hAnsi="Times New Roman" w:cs="Times New Roman"/>
          <w:bCs/>
          <w:color w:val="000000"/>
          <w:sz w:val="24"/>
          <w:szCs w:val="24"/>
        </w:rPr>
        <w:t xml:space="preserve">Hoi &amp; Le Hang, 2021) might need to be considered as a fourth dimension of engagement in online learning environments. </w:t>
      </w:r>
      <w:r w:rsidR="000D52A4" w:rsidRPr="0032506F">
        <w:rPr>
          <w:rFonts w:ascii="Times New Roman" w:eastAsia="Calibri" w:hAnsi="Times New Roman" w:cs="Times New Roman"/>
          <w:bCs/>
          <w:color w:val="000000"/>
          <w:sz w:val="24"/>
          <w:szCs w:val="24"/>
        </w:rPr>
        <w:t xml:space="preserve"> </w:t>
      </w:r>
      <w:r w:rsidR="009A4A3B" w:rsidRPr="0032506F">
        <w:rPr>
          <w:rFonts w:ascii="Times New Roman" w:eastAsia="Calibri" w:hAnsi="Times New Roman" w:cs="Times New Roman"/>
          <w:bCs/>
          <w:color w:val="000000"/>
          <w:sz w:val="24"/>
          <w:szCs w:val="24"/>
        </w:rPr>
        <w:t xml:space="preserve"> </w:t>
      </w:r>
      <w:r w:rsidR="00F039CB" w:rsidRPr="0032506F">
        <w:rPr>
          <w:rFonts w:ascii="Times New Roman" w:eastAsia="Calibri" w:hAnsi="Times New Roman" w:cs="Times New Roman"/>
          <w:bCs/>
          <w:color w:val="000000"/>
          <w:sz w:val="24"/>
          <w:szCs w:val="24"/>
        </w:rPr>
        <w:t xml:space="preserve"> </w:t>
      </w:r>
      <w:r w:rsidRPr="0032506F">
        <w:rPr>
          <w:rFonts w:ascii="Times New Roman" w:eastAsia="Calibri" w:hAnsi="Times New Roman" w:cs="Times New Roman"/>
          <w:bCs/>
          <w:color w:val="000000"/>
          <w:sz w:val="24"/>
          <w:szCs w:val="24"/>
        </w:rPr>
        <w:t xml:space="preserve"> </w:t>
      </w:r>
    </w:p>
    <w:p w14:paraId="42BE80DD" w14:textId="77777777" w:rsidR="00221826" w:rsidRDefault="005F3140" w:rsidP="00221826">
      <w:pPr>
        <w:spacing w:after="0" w:line="480" w:lineRule="auto"/>
        <w:ind w:firstLine="720"/>
        <w:rPr>
          <w:rFonts w:ascii="Times New Roman" w:eastAsia="Calibri" w:hAnsi="Times New Roman" w:cs="Times New Roman"/>
          <w:b/>
          <w:bCs/>
          <w:i/>
          <w:iCs/>
          <w:sz w:val="24"/>
          <w:szCs w:val="24"/>
        </w:rPr>
      </w:pPr>
      <w:r w:rsidRPr="0032506F">
        <w:rPr>
          <w:rFonts w:ascii="Times New Roman" w:eastAsiaTheme="majorEastAsia" w:hAnsi="Times New Roman" w:cs="Times New Roman"/>
          <w:b/>
          <w:bCs/>
          <w:sz w:val="24"/>
          <w:szCs w:val="24"/>
        </w:rPr>
        <w:t>Limitation Regarding Data Collection during the Pandemic.</w:t>
      </w:r>
      <w:r w:rsidRPr="0032506F">
        <w:rPr>
          <w:rFonts w:ascii="Times New Roman" w:eastAsia="Calibri" w:hAnsi="Times New Roman" w:cs="Times New Roman"/>
          <w:bCs/>
          <w:color w:val="000000"/>
          <w:sz w:val="24"/>
          <w:szCs w:val="24"/>
        </w:rPr>
        <w:t xml:space="preserve"> The OEHE instrument and the other surveys and questions used in this study were all administered during a pandemic time when COVID-19 was still a major public health issue which profoundly influenced both traditional and online education at higher education institutions all over the world (Johnson et al., 2020). The pandemic-specific stress or other related challenges experienced by the participants may have influenced their responses to the OEHE items as well as the entire online survey.  </w:t>
      </w:r>
      <w:r w:rsidRPr="0032506F">
        <w:rPr>
          <w:rFonts w:ascii="Times New Roman" w:eastAsia="Calibri" w:hAnsi="Times New Roman" w:cs="Times New Roman"/>
          <w:b/>
          <w:bCs/>
          <w:i/>
          <w:iCs/>
          <w:sz w:val="24"/>
          <w:szCs w:val="24"/>
        </w:rPr>
        <w:t>Recommendations for Future Research</w:t>
      </w:r>
    </w:p>
    <w:p w14:paraId="00A89EAD" w14:textId="5026BCC8" w:rsidR="00C75E14" w:rsidRDefault="005F3140" w:rsidP="00221826">
      <w:pPr>
        <w:spacing w:after="0" w:line="480" w:lineRule="auto"/>
        <w:ind w:firstLine="720"/>
        <w:rPr>
          <w:rFonts w:ascii="Times New Roman" w:hAnsi="Times New Roman" w:cs="Times New Roman"/>
          <w:sz w:val="24"/>
          <w:szCs w:val="24"/>
        </w:rPr>
      </w:pPr>
      <w:r w:rsidRPr="0032506F">
        <w:rPr>
          <w:rFonts w:ascii="Times New Roman" w:hAnsi="Times New Roman" w:cs="Times New Roman"/>
          <w:sz w:val="24"/>
          <w:szCs w:val="24"/>
        </w:rPr>
        <w:t xml:space="preserve">The development and validation of the OEHE in this study is an important step to systematically applying Fredrick et al.’s (2004) three-dimensional conception of engagement to online learning environments through a fully blown multi-stage scale development process. Therefore, the findings of this study contribute to our understanding of whether and to what extent Fredricks et al.’s (2004) behavioral, emotional, and cognitive engagement subdimensions would </w:t>
      </w:r>
      <w:proofErr w:type="gramStart"/>
      <w:r w:rsidRPr="0032506F">
        <w:rPr>
          <w:rFonts w:ascii="Times New Roman" w:hAnsi="Times New Roman" w:cs="Times New Roman"/>
          <w:sz w:val="24"/>
          <w:szCs w:val="24"/>
        </w:rPr>
        <w:t>actually work</w:t>
      </w:r>
      <w:proofErr w:type="gramEnd"/>
      <w:r w:rsidRPr="0032506F">
        <w:rPr>
          <w:rFonts w:ascii="Times New Roman" w:hAnsi="Times New Roman" w:cs="Times New Roman"/>
          <w:sz w:val="24"/>
          <w:szCs w:val="24"/>
        </w:rPr>
        <w:t xml:space="preserve"> in online learning environments. However, future validation studies of the OEHE instrument should continue to test the reliability and validity of the instrument. There are several suggestions that can be made to address the limitations of the current study since it is </w:t>
      </w:r>
      <w:r w:rsidRPr="0032506F">
        <w:rPr>
          <w:rFonts w:ascii="Times New Roman" w:hAnsi="Times New Roman" w:cs="Times New Roman"/>
          <w:sz w:val="24"/>
          <w:szCs w:val="24"/>
        </w:rPr>
        <w:lastRenderedPageBreak/>
        <w:t xml:space="preserve">certainly necessary to continue research on the OEHE reliability and validity with follow-up studies. Below </w:t>
      </w:r>
      <w:r w:rsidR="00492873" w:rsidRPr="0032506F">
        <w:rPr>
          <w:rFonts w:ascii="Times New Roman" w:hAnsi="Times New Roman" w:cs="Times New Roman"/>
          <w:sz w:val="24"/>
          <w:szCs w:val="24"/>
        </w:rPr>
        <w:t xml:space="preserve">are </w:t>
      </w:r>
      <w:r w:rsidRPr="0032506F">
        <w:rPr>
          <w:rFonts w:ascii="Times New Roman" w:hAnsi="Times New Roman" w:cs="Times New Roman"/>
          <w:sz w:val="24"/>
          <w:szCs w:val="24"/>
        </w:rPr>
        <w:t xml:space="preserve">suggestions for future research to make the OEHE instrument a more powerful and applicable instrument to measure online student </w:t>
      </w:r>
      <w:r w:rsidR="00E20CDB" w:rsidRPr="0032506F">
        <w:rPr>
          <w:rFonts w:ascii="Times New Roman" w:hAnsi="Times New Roman" w:cs="Times New Roman"/>
          <w:sz w:val="24"/>
          <w:szCs w:val="24"/>
        </w:rPr>
        <w:t>engagement.</w:t>
      </w:r>
    </w:p>
    <w:p w14:paraId="39C8B163" w14:textId="77777777" w:rsidR="00C75E14" w:rsidRDefault="00D447B8" w:rsidP="00C75E14">
      <w:pPr>
        <w:spacing w:after="0" w:line="480" w:lineRule="auto"/>
        <w:ind w:firstLine="720"/>
        <w:rPr>
          <w:rFonts w:ascii="Times New Roman" w:eastAsia="Calibri" w:hAnsi="Times New Roman" w:cs="Times New Roman"/>
          <w:b/>
          <w:bCs/>
          <w:i/>
          <w:iCs/>
          <w:sz w:val="24"/>
          <w:szCs w:val="24"/>
        </w:rPr>
      </w:pPr>
      <w:r w:rsidRPr="0032506F">
        <w:rPr>
          <w:rFonts w:ascii="Times New Roman" w:eastAsia="Calibri" w:hAnsi="Times New Roman" w:cs="Times New Roman"/>
          <w:b/>
          <w:color w:val="000000"/>
          <w:sz w:val="24"/>
          <w:szCs w:val="24"/>
        </w:rPr>
        <w:t>Diversity in Recruitment</w:t>
      </w:r>
      <w:r w:rsidR="00BA35CF" w:rsidRPr="0032506F">
        <w:rPr>
          <w:rFonts w:ascii="Times New Roman" w:eastAsia="Calibri" w:hAnsi="Times New Roman" w:cs="Times New Roman"/>
          <w:b/>
          <w:color w:val="000000"/>
          <w:sz w:val="24"/>
          <w:szCs w:val="24"/>
        </w:rPr>
        <w:t>.</w:t>
      </w:r>
      <w:r w:rsidR="00BA35CF" w:rsidRPr="0032506F">
        <w:rPr>
          <w:rFonts w:ascii="Times New Roman" w:eastAsia="Calibri" w:hAnsi="Times New Roman" w:cs="Times New Roman"/>
          <w:bCs/>
          <w:color w:val="000000"/>
          <w:sz w:val="24"/>
          <w:szCs w:val="24"/>
        </w:rPr>
        <w:t xml:space="preserve"> </w:t>
      </w:r>
      <w:r w:rsidR="005F3140" w:rsidRPr="0032506F">
        <w:rPr>
          <w:rFonts w:ascii="Times New Roman" w:eastAsia="Calibri" w:hAnsi="Times New Roman" w:cs="Times New Roman"/>
          <w:bCs/>
          <w:color w:val="000000"/>
          <w:sz w:val="24"/>
          <w:szCs w:val="24"/>
        </w:rPr>
        <w:t xml:space="preserve">Future validation studies of OEHE should recruit more male participants and participants of other gender identities, more undergraduates, and more participants of other races/ethnicities to reduce gender bias, education-level bias, and racial/ethnicity bias. In addition, the large proportion of White and female participants in this study likely influenced the proportion of gender and ethnicity across responses to inclusiveness, diversity, and accessibility questions. However, this does not change the fact that those White and female students that participated in this study still reported that they </w:t>
      </w:r>
      <w:r w:rsidR="00962F77" w:rsidRPr="0032506F">
        <w:rPr>
          <w:rFonts w:ascii="Times New Roman" w:eastAsia="Calibri" w:hAnsi="Times New Roman" w:cs="Times New Roman"/>
          <w:bCs/>
          <w:color w:val="000000"/>
          <w:sz w:val="24"/>
          <w:szCs w:val="24"/>
        </w:rPr>
        <w:t>perceived</w:t>
      </w:r>
      <w:r w:rsidR="005F3140" w:rsidRPr="0032506F">
        <w:rPr>
          <w:rFonts w:ascii="Times New Roman" w:eastAsia="Calibri" w:hAnsi="Times New Roman" w:cs="Times New Roman"/>
          <w:bCs/>
          <w:color w:val="000000"/>
          <w:sz w:val="24"/>
          <w:szCs w:val="24"/>
        </w:rPr>
        <w:t xml:space="preserve"> bias against them in their online courses, which also calls for further scientific explorations in future studies.    </w:t>
      </w:r>
      <w:r w:rsidR="00C75E14">
        <w:rPr>
          <w:rFonts w:ascii="Times New Roman" w:eastAsia="Calibri" w:hAnsi="Times New Roman" w:cs="Times New Roman"/>
          <w:bCs/>
          <w:color w:val="000000"/>
          <w:sz w:val="24"/>
          <w:szCs w:val="24"/>
        </w:rPr>
        <w:tab/>
      </w:r>
      <w:r w:rsidR="001B7694" w:rsidRPr="0032506F">
        <w:rPr>
          <w:rFonts w:ascii="Times New Roman" w:eastAsia="Calibri" w:hAnsi="Times New Roman" w:cs="Times New Roman"/>
          <w:b/>
          <w:color w:val="000000"/>
          <w:sz w:val="24"/>
          <w:szCs w:val="24"/>
        </w:rPr>
        <w:t>Method</w:t>
      </w:r>
      <w:r w:rsidR="003C258D" w:rsidRPr="0032506F">
        <w:rPr>
          <w:rFonts w:ascii="Times New Roman" w:eastAsia="Calibri" w:hAnsi="Times New Roman" w:cs="Times New Roman"/>
          <w:b/>
          <w:color w:val="000000"/>
          <w:sz w:val="24"/>
          <w:szCs w:val="24"/>
        </w:rPr>
        <w:t xml:space="preserve">, Data, </w:t>
      </w:r>
      <w:r w:rsidR="001B7694" w:rsidRPr="0032506F">
        <w:rPr>
          <w:rFonts w:ascii="Times New Roman" w:eastAsia="Calibri" w:hAnsi="Times New Roman" w:cs="Times New Roman"/>
          <w:b/>
          <w:color w:val="000000"/>
          <w:sz w:val="24"/>
          <w:szCs w:val="24"/>
        </w:rPr>
        <w:t>and Analysis</w:t>
      </w:r>
      <w:r w:rsidR="001B7694" w:rsidRPr="0032506F">
        <w:rPr>
          <w:rFonts w:ascii="Times New Roman" w:eastAsia="Calibri" w:hAnsi="Times New Roman" w:cs="Times New Roman"/>
          <w:bCs/>
          <w:color w:val="000000"/>
          <w:sz w:val="24"/>
          <w:szCs w:val="24"/>
        </w:rPr>
        <w:t xml:space="preserve">. </w:t>
      </w:r>
      <w:r w:rsidR="005F3140" w:rsidRPr="0032506F">
        <w:rPr>
          <w:rFonts w:ascii="Times New Roman" w:eastAsia="Calibri" w:hAnsi="Times New Roman" w:cs="Times New Roman"/>
          <w:bCs/>
          <w:color w:val="000000"/>
          <w:sz w:val="24"/>
          <w:szCs w:val="24"/>
        </w:rPr>
        <w:t>The sample size of the current study was 235, which met several</w:t>
      </w:r>
      <w:r w:rsidR="009349CC" w:rsidRPr="0032506F">
        <w:rPr>
          <w:rFonts w:ascii="Times New Roman" w:eastAsia="Calibri" w:hAnsi="Times New Roman" w:cs="Times New Roman"/>
          <w:bCs/>
          <w:color w:val="000000"/>
          <w:sz w:val="24"/>
          <w:szCs w:val="24"/>
        </w:rPr>
        <w:t xml:space="preserve"> </w:t>
      </w:r>
      <w:r w:rsidR="005F3140" w:rsidRPr="0032506F">
        <w:rPr>
          <w:rFonts w:ascii="Times New Roman" w:eastAsia="Calibri" w:hAnsi="Times New Roman" w:cs="Times New Roman"/>
          <w:bCs/>
          <w:color w:val="000000"/>
          <w:sz w:val="24"/>
          <w:szCs w:val="24"/>
        </w:rPr>
        <w:t>sample size guidelines given in the relevant CFA/SEM research literature. However, future and/or follow-up studies should strive to retain a much larger sample size and run a more complete set of data to obtain parameter estimates with more power and higher parameter stability.</w:t>
      </w:r>
      <w:r w:rsidR="009349CC" w:rsidRPr="0032506F">
        <w:rPr>
          <w:rFonts w:ascii="Times New Roman" w:eastAsia="Calibri" w:hAnsi="Times New Roman" w:cs="Times New Roman"/>
          <w:bCs/>
          <w:color w:val="000000"/>
          <w:sz w:val="24"/>
          <w:szCs w:val="24"/>
        </w:rPr>
        <w:t xml:space="preserve"> </w:t>
      </w:r>
      <w:r w:rsidR="00BA35CF" w:rsidRPr="0032506F">
        <w:rPr>
          <w:rFonts w:ascii="Times New Roman" w:eastAsia="Calibri" w:hAnsi="Times New Roman" w:cs="Times New Roman"/>
          <w:bCs/>
          <w:color w:val="000000"/>
          <w:sz w:val="24"/>
          <w:szCs w:val="24"/>
        </w:rPr>
        <w:t xml:space="preserve">In this study, a five-point Likert scale was used, treating its data as interval and continuous. Future and/or follow-up studies can analyze the OEHE data as ordered categorical, using Diagonally Weighted Least Squares (DWLS), a CFA estimation method which is “specifically designed for ordinal data” (Li, 2016, p. 936) to see if different results would be obtained. In addition, the OEHE indicator variables were treated in this study as continuous, using the ML estimation with the main assumption that needs to be met being multivariate normality. Since Amos is known to be limited in the options available for dealing with the violation of multivariate normality, with the only option being Bollen-Stine bootstrap, future </w:t>
      </w:r>
      <w:r w:rsidR="00BA35CF" w:rsidRPr="0032506F">
        <w:rPr>
          <w:rFonts w:ascii="Times New Roman" w:eastAsia="Calibri" w:hAnsi="Times New Roman" w:cs="Times New Roman"/>
          <w:bCs/>
          <w:color w:val="000000"/>
          <w:sz w:val="24"/>
          <w:szCs w:val="24"/>
        </w:rPr>
        <w:lastRenderedPageBreak/>
        <w:t xml:space="preserve">and/or follow-up studies are strongly recommended to use a more robust procedure such as Lavaan using R (Rosseel, 2012), where there is the option for Satorra-Bentler correction along with robust fit statistics, and parameter tests involving robust standard errors. </w:t>
      </w:r>
      <w:r w:rsidR="008F14B2" w:rsidRPr="0032506F">
        <w:rPr>
          <w:rFonts w:ascii="Times New Roman" w:eastAsia="Calibri" w:hAnsi="Times New Roman" w:cs="Times New Roman"/>
          <w:bCs/>
          <w:color w:val="000000"/>
          <w:sz w:val="24"/>
          <w:szCs w:val="24"/>
        </w:rPr>
        <w:t>Moreover, a</w:t>
      </w:r>
      <w:r w:rsidR="00FA3A0E" w:rsidRPr="0032506F">
        <w:rPr>
          <w:rFonts w:ascii="Times New Roman" w:eastAsia="Calibri" w:hAnsi="Times New Roman" w:cs="Times New Roman"/>
          <w:bCs/>
          <w:color w:val="000000"/>
          <w:sz w:val="24"/>
          <w:szCs w:val="24"/>
        </w:rPr>
        <w:t>lthough the aim of this dissertation study was to test a theory and</w:t>
      </w:r>
      <w:r w:rsidR="008F14B2" w:rsidRPr="0032506F">
        <w:rPr>
          <w:rFonts w:ascii="Times New Roman" w:eastAsia="Calibri" w:hAnsi="Times New Roman" w:cs="Times New Roman"/>
          <w:bCs/>
          <w:color w:val="000000"/>
          <w:sz w:val="24"/>
          <w:szCs w:val="24"/>
        </w:rPr>
        <w:t xml:space="preserve"> for that reason</w:t>
      </w:r>
      <w:r w:rsidR="00FA3A0E" w:rsidRPr="0032506F">
        <w:rPr>
          <w:rFonts w:ascii="Times New Roman" w:eastAsia="Calibri" w:hAnsi="Times New Roman" w:cs="Times New Roman"/>
          <w:bCs/>
          <w:color w:val="000000"/>
          <w:sz w:val="24"/>
          <w:szCs w:val="24"/>
        </w:rPr>
        <w:t xml:space="preserve"> using CFA was justified, an exploratory factor analysis (EFA) might need to be considered with a new sample to explore the OEHE items more thoroughly before conducting a confirmatory analysis to test and confirm the three-factor structure.</w:t>
      </w:r>
      <w:r w:rsidR="009349CC" w:rsidRPr="0032506F">
        <w:rPr>
          <w:rFonts w:ascii="Times New Roman" w:eastAsia="Calibri" w:hAnsi="Times New Roman" w:cs="Times New Roman"/>
          <w:bCs/>
          <w:color w:val="000000"/>
          <w:sz w:val="24"/>
          <w:szCs w:val="24"/>
        </w:rPr>
        <w:t xml:space="preserve"> </w:t>
      </w:r>
      <w:r w:rsidR="008F14B2" w:rsidRPr="0032506F">
        <w:rPr>
          <w:rFonts w:ascii="Times New Roman" w:eastAsia="Calibri" w:hAnsi="Times New Roman" w:cs="Times New Roman"/>
          <w:bCs/>
          <w:color w:val="000000"/>
          <w:sz w:val="24"/>
          <w:szCs w:val="24"/>
        </w:rPr>
        <w:t>Furthermore, i</w:t>
      </w:r>
      <w:r w:rsidR="009349CC" w:rsidRPr="0032506F">
        <w:rPr>
          <w:rFonts w:ascii="Times New Roman" w:eastAsia="Calibri" w:hAnsi="Times New Roman" w:cs="Times New Roman"/>
          <w:bCs/>
          <w:color w:val="000000"/>
          <w:sz w:val="24"/>
          <w:szCs w:val="24"/>
        </w:rPr>
        <w:t xml:space="preserve">n this study, the sample was drawn from multiple institutions, multiple programs, and multiple courses, and so multiple contexts with each having an extremely small sample representation, yielding some validity issues regarding certain OEHE items not included in the final OEHE instrument. Therefore, future and/or follow-up studies should use a delimiter to limit the sample to a particular set of courses within a particular program at a particular higher education institution </w:t>
      </w:r>
      <w:proofErr w:type="gramStart"/>
      <w:r w:rsidR="009349CC" w:rsidRPr="0032506F">
        <w:rPr>
          <w:rFonts w:ascii="Times New Roman" w:eastAsia="Calibri" w:hAnsi="Times New Roman" w:cs="Times New Roman"/>
          <w:bCs/>
          <w:color w:val="000000"/>
          <w:sz w:val="24"/>
          <w:szCs w:val="24"/>
        </w:rPr>
        <w:t>in order to</w:t>
      </w:r>
      <w:proofErr w:type="gramEnd"/>
      <w:r w:rsidR="009349CC" w:rsidRPr="0032506F">
        <w:rPr>
          <w:rFonts w:ascii="Times New Roman" w:eastAsia="Calibri" w:hAnsi="Times New Roman" w:cs="Times New Roman"/>
          <w:bCs/>
          <w:color w:val="000000"/>
          <w:sz w:val="24"/>
          <w:szCs w:val="24"/>
        </w:rPr>
        <w:t xml:space="preserve"> ensure that all the participants in the sample have the same or very similar online learning experiences directly relevant to what the OEHE instrument was originally intended to measure as indicators of online student engagement. Limiting the sample to one such specific and directly OEHE-relevant context would help minimize confounding variability across courses and programs and decrease the validity issues experienced in the current sample of this study (Gall et al., 2007).</w:t>
      </w:r>
      <w:r w:rsidR="003C258D" w:rsidRPr="0032506F">
        <w:rPr>
          <w:rFonts w:ascii="Times New Roman" w:eastAsia="Calibri" w:hAnsi="Times New Roman" w:cs="Times New Roman"/>
          <w:bCs/>
          <w:color w:val="000000"/>
          <w:sz w:val="24"/>
          <w:szCs w:val="24"/>
        </w:rPr>
        <w:t xml:space="preserve"> </w:t>
      </w:r>
      <w:r w:rsidR="008F14B2" w:rsidRPr="0032506F">
        <w:rPr>
          <w:rFonts w:ascii="Times New Roman" w:eastAsia="Calibri" w:hAnsi="Times New Roman" w:cs="Times New Roman"/>
          <w:bCs/>
          <w:color w:val="000000"/>
          <w:sz w:val="24"/>
          <w:szCs w:val="24"/>
        </w:rPr>
        <w:t>Finally, to</w:t>
      </w:r>
      <w:r w:rsidR="003C258D" w:rsidRPr="0032506F">
        <w:rPr>
          <w:rFonts w:ascii="Times New Roman" w:eastAsia="Calibri" w:hAnsi="Times New Roman" w:cs="Times New Roman"/>
          <w:bCs/>
          <w:color w:val="000000"/>
          <w:sz w:val="24"/>
          <w:szCs w:val="24"/>
        </w:rPr>
        <w:t xml:space="preserve"> support the understanding and interpretation of the self-report data regarding students’ behavioral engagement, learning analytics data (e.g., login frequency, number of posts) might also be considered for analysis and triangulation</w:t>
      </w:r>
      <w:r w:rsidR="008F14B2" w:rsidRPr="0032506F">
        <w:rPr>
          <w:rFonts w:ascii="Times New Roman" w:eastAsia="Calibri" w:hAnsi="Times New Roman" w:cs="Times New Roman"/>
          <w:bCs/>
          <w:color w:val="000000"/>
          <w:sz w:val="24"/>
          <w:szCs w:val="24"/>
        </w:rPr>
        <w:t xml:space="preserve"> purposes</w:t>
      </w:r>
      <w:r w:rsidR="003C258D" w:rsidRPr="0032506F">
        <w:rPr>
          <w:rFonts w:ascii="Times New Roman" w:eastAsia="Calibri" w:hAnsi="Times New Roman" w:cs="Times New Roman"/>
          <w:bCs/>
          <w:color w:val="000000"/>
          <w:sz w:val="24"/>
          <w:szCs w:val="24"/>
        </w:rPr>
        <w:t>.</w:t>
      </w:r>
    </w:p>
    <w:p w14:paraId="69A6B21D" w14:textId="77777777" w:rsidR="00AA5A74" w:rsidRDefault="003F68A2" w:rsidP="00F347BB">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
          <w:color w:val="000000"/>
          <w:sz w:val="24"/>
          <w:szCs w:val="24"/>
        </w:rPr>
        <w:t>Validity</w:t>
      </w:r>
      <w:r w:rsidRPr="00C75E14">
        <w:rPr>
          <w:rFonts w:ascii="Times New Roman" w:eastAsia="Calibri" w:hAnsi="Times New Roman" w:cs="Times New Roman"/>
          <w:b/>
          <w:color w:val="000000"/>
          <w:sz w:val="24"/>
          <w:szCs w:val="24"/>
        </w:rPr>
        <w:t>.</w:t>
      </w:r>
      <w:r w:rsidRPr="0032506F">
        <w:rPr>
          <w:rFonts w:ascii="Times New Roman" w:eastAsia="Calibri" w:hAnsi="Times New Roman" w:cs="Times New Roman"/>
          <w:bCs/>
          <w:color w:val="000000"/>
          <w:sz w:val="24"/>
          <w:szCs w:val="24"/>
        </w:rPr>
        <w:t xml:space="preserve"> In this study, content validity and face validity were established through expert reviews and pilot cognitive interviews, and construct validity was established through evidence of factorial/structural validity obtained in the CFAs and through reasonable evidence of </w:t>
      </w:r>
      <w:r w:rsidRPr="0032506F">
        <w:rPr>
          <w:rFonts w:ascii="Times New Roman" w:eastAsia="Calibri" w:hAnsi="Times New Roman" w:cs="Times New Roman"/>
          <w:bCs/>
          <w:color w:val="000000"/>
          <w:sz w:val="24"/>
          <w:szCs w:val="24"/>
        </w:rPr>
        <w:lastRenderedPageBreak/>
        <w:t xml:space="preserve">convergent, discriminant, and criterion validity. Other dimensions of validity including consequential validity need to be established by future </w:t>
      </w:r>
      <w:r w:rsidR="006B4C49" w:rsidRPr="006B4C49">
        <w:rPr>
          <w:rFonts w:ascii="Times New Roman" w:eastAsia="Calibri" w:hAnsi="Times New Roman" w:cs="Times New Roman"/>
          <w:bCs/>
          <w:color w:val="000000"/>
          <w:sz w:val="24"/>
          <w:szCs w:val="24"/>
        </w:rPr>
        <w:t xml:space="preserve">and/or follow-up </w:t>
      </w:r>
      <w:r w:rsidRPr="0032506F">
        <w:rPr>
          <w:rFonts w:ascii="Times New Roman" w:eastAsia="Calibri" w:hAnsi="Times New Roman" w:cs="Times New Roman"/>
          <w:bCs/>
          <w:color w:val="000000"/>
          <w:sz w:val="24"/>
          <w:szCs w:val="24"/>
        </w:rPr>
        <w:t>studies. In addition, another measure of online engagement can be selected to use it for convergent validity purposes since Reeve’s (2013) online-modified engagement scales used in this study for this purpose may not have adequately fit the online learning context.</w:t>
      </w:r>
      <w:r w:rsidR="00DE5DC7" w:rsidRPr="0032506F">
        <w:rPr>
          <w:rFonts w:ascii="Times New Roman" w:eastAsia="Calibri" w:hAnsi="Times New Roman" w:cs="Times New Roman"/>
          <w:bCs/>
          <w:color w:val="000000"/>
          <w:sz w:val="24"/>
          <w:szCs w:val="24"/>
        </w:rPr>
        <w:t xml:space="preserve"> Regarding diversity, equity, and inclusion (DEI) validity issues that need to be considered in any instrument development process, serious attention should be given to the critical question of how instrument development researchers can ensure that their instruments are inclusive of all people and all social and cultural backgrounds and groups so that their instruments can help in providing inclusive, diverse, and representative assessments of individuals across diverse contexts (Cintron &amp; Hagan, 2021). Through this dissertation study with empirical evidence about the participants’ perceptions of inclusiveness, bias, and accessibility, the aim was to raise awareness about DEI validity issues that have been traditionally ignored in the instrument development process. Much work </w:t>
      </w:r>
      <w:proofErr w:type="gramStart"/>
      <w:r w:rsidR="00DE5DC7" w:rsidRPr="0032506F">
        <w:rPr>
          <w:rFonts w:ascii="Times New Roman" w:eastAsia="Calibri" w:hAnsi="Times New Roman" w:cs="Times New Roman"/>
          <w:bCs/>
          <w:color w:val="000000"/>
          <w:sz w:val="24"/>
          <w:szCs w:val="24"/>
        </w:rPr>
        <w:t>still remains</w:t>
      </w:r>
      <w:proofErr w:type="gramEnd"/>
      <w:r w:rsidR="00DE5DC7" w:rsidRPr="0032506F">
        <w:rPr>
          <w:rFonts w:ascii="Times New Roman" w:eastAsia="Calibri" w:hAnsi="Times New Roman" w:cs="Times New Roman"/>
          <w:bCs/>
          <w:color w:val="000000"/>
          <w:sz w:val="24"/>
          <w:szCs w:val="24"/>
        </w:rPr>
        <w:t xml:space="preserve"> to be done to ensure that DEI validity is fully considered during the instrument development process as well as other traditional forms of validity (Cintron &amp; Hagan, 2021)</w:t>
      </w:r>
      <w:r w:rsidR="00C75E14">
        <w:rPr>
          <w:rFonts w:ascii="Times New Roman" w:eastAsia="Calibri" w:hAnsi="Times New Roman" w:cs="Times New Roman"/>
          <w:bCs/>
          <w:color w:val="000000"/>
          <w:sz w:val="24"/>
          <w:szCs w:val="24"/>
        </w:rPr>
        <w:t xml:space="preserve">. </w:t>
      </w:r>
      <w:r w:rsidR="00C75E14">
        <w:rPr>
          <w:rFonts w:ascii="Times New Roman" w:eastAsia="Calibri" w:hAnsi="Times New Roman" w:cs="Times New Roman"/>
          <w:bCs/>
          <w:color w:val="000000"/>
          <w:sz w:val="24"/>
          <w:szCs w:val="24"/>
        </w:rPr>
        <w:tab/>
      </w:r>
    </w:p>
    <w:p w14:paraId="0ABA8515" w14:textId="63E52AC5" w:rsidR="00F347BB" w:rsidRDefault="00C75E14" w:rsidP="00F347BB">
      <w:pPr>
        <w:spacing w:after="0" w:line="480" w:lineRule="auto"/>
        <w:ind w:firstLine="720"/>
        <w:rPr>
          <w:rFonts w:ascii="Times New Roman" w:eastAsia="Calibri" w:hAnsi="Times New Roman" w:cs="Times New Roman"/>
          <w:bCs/>
          <w:color w:val="000000"/>
          <w:sz w:val="24"/>
          <w:szCs w:val="24"/>
        </w:rPr>
      </w:pPr>
      <w:r>
        <w:rPr>
          <w:rFonts w:ascii="Times New Roman" w:eastAsia="Calibri" w:hAnsi="Times New Roman" w:cs="Times New Roman"/>
          <w:b/>
          <w:color w:val="000000"/>
          <w:sz w:val="24"/>
          <w:szCs w:val="24"/>
        </w:rPr>
        <w:t>Timing of Data Collection</w:t>
      </w:r>
      <w:r w:rsidR="00817A78" w:rsidRPr="0032506F">
        <w:rPr>
          <w:rFonts w:ascii="Times New Roman" w:eastAsia="Calibri" w:hAnsi="Times New Roman" w:cs="Times New Roman"/>
          <w:b/>
          <w:color w:val="000000"/>
          <w:sz w:val="24"/>
          <w:szCs w:val="24"/>
        </w:rPr>
        <w:t>.</w:t>
      </w:r>
      <w:r w:rsidR="00817A78" w:rsidRPr="0032506F">
        <w:rPr>
          <w:rFonts w:ascii="Times New Roman" w:eastAsia="Calibri" w:hAnsi="Times New Roman" w:cs="Times New Roman"/>
          <w:bCs/>
          <w:color w:val="000000"/>
          <w:sz w:val="24"/>
          <w:szCs w:val="24"/>
        </w:rPr>
        <w:t xml:space="preserve">  The OEHE data were collected from the students enrolled in a higher education institution in the United States during a pandemic time, namely the COVID-19 pandemic and this stressful and extraordinary period may have biased their responses to the OEHE items. Future and/or follow-up studies are strongly encouraged to test the reliability and validity of the OEHE instrument when the pandemic conditions are over to see whether different results would be obtained.</w:t>
      </w:r>
    </w:p>
    <w:p w14:paraId="4B25D99B" w14:textId="77777777" w:rsidR="003A14D3" w:rsidRDefault="00BF5F83" w:rsidP="003A14D3">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Although the present results support the tenability of a three-factor model of student engagement in online learning environments, the most important contribution of this dissertation </w:t>
      </w:r>
      <w:r w:rsidRPr="0032506F">
        <w:rPr>
          <w:rFonts w:ascii="Times New Roman" w:eastAsia="Calibri" w:hAnsi="Times New Roman" w:cs="Times New Roman"/>
          <w:bCs/>
          <w:color w:val="000000"/>
          <w:sz w:val="24"/>
          <w:szCs w:val="24"/>
        </w:rPr>
        <w:lastRenderedPageBreak/>
        <w:t>study may be that it has raised a variety of intriguing questions for future stud</w:t>
      </w:r>
      <w:r w:rsidR="00B072F6" w:rsidRPr="0032506F">
        <w:rPr>
          <w:rFonts w:ascii="Times New Roman" w:eastAsia="Calibri" w:hAnsi="Times New Roman" w:cs="Times New Roman"/>
          <w:bCs/>
          <w:color w:val="000000"/>
          <w:sz w:val="24"/>
          <w:szCs w:val="24"/>
        </w:rPr>
        <w:t>ies</w:t>
      </w:r>
      <w:r w:rsidRPr="0032506F">
        <w:rPr>
          <w:rFonts w:ascii="Times New Roman" w:eastAsia="Calibri" w:hAnsi="Times New Roman" w:cs="Times New Roman"/>
          <w:bCs/>
          <w:color w:val="000000"/>
          <w:sz w:val="24"/>
          <w:szCs w:val="24"/>
        </w:rPr>
        <w:t>. In terms of future research</w:t>
      </w:r>
      <w:r w:rsidR="00B072F6" w:rsidRPr="0032506F">
        <w:rPr>
          <w:rFonts w:ascii="Times New Roman" w:eastAsia="Calibri" w:hAnsi="Times New Roman" w:cs="Times New Roman"/>
          <w:bCs/>
          <w:color w:val="000000"/>
          <w:sz w:val="24"/>
          <w:szCs w:val="24"/>
        </w:rPr>
        <w:t xml:space="preserve"> directions</w:t>
      </w:r>
      <w:r w:rsidRPr="0032506F">
        <w:rPr>
          <w:rFonts w:ascii="Times New Roman" w:eastAsia="Calibri" w:hAnsi="Times New Roman" w:cs="Times New Roman"/>
          <w:bCs/>
          <w:color w:val="000000"/>
          <w:sz w:val="24"/>
          <w:szCs w:val="24"/>
        </w:rPr>
        <w:t xml:space="preserve">, it would be useful to extend the current findings by examining the issues </w:t>
      </w:r>
      <w:r w:rsidR="00B072F6" w:rsidRPr="0032506F">
        <w:rPr>
          <w:rFonts w:ascii="Times New Roman" w:eastAsia="Calibri" w:hAnsi="Times New Roman" w:cs="Times New Roman"/>
          <w:bCs/>
          <w:color w:val="000000"/>
          <w:sz w:val="24"/>
          <w:szCs w:val="24"/>
        </w:rPr>
        <w:t xml:space="preserve">indicated </w:t>
      </w:r>
      <w:r w:rsidR="002B74B7">
        <w:rPr>
          <w:rFonts w:ascii="Times New Roman" w:eastAsia="Calibri" w:hAnsi="Times New Roman" w:cs="Times New Roman"/>
          <w:bCs/>
          <w:color w:val="000000"/>
          <w:sz w:val="24"/>
          <w:szCs w:val="24"/>
        </w:rPr>
        <w:t>previously</w:t>
      </w:r>
      <w:r w:rsidRPr="0032506F">
        <w:rPr>
          <w:rFonts w:ascii="Times New Roman" w:eastAsia="Calibri" w:hAnsi="Times New Roman" w:cs="Times New Roman"/>
          <w:bCs/>
          <w:color w:val="000000"/>
          <w:sz w:val="24"/>
          <w:szCs w:val="24"/>
        </w:rPr>
        <w:t>. Much work remains to be done before a full understanding of the extent to which Fredricks et al.’s (2004) conception of student engagement can be applied to online learning environments.</w:t>
      </w:r>
    </w:p>
    <w:p w14:paraId="19449DFD" w14:textId="638659F1" w:rsidR="00880A5B" w:rsidRPr="0032506F" w:rsidRDefault="00D918DD" w:rsidP="003A14D3">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One </w:t>
      </w:r>
      <w:r w:rsidR="00A43447" w:rsidRPr="0032506F">
        <w:rPr>
          <w:rFonts w:ascii="Times New Roman" w:eastAsia="Calibri" w:hAnsi="Times New Roman" w:cs="Times New Roman"/>
          <w:bCs/>
          <w:color w:val="000000"/>
          <w:sz w:val="24"/>
          <w:szCs w:val="24"/>
        </w:rPr>
        <w:t xml:space="preserve">noteworthy </w:t>
      </w:r>
      <w:r w:rsidRPr="0032506F">
        <w:rPr>
          <w:rFonts w:ascii="Times New Roman" w:eastAsia="Calibri" w:hAnsi="Times New Roman" w:cs="Times New Roman"/>
          <w:bCs/>
          <w:color w:val="000000"/>
          <w:sz w:val="24"/>
          <w:szCs w:val="24"/>
        </w:rPr>
        <w:t xml:space="preserve">strength of this dissertation study was the </w:t>
      </w:r>
      <w:r w:rsidR="0040712B" w:rsidRPr="0032506F">
        <w:rPr>
          <w:rFonts w:ascii="Times New Roman" w:eastAsia="Calibri" w:hAnsi="Times New Roman" w:cs="Times New Roman"/>
          <w:bCs/>
          <w:color w:val="000000"/>
          <w:sz w:val="24"/>
          <w:szCs w:val="24"/>
        </w:rPr>
        <w:t xml:space="preserve">solicitation and </w:t>
      </w:r>
      <w:r w:rsidR="00A813BA" w:rsidRPr="0032506F">
        <w:rPr>
          <w:rFonts w:ascii="Times New Roman" w:eastAsia="Calibri" w:hAnsi="Times New Roman" w:cs="Times New Roman"/>
          <w:bCs/>
          <w:color w:val="000000"/>
          <w:sz w:val="24"/>
          <w:szCs w:val="24"/>
        </w:rPr>
        <w:t xml:space="preserve">use of </w:t>
      </w:r>
      <w:r w:rsidRPr="0032506F">
        <w:rPr>
          <w:rFonts w:ascii="Times New Roman" w:eastAsia="Calibri" w:hAnsi="Times New Roman" w:cs="Times New Roman"/>
          <w:bCs/>
          <w:color w:val="000000"/>
          <w:sz w:val="24"/>
          <w:szCs w:val="24"/>
        </w:rPr>
        <w:t>qualitative and open-ended data</w:t>
      </w:r>
      <w:r w:rsidR="007C584E"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w:t>
      </w:r>
      <w:r w:rsidR="007C584E" w:rsidRPr="0032506F">
        <w:rPr>
          <w:rFonts w:ascii="Times New Roman" w:eastAsia="Calibri" w:hAnsi="Times New Roman" w:cs="Times New Roman"/>
          <w:bCs/>
          <w:color w:val="000000"/>
          <w:sz w:val="24"/>
          <w:szCs w:val="24"/>
        </w:rPr>
        <w:t>T</w:t>
      </w:r>
      <w:r w:rsidR="00742BBA" w:rsidRPr="0032506F">
        <w:rPr>
          <w:rFonts w:ascii="Times New Roman" w:eastAsia="Calibri" w:hAnsi="Times New Roman" w:cs="Times New Roman"/>
          <w:bCs/>
          <w:color w:val="000000"/>
          <w:sz w:val="24"/>
          <w:szCs w:val="24"/>
        </w:rPr>
        <w:t xml:space="preserve">he qualitative comments of the participants regarding their specific online learning contexts helped explain </w:t>
      </w:r>
      <w:r w:rsidR="0089456C" w:rsidRPr="0032506F">
        <w:rPr>
          <w:rFonts w:ascii="Times New Roman" w:eastAsia="Calibri" w:hAnsi="Times New Roman" w:cs="Times New Roman"/>
          <w:bCs/>
          <w:color w:val="000000"/>
          <w:sz w:val="24"/>
          <w:szCs w:val="24"/>
        </w:rPr>
        <w:t>great contextual variations and inconsistencies across their responses</w:t>
      </w:r>
      <w:r w:rsidR="00AB1F13" w:rsidRPr="0032506F">
        <w:rPr>
          <w:rFonts w:ascii="Times New Roman" w:eastAsia="Calibri" w:hAnsi="Times New Roman" w:cs="Times New Roman"/>
          <w:bCs/>
          <w:color w:val="000000"/>
          <w:sz w:val="24"/>
          <w:szCs w:val="24"/>
        </w:rPr>
        <w:t>,</w:t>
      </w:r>
      <w:r w:rsidR="0089456C" w:rsidRPr="0032506F">
        <w:rPr>
          <w:rFonts w:ascii="Times New Roman" w:eastAsia="Calibri" w:hAnsi="Times New Roman" w:cs="Times New Roman"/>
          <w:bCs/>
          <w:color w:val="000000"/>
          <w:sz w:val="24"/>
          <w:szCs w:val="24"/>
        </w:rPr>
        <w:t xml:space="preserve"> especially the OEHE items intended to assess behavioral engagement. If the qualitative and open-ended data had not been collected from the participants to learn more deeply about their unique online learning contexts, </w:t>
      </w:r>
      <w:r w:rsidR="00267BF1" w:rsidRPr="0032506F">
        <w:rPr>
          <w:rFonts w:ascii="Times New Roman" w:eastAsia="Calibri" w:hAnsi="Times New Roman" w:cs="Times New Roman"/>
          <w:bCs/>
          <w:color w:val="000000"/>
          <w:sz w:val="24"/>
          <w:szCs w:val="24"/>
        </w:rPr>
        <w:t>th</w:t>
      </w:r>
      <w:r w:rsidR="00722947" w:rsidRPr="0032506F">
        <w:rPr>
          <w:rFonts w:ascii="Times New Roman" w:eastAsia="Calibri" w:hAnsi="Times New Roman" w:cs="Times New Roman"/>
          <w:bCs/>
          <w:color w:val="000000"/>
          <w:sz w:val="24"/>
          <w:szCs w:val="24"/>
        </w:rPr>
        <w:t xml:space="preserve">e </w:t>
      </w:r>
      <w:r w:rsidR="00267BF1" w:rsidRPr="0032506F">
        <w:rPr>
          <w:rFonts w:ascii="Times New Roman" w:eastAsia="Calibri" w:hAnsi="Times New Roman" w:cs="Times New Roman"/>
          <w:bCs/>
          <w:color w:val="000000"/>
          <w:sz w:val="24"/>
          <w:szCs w:val="24"/>
        </w:rPr>
        <w:t xml:space="preserve">quantitative data regarding the poor interitem correlations and the poor performances of the behavioral engagement items would not have been understood thoroughly. Therefore, </w:t>
      </w:r>
      <w:r w:rsidR="00E14005" w:rsidRPr="0032506F">
        <w:rPr>
          <w:rFonts w:ascii="Times New Roman" w:eastAsia="Calibri" w:hAnsi="Times New Roman" w:cs="Times New Roman"/>
          <w:bCs/>
          <w:color w:val="000000"/>
          <w:sz w:val="24"/>
          <w:szCs w:val="24"/>
        </w:rPr>
        <w:t>future studies should seriously consider collecting such qualitative</w:t>
      </w:r>
      <w:r w:rsidR="00BF0B07" w:rsidRPr="0032506F">
        <w:rPr>
          <w:rFonts w:ascii="Times New Roman" w:eastAsia="Calibri" w:hAnsi="Times New Roman" w:cs="Times New Roman"/>
          <w:bCs/>
          <w:color w:val="000000"/>
          <w:sz w:val="24"/>
          <w:szCs w:val="24"/>
        </w:rPr>
        <w:t xml:space="preserve"> and open-ended data from the participants regarding their unique online learning context</w:t>
      </w:r>
      <w:r w:rsidR="003D7FB8" w:rsidRPr="0032506F">
        <w:rPr>
          <w:rFonts w:ascii="Times New Roman" w:eastAsia="Calibri" w:hAnsi="Times New Roman" w:cs="Times New Roman"/>
          <w:bCs/>
          <w:color w:val="000000"/>
          <w:sz w:val="24"/>
          <w:szCs w:val="24"/>
        </w:rPr>
        <w:t>s</w:t>
      </w:r>
      <w:r w:rsidR="004B66CC" w:rsidRPr="0032506F">
        <w:rPr>
          <w:rFonts w:ascii="Times New Roman" w:eastAsia="Calibri" w:hAnsi="Times New Roman" w:cs="Times New Roman"/>
          <w:bCs/>
          <w:color w:val="000000"/>
          <w:sz w:val="24"/>
          <w:szCs w:val="24"/>
        </w:rPr>
        <w:t xml:space="preserve"> so that the quantitative data collected for reliability and validity can be interpreted accurately and meaningfully. </w:t>
      </w:r>
    </w:p>
    <w:p w14:paraId="09F5A91B" w14:textId="77777777" w:rsidR="005F3140" w:rsidRPr="0032506F" w:rsidRDefault="005F3140" w:rsidP="00E142A9">
      <w:pPr>
        <w:pStyle w:val="Heading2"/>
      </w:pPr>
      <w:bookmarkStart w:id="153" w:name="_Toc102489476"/>
      <w:r w:rsidRPr="0032506F">
        <w:t>Conclusion</w:t>
      </w:r>
      <w:bookmarkEnd w:id="153"/>
    </w:p>
    <w:p w14:paraId="306522F0" w14:textId="65C5111E" w:rsidR="005F3140" w:rsidRPr="0032506F" w:rsidRDefault="005F3140" w:rsidP="005F3140">
      <w:pPr>
        <w:spacing w:after="0" w:line="480" w:lineRule="auto"/>
        <w:ind w:firstLine="720"/>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The goal of this dissertation study was to develop and validate an instrument that</w:t>
      </w:r>
      <w:r w:rsidR="003D5941" w:rsidRPr="0032506F">
        <w:rPr>
          <w:rFonts w:ascii="Times New Roman" w:eastAsia="Calibri" w:hAnsi="Times New Roman" w:cs="Times New Roman"/>
          <w:bCs/>
          <w:color w:val="000000"/>
          <w:sz w:val="24"/>
          <w:szCs w:val="24"/>
        </w:rPr>
        <w:t xml:space="preserve"> would</w:t>
      </w:r>
      <w:r w:rsidRPr="0032506F">
        <w:rPr>
          <w:rFonts w:ascii="Times New Roman" w:eastAsia="Calibri" w:hAnsi="Times New Roman" w:cs="Times New Roman"/>
          <w:bCs/>
          <w:color w:val="000000"/>
          <w:sz w:val="24"/>
          <w:szCs w:val="24"/>
        </w:rPr>
        <w:t xml:space="preserve"> assess student engagement in online learning environments of higher education, namely undergraduate and graduate-level online courses. This goal was accomplished through a systematic scale development </w:t>
      </w:r>
      <w:r w:rsidR="002F041E" w:rsidRPr="0032506F">
        <w:rPr>
          <w:rFonts w:ascii="Times New Roman" w:eastAsia="Calibri" w:hAnsi="Times New Roman" w:cs="Times New Roman"/>
          <w:bCs/>
          <w:color w:val="000000"/>
          <w:sz w:val="24"/>
          <w:szCs w:val="24"/>
        </w:rPr>
        <w:t xml:space="preserve">and testing </w:t>
      </w:r>
      <w:r w:rsidRPr="0032506F">
        <w:rPr>
          <w:rFonts w:ascii="Times New Roman" w:eastAsia="Calibri" w:hAnsi="Times New Roman" w:cs="Times New Roman"/>
          <w:bCs/>
          <w:color w:val="000000"/>
          <w:sz w:val="24"/>
          <w:szCs w:val="24"/>
        </w:rPr>
        <w:t xml:space="preserve">process with multiple stages and steps. The results obtained from this study indicate that the OEHE is a reliable and valid assessment tool that can be used to measure undergraduate and graduate students’ behavioral, emotional, and cognitive </w:t>
      </w:r>
      <w:r w:rsidRPr="0032506F">
        <w:rPr>
          <w:rFonts w:ascii="Times New Roman" w:eastAsia="Calibri" w:hAnsi="Times New Roman" w:cs="Times New Roman"/>
          <w:bCs/>
          <w:color w:val="000000"/>
          <w:sz w:val="24"/>
          <w:szCs w:val="24"/>
        </w:rPr>
        <w:lastRenderedPageBreak/>
        <w:t xml:space="preserve">engagement in online courses where asynchronous online discussions are a major component of student learning experiences. This study is significant and valuable in that </w:t>
      </w:r>
      <w:r w:rsidR="00D4294C" w:rsidRPr="0032506F">
        <w:rPr>
          <w:rFonts w:ascii="Times New Roman" w:eastAsia="Calibri" w:hAnsi="Times New Roman" w:cs="Times New Roman"/>
          <w:bCs/>
          <w:color w:val="000000"/>
          <w:sz w:val="24"/>
          <w:szCs w:val="24"/>
        </w:rPr>
        <w:t xml:space="preserve">it provided </w:t>
      </w:r>
      <w:r w:rsidR="00B85369">
        <w:rPr>
          <w:rFonts w:ascii="Times New Roman" w:eastAsia="Calibri" w:hAnsi="Times New Roman" w:cs="Times New Roman"/>
          <w:bCs/>
          <w:color w:val="000000"/>
          <w:sz w:val="24"/>
          <w:szCs w:val="24"/>
        </w:rPr>
        <w:t xml:space="preserve">further </w:t>
      </w:r>
      <w:r w:rsidR="00D4294C" w:rsidRPr="0032506F">
        <w:rPr>
          <w:rFonts w:ascii="Times New Roman" w:eastAsia="Calibri" w:hAnsi="Times New Roman" w:cs="Times New Roman"/>
          <w:bCs/>
          <w:color w:val="000000"/>
          <w:sz w:val="24"/>
          <w:szCs w:val="24"/>
        </w:rPr>
        <w:t xml:space="preserve">empirical evidence for the applicability of </w:t>
      </w:r>
      <w:r w:rsidR="00EE7C21" w:rsidRPr="0032506F">
        <w:rPr>
          <w:rFonts w:ascii="Times New Roman" w:eastAsia="Calibri" w:hAnsi="Times New Roman" w:cs="Times New Roman"/>
          <w:bCs/>
          <w:color w:val="000000"/>
          <w:sz w:val="24"/>
          <w:szCs w:val="24"/>
        </w:rPr>
        <w:t>Fredrick et al.’s (2004) three core dimensions</w:t>
      </w:r>
      <w:r w:rsidR="00D4294C" w:rsidRPr="0032506F">
        <w:rPr>
          <w:rFonts w:ascii="Times New Roman" w:eastAsia="Calibri" w:hAnsi="Times New Roman" w:cs="Times New Roman"/>
          <w:bCs/>
          <w:color w:val="000000"/>
          <w:sz w:val="24"/>
          <w:szCs w:val="24"/>
        </w:rPr>
        <w:t xml:space="preserve"> of engagement within online learning environments by addressing the limitations of the existing measures of online student engagement in the extant literature</w:t>
      </w:r>
      <w:r w:rsidRPr="0032506F">
        <w:rPr>
          <w:rFonts w:ascii="Times New Roman" w:eastAsia="Calibri" w:hAnsi="Times New Roman" w:cs="Times New Roman"/>
          <w:bCs/>
          <w:color w:val="000000"/>
          <w:sz w:val="24"/>
          <w:szCs w:val="24"/>
        </w:rPr>
        <w:t xml:space="preserve">. The limitations revealed in this study need to be addressed and fixed in subsequent follow-up studies with larger, more context relevant, and more criteria-fitting samples of online undergraduate and graduate students. Given that asynchronous discussions have an important place in online learning environments of higher education (Hew et al., 2010), </w:t>
      </w:r>
      <w:r w:rsidR="00604CE1" w:rsidRPr="0032506F">
        <w:rPr>
          <w:rFonts w:ascii="Times New Roman" w:eastAsia="Calibri" w:hAnsi="Times New Roman" w:cs="Times New Roman"/>
          <w:bCs/>
          <w:color w:val="000000"/>
          <w:sz w:val="24"/>
          <w:szCs w:val="24"/>
        </w:rPr>
        <w:t xml:space="preserve">this </w:t>
      </w:r>
      <w:r w:rsidRPr="0032506F">
        <w:rPr>
          <w:rFonts w:ascii="Times New Roman" w:eastAsia="Calibri" w:hAnsi="Times New Roman" w:cs="Times New Roman"/>
          <w:bCs/>
          <w:color w:val="000000"/>
          <w:sz w:val="24"/>
          <w:szCs w:val="24"/>
        </w:rPr>
        <w:t xml:space="preserve">dissertation study </w:t>
      </w:r>
      <w:r w:rsidR="00604CE1" w:rsidRPr="0032506F">
        <w:rPr>
          <w:rFonts w:ascii="Times New Roman" w:eastAsia="Calibri" w:hAnsi="Times New Roman" w:cs="Times New Roman"/>
          <w:bCs/>
          <w:color w:val="000000"/>
          <w:sz w:val="24"/>
          <w:szCs w:val="24"/>
        </w:rPr>
        <w:t xml:space="preserve">may </w:t>
      </w:r>
      <w:r w:rsidRPr="0032506F">
        <w:rPr>
          <w:rFonts w:ascii="Times New Roman" w:eastAsia="Calibri" w:hAnsi="Times New Roman" w:cs="Times New Roman"/>
          <w:bCs/>
          <w:color w:val="000000"/>
          <w:sz w:val="24"/>
          <w:szCs w:val="24"/>
        </w:rPr>
        <w:t>open the doors to further lines of inquiry regarding the applicability of Fredricks et al.’s (2004) three-dimensional student engagement within those online learning environments where online discussion boards and forums are used by instructors to foster and maintain student engagement and students are largely involved in interactions with their peers, their instructor</w:t>
      </w:r>
      <w:r w:rsidR="008A6140" w:rsidRPr="0032506F">
        <w:rPr>
          <w:rFonts w:ascii="Times New Roman" w:eastAsia="Calibri" w:hAnsi="Times New Roman" w:cs="Times New Roman"/>
          <w:bCs/>
          <w:color w:val="000000"/>
          <w:sz w:val="24"/>
          <w:szCs w:val="24"/>
        </w:rPr>
        <w:t>,</w:t>
      </w:r>
      <w:r w:rsidRPr="0032506F">
        <w:rPr>
          <w:rFonts w:ascii="Times New Roman" w:eastAsia="Calibri" w:hAnsi="Times New Roman" w:cs="Times New Roman"/>
          <w:bCs/>
          <w:color w:val="000000"/>
          <w:sz w:val="24"/>
          <w:szCs w:val="24"/>
        </w:rPr>
        <w:t xml:space="preserve"> and the course content via online discussions</w:t>
      </w:r>
      <w:r w:rsidRPr="0032506F">
        <w:rPr>
          <w:rFonts w:ascii="Times New Roman" w:eastAsia="Times New Roman" w:hAnsi="Times New Roman" w:cs="Times New Roman"/>
          <w:bCs/>
          <w:sz w:val="24"/>
          <w:szCs w:val="24"/>
        </w:rPr>
        <w:t xml:space="preserve"> (</w:t>
      </w:r>
      <w:r w:rsidRPr="0032506F">
        <w:rPr>
          <w:rFonts w:ascii="Times New Roman" w:eastAsia="Calibri" w:hAnsi="Times New Roman" w:cs="Times New Roman"/>
          <w:bCs/>
          <w:color w:val="000000"/>
          <w:sz w:val="24"/>
          <w:szCs w:val="24"/>
        </w:rPr>
        <w:t>Salter &amp; Conneely, 2015).</w:t>
      </w:r>
      <w:bookmarkEnd w:id="142"/>
    </w:p>
    <w:p w14:paraId="4773A1AC" w14:textId="489F5BD4" w:rsidR="006B3259" w:rsidRPr="0032506F" w:rsidRDefault="006B3259" w:rsidP="0082746B">
      <w:pPr>
        <w:tabs>
          <w:tab w:val="left" w:pos="2254"/>
        </w:tabs>
        <w:rPr>
          <w:rFonts w:ascii="Times New Roman" w:hAnsi="Times New Roman" w:cs="Times New Roman"/>
          <w:sz w:val="24"/>
          <w:szCs w:val="24"/>
        </w:rPr>
        <w:sectPr w:rsidR="006B3259" w:rsidRPr="0032506F" w:rsidSect="0082746B">
          <w:pgSz w:w="12240" w:h="15840"/>
          <w:pgMar w:top="1440" w:right="1440" w:bottom="1440" w:left="1440" w:header="720" w:footer="720" w:gutter="0"/>
          <w:cols w:space="720"/>
          <w:docGrid w:linePitch="360"/>
        </w:sectPr>
      </w:pPr>
    </w:p>
    <w:p w14:paraId="20294B19" w14:textId="77777777" w:rsidR="006B3259" w:rsidRPr="0032506F" w:rsidRDefault="006B3259" w:rsidP="006744D3">
      <w:pPr>
        <w:pStyle w:val="Heading1"/>
      </w:pPr>
      <w:bookmarkStart w:id="154" w:name="_Toc102489477"/>
      <w:r w:rsidRPr="0032506F">
        <w:lastRenderedPageBreak/>
        <w:t>References</w:t>
      </w:r>
      <w:bookmarkEnd w:id="154"/>
    </w:p>
    <w:p w14:paraId="1A025E1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Ainley, M. (2012). Students’ interest and engagement in classroom activities. In S. L. Christenson, A. L. Reschly, &amp; C. Wylie (Eds.),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xml:space="preserve"> (pp. 283–302). Springer.</w:t>
      </w:r>
    </w:p>
    <w:p w14:paraId="1E70665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Allen, I. E., &amp; Seaman, J. (2013). </w:t>
      </w:r>
      <w:r w:rsidRPr="0032506F">
        <w:rPr>
          <w:rFonts w:ascii="Times New Roman" w:eastAsia="Times New Roman" w:hAnsi="Times New Roman" w:cs="Times New Roman"/>
          <w:bCs/>
          <w:i/>
          <w:iCs/>
          <w:sz w:val="24"/>
          <w:szCs w:val="24"/>
        </w:rPr>
        <w:t>Changing course: Ten years of tracking online education in the United States</w:t>
      </w:r>
      <w:r w:rsidRPr="0032506F">
        <w:rPr>
          <w:rFonts w:ascii="Times New Roman" w:eastAsia="Times New Roman" w:hAnsi="Times New Roman" w:cs="Times New Roman"/>
          <w:bCs/>
          <w:sz w:val="24"/>
          <w:szCs w:val="24"/>
        </w:rPr>
        <w:t xml:space="preserve">. Babson Survey Research Group and Quahog Research Group. </w:t>
      </w:r>
      <w:hyperlink r:id="rId14" w:history="1">
        <w:r w:rsidRPr="0032506F">
          <w:rPr>
            <w:rStyle w:val="Hyperlink"/>
            <w:rFonts w:ascii="Times New Roman" w:eastAsia="Times New Roman" w:hAnsi="Times New Roman" w:cs="Times New Roman"/>
            <w:bCs/>
            <w:color w:val="auto"/>
            <w:sz w:val="24"/>
            <w:szCs w:val="24"/>
          </w:rPr>
          <w:t>https://files.eric.ed.gov/fulltext/ED541571.pdf</w:t>
        </w:r>
      </w:hyperlink>
    </w:p>
    <w:p w14:paraId="7367920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Allen, I. E., &amp; Seaman, J. (2017). </w:t>
      </w:r>
      <w:r w:rsidRPr="0032506F">
        <w:rPr>
          <w:rFonts w:ascii="Times New Roman" w:eastAsia="Times New Roman" w:hAnsi="Times New Roman" w:cs="Times New Roman"/>
          <w:bCs/>
          <w:i/>
          <w:iCs/>
          <w:sz w:val="24"/>
          <w:szCs w:val="24"/>
        </w:rPr>
        <w:t>Digital learning compass: Distance education enrollment report 2017</w:t>
      </w:r>
      <w:r w:rsidRPr="0032506F">
        <w:rPr>
          <w:rFonts w:ascii="Times New Roman" w:eastAsia="Times New Roman" w:hAnsi="Times New Roman" w:cs="Times New Roman"/>
          <w:bCs/>
          <w:sz w:val="24"/>
          <w:szCs w:val="24"/>
        </w:rPr>
        <w:t xml:space="preserve">. Babson Survey Research Group, e-Literate, and WCET. </w:t>
      </w:r>
      <w:hyperlink r:id="rId15" w:history="1">
        <w:r w:rsidRPr="0032506F">
          <w:rPr>
            <w:rStyle w:val="Hyperlink"/>
            <w:rFonts w:ascii="Times New Roman" w:eastAsia="Times New Roman" w:hAnsi="Times New Roman" w:cs="Times New Roman"/>
            <w:bCs/>
            <w:color w:val="auto"/>
            <w:sz w:val="24"/>
            <w:szCs w:val="24"/>
          </w:rPr>
          <w:t>https://files.eric.ed.gov/fulltext/ED580868.pdf</w:t>
        </w:r>
      </w:hyperlink>
    </w:p>
    <w:p w14:paraId="6F1458D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Allen, I. E., Seaman, J., Poulin, R., &amp; Straut, T. T. (2016). </w:t>
      </w:r>
      <w:r w:rsidRPr="0032506F">
        <w:rPr>
          <w:rFonts w:ascii="Times New Roman" w:eastAsia="Times New Roman" w:hAnsi="Times New Roman" w:cs="Times New Roman"/>
          <w:bCs/>
          <w:i/>
          <w:iCs/>
          <w:sz w:val="24"/>
          <w:szCs w:val="24"/>
        </w:rPr>
        <w:t>Online report card: Tracking online education in the United States</w:t>
      </w:r>
      <w:r w:rsidRPr="0032506F">
        <w:rPr>
          <w:rFonts w:ascii="Times New Roman" w:eastAsia="Times New Roman" w:hAnsi="Times New Roman" w:cs="Times New Roman"/>
          <w:bCs/>
          <w:sz w:val="24"/>
          <w:szCs w:val="24"/>
        </w:rPr>
        <w:t xml:space="preserve">. Babson Survey Research Group and Quahog Research Group. </w:t>
      </w:r>
      <w:hyperlink r:id="rId16" w:history="1">
        <w:r w:rsidRPr="0032506F">
          <w:rPr>
            <w:rStyle w:val="Hyperlink"/>
            <w:rFonts w:ascii="Times New Roman" w:eastAsia="Times New Roman" w:hAnsi="Times New Roman" w:cs="Times New Roman"/>
            <w:bCs/>
            <w:color w:val="auto"/>
            <w:sz w:val="24"/>
            <w:szCs w:val="24"/>
          </w:rPr>
          <w:t>https://files.eric.ed.gov/fulltext/ED572777.pdf</w:t>
        </w:r>
      </w:hyperlink>
    </w:p>
    <w:p w14:paraId="768A14C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Almutairi, F., &amp; White, S. (2018). How to measure student engagement in the context of blended-MOOC. </w:t>
      </w:r>
      <w:r w:rsidRPr="0032506F">
        <w:rPr>
          <w:rFonts w:ascii="Times New Roman" w:eastAsia="Times New Roman" w:hAnsi="Times New Roman" w:cs="Times New Roman"/>
          <w:bCs/>
          <w:i/>
          <w:iCs/>
          <w:sz w:val="24"/>
          <w:szCs w:val="24"/>
        </w:rPr>
        <w:t>Interactive Technology and Smart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w:t>
      </w:r>
      <w:r w:rsidRPr="0032506F">
        <w:rPr>
          <w:rFonts w:ascii="Times New Roman" w:eastAsia="Times New Roman" w:hAnsi="Times New Roman" w:cs="Times New Roman"/>
          <w:bCs/>
          <w:sz w:val="24"/>
          <w:szCs w:val="24"/>
        </w:rPr>
        <w:t xml:space="preserve">(3), 262–278. </w:t>
      </w:r>
      <w:hyperlink r:id="rId17" w:history="1">
        <w:r w:rsidRPr="0032506F">
          <w:rPr>
            <w:rStyle w:val="Hyperlink"/>
            <w:rFonts w:ascii="Times New Roman" w:eastAsia="Times New Roman" w:hAnsi="Times New Roman" w:cs="Times New Roman"/>
            <w:bCs/>
            <w:color w:val="auto"/>
            <w:sz w:val="24"/>
            <w:szCs w:val="24"/>
          </w:rPr>
          <w:t>https://doi.org/10.1108/ITSE-07-2018-0046</w:t>
        </w:r>
      </w:hyperlink>
    </w:p>
    <w:p w14:paraId="0BD847E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Ames, C., &amp; Archer, J. (1988). Achievement goals in the classroom: Students’ learning strategies and motivation processes.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80</w:t>
      </w:r>
      <w:r w:rsidRPr="0032506F">
        <w:rPr>
          <w:rFonts w:ascii="Times New Roman" w:eastAsia="Times New Roman" w:hAnsi="Times New Roman" w:cs="Times New Roman"/>
          <w:bCs/>
          <w:sz w:val="24"/>
          <w:szCs w:val="24"/>
        </w:rPr>
        <w:t xml:space="preserve">(3), 260–267. </w:t>
      </w:r>
      <w:hyperlink r:id="rId18" w:history="1">
        <w:r w:rsidRPr="0032506F">
          <w:rPr>
            <w:rStyle w:val="Hyperlink"/>
            <w:rFonts w:ascii="Times New Roman" w:eastAsia="Times New Roman" w:hAnsi="Times New Roman" w:cs="Times New Roman"/>
            <w:bCs/>
            <w:color w:val="auto"/>
            <w:sz w:val="24"/>
            <w:szCs w:val="24"/>
          </w:rPr>
          <w:t>https://doi.org/10.1037/0022-0663.80.3.260</w:t>
        </w:r>
      </w:hyperlink>
    </w:p>
    <w:p w14:paraId="1EDEED6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Anderson, E. (2017). </w:t>
      </w:r>
      <w:r w:rsidRPr="0032506F">
        <w:rPr>
          <w:rFonts w:ascii="Times New Roman" w:eastAsia="Times New Roman" w:hAnsi="Times New Roman" w:cs="Times New Roman"/>
          <w:bCs/>
          <w:i/>
          <w:iCs/>
          <w:sz w:val="24"/>
          <w:szCs w:val="24"/>
        </w:rPr>
        <w:t xml:space="preserve">Measurement of online student engagement: Utilization of continuous online student behavior indicators as items in a partial credit Rasch model </w:t>
      </w:r>
      <w:r w:rsidRPr="0032506F">
        <w:rPr>
          <w:rFonts w:ascii="Times New Roman" w:eastAsia="Times New Roman" w:hAnsi="Times New Roman" w:cs="Times New Roman"/>
          <w:bCs/>
          <w:sz w:val="24"/>
          <w:szCs w:val="24"/>
        </w:rPr>
        <w:t>(Publication No. 10259450) [Doctoral dissertation, University of Denver]. ProQuest Dissertations &amp; Theses Global.</w:t>
      </w:r>
    </w:p>
    <w:p w14:paraId="6C2376D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Appleton, J. J., Christenson, S. L., Kim, D., &amp; Reschly, A. L. (2006). Measuring cognitive and psychological engagement: Validation of the student engagement instrument. </w:t>
      </w:r>
      <w:r w:rsidRPr="0032506F">
        <w:rPr>
          <w:rFonts w:ascii="Times New Roman" w:eastAsia="Times New Roman" w:hAnsi="Times New Roman" w:cs="Times New Roman"/>
          <w:bCs/>
          <w:i/>
          <w:iCs/>
          <w:sz w:val="24"/>
          <w:szCs w:val="24"/>
        </w:rPr>
        <w:t>Motivation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44</w:t>
      </w:r>
      <w:r w:rsidRPr="0032506F">
        <w:rPr>
          <w:rFonts w:ascii="Times New Roman" w:eastAsia="Times New Roman" w:hAnsi="Times New Roman" w:cs="Times New Roman"/>
          <w:bCs/>
          <w:sz w:val="24"/>
          <w:szCs w:val="24"/>
        </w:rPr>
        <w:t xml:space="preserve">(5), 427–445. </w:t>
      </w:r>
      <w:hyperlink r:id="rId19" w:history="1">
        <w:r w:rsidRPr="0032506F">
          <w:rPr>
            <w:rStyle w:val="Hyperlink"/>
            <w:rFonts w:ascii="Times New Roman" w:eastAsia="Times New Roman" w:hAnsi="Times New Roman" w:cs="Times New Roman"/>
            <w:bCs/>
            <w:color w:val="auto"/>
            <w:sz w:val="24"/>
            <w:szCs w:val="24"/>
          </w:rPr>
          <w:t>https://doi.org/10.1016/j.jsp.2006.04.002</w:t>
        </w:r>
      </w:hyperlink>
    </w:p>
    <w:p w14:paraId="57F2B3F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Appleton, J. J., Christenson, S. L., &amp; Furlong, M. J. (2008). Student engagement with school: Critical conceptual and methodological issues of the construct. </w:t>
      </w:r>
      <w:r w:rsidRPr="0032506F">
        <w:rPr>
          <w:rFonts w:ascii="Times New Roman" w:eastAsia="Times New Roman" w:hAnsi="Times New Roman" w:cs="Times New Roman"/>
          <w:bCs/>
          <w:i/>
          <w:iCs/>
          <w:sz w:val="24"/>
          <w:szCs w:val="24"/>
        </w:rPr>
        <w:t>Psychology in the Schools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45</w:t>
      </w:r>
      <w:r w:rsidRPr="0032506F">
        <w:rPr>
          <w:rFonts w:ascii="Times New Roman" w:eastAsia="Times New Roman" w:hAnsi="Times New Roman" w:cs="Times New Roman"/>
          <w:bCs/>
          <w:sz w:val="24"/>
          <w:szCs w:val="24"/>
        </w:rPr>
        <w:t xml:space="preserve">(5), 369–386. </w:t>
      </w:r>
      <w:hyperlink r:id="rId20" w:history="1">
        <w:r w:rsidRPr="0032506F">
          <w:rPr>
            <w:rStyle w:val="Hyperlink"/>
            <w:rFonts w:ascii="Times New Roman" w:eastAsia="Times New Roman" w:hAnsi="Times New Roman" w:cs="Times New Roman"/>
            <w:bCs/>
            <w:color w:val="auto"/>
            <w:sz w:val="24"/>
            <w:szCs w:val="24"/>
          </w:rPr>
          <w:t>https://doi.org/10.1002/pits.20303</w:t>
        </w:r>
      </w:hyperlink>
    </w:p>
    <w:p w14:paraId="64101B8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Arbuckle, J. L. (2020).</w:t>
      </w:r>
      <w:r w:rsidRPr="0032506F">
        <w:rPr>
          <w:rFonts w:ascii="Times New Roman" w:hAnsi="Times New Roman" w:cs="Times New Roman"/>
          <w:sz w:val="24"/>
          <w:szCs w:val="24"/>
        </w:rPr>
        <w:t xml:space="preserve"> </w:t>
      </w:r>
      <w:r w:rsidRPr="0032506F">
        <w:rPr>
          <w:rFonts w:ascii="Times New Roman" w:eastAsia="Times New Roman" w:hAnsi="Times New Roman" w:cs="Times New Roman"/>
          <w:bCs/>
          <w:i/>
          <w:iCs/>
          <w:sz w:val="24"/>
          <w:szCs w:val="24"/>
        </w:rPr>
        <w:t>IBM® SPSS® Amos™ 27 user’s guide</w:t>
      </w:r>
      <w:r w:rsidRPr="0032506F">
        <w:rPr>
          <w:rFonts w:ascii="Times New Roman" w:eastAsia="Times New Roman" w:hAnsi="Times New Roman" w:cs="Times New Roman"/>
          <w:bCs/>
          <w:sz w:val="24"/>
          <w:szCs w:val="24"/>
        </w:rPr>
        <w:t>. IBM.</w:t>
      </w:r>
    </w:p>
    <w:p w14:paraId="11678AC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Archambault, I., Janosz, M., Morizot, J., &amp; Pagani, L. (2009). Adolescent behavioral, affective, and cognitive engagement in school: Relationship to dropout. </w:t>
      </w:r>
      <w:r w:rsidRPr="0032506F">
        <w:rPr>
          <w:rFonts w:ascii="Times New Roman" w:eastAsia="Times New Roman" w:hAnsi="Times New Roman" w:cs="Times New Roman"/>
          <w:bCs/>
          <w:i/>
          <w:iCs/>
          <w:sz w:val="24"/>
          <w:szCs w:val="24"/>
        </w:rPr>
        <w:t>Journal of School Health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79</w:t>
      </w:r>
      <w:r w:rsidRPr="0032506F">
        <w:rPr>
          <w:rFonts w:ascii="Times New Roman" w:eastAsia="Times New Roman" w:hAnsi="Times New Roman" w:cs="Times New Roman"/>
          <w:bCs/>
          <w:sz w:val="24"/>
          <w:szCs w:val="24"/>
        </w:rPr>
        <w:t xml:space="preserve">(9), 408–415. </w:t>
      </w:r>
      <w:hyperlink r:id="rId21" w:history="1">
        <w:r w:rsidRPr="0032506F">
          <w:rPr>
            <w:rStyle w:val="Hyperlink"/>
            <w:rFonts w:ascii="Times New Roman" w:eastAsia="Times New Roman" w:hAnsi="Times New Roman" w:cs="Times New Roman"/>
            <w:bCs/>
            <w:color w:val="auto"/>
            <w:sz w:val="24"/>
            <w:szCs w:val="24"/>
          </w:rPr>
          <w:t>https://doi.org/10.1111/j.1746-1561.2009.00428.x</w:t>
        </w:r>
      </w:hyperlink>
    </w:p>
    <w:p w14:paraId="5B0C3C4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Artino, A. R. (2010). Online or face-to-face learning? Exploring the personal factors that predict students’ choice of instructional format. </w:t>
      </w:r>
      <w:r w:rsidRPr="0032506F">
        <w:rPr>
          <w:rFonts w:ascii="Times New Roman" w:eastAsia="Times New Roman" w:hAnsi="Times New Roman" w:cs="Times New Roman"/>
          <w:bCs/>
          <w:i/>
          <w:iCs/>
          <w:sz w:val="24"/>
          <w:szCs w:val="24"/>
        </w:rPr>
        <w:t>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13</w:t>
      </w:r>
      <w:r w:rsidRPr="0032506F">
        <w:rPr>
          <w:rFonts w:ascii="Times New Roman" w:eastAsia="Times New Roman" w:hAnsi="Times New Roman" w:cs="Times New Roman"/>
          <w:bCs/>
          <w:sz w:val="24"/>
          <w:szCs w:val="24"/>
        </w:rPr>
        <w:t xml:space="preserve">(4), 272–276. </w:t>
      </w:r>
      <w:hyperlink r:id="rId22" w:history="1">
        <w:r w:rsidRPr="0032506F">
          <w:rPr>
            <w:rStyle w:val="Hyperlink"/>
            <w:rFonts w:ascii="Times New Roman" w:eastAsia="Times New Roman" w:hAnsi="Times New Roman" w:cs="Times New Roman"/>
            <w:bCs/>
            <w:color w:val="auto"/>
            <w:sz w:val="24"/>
            <w:szCs w:val="24"/>
          </w:rPr>
          <w:t>https://doi.org/10.1016/j.iheduc.2010.07.005</w:t>
        </w:r>
      </w:hyperlink>
    </w:p>
    <w:p w14:paraId="49A6D3C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Artino, A. R., &amp; Jones, K. D. (2012). Exploring the complex relations between achievement emotions and self-regulated learning behaviors in online learning. </w:t>
      </w:r>
      <w:r w:rsidRPr="0032506F">
        <w:rPr>
          <w:rFonts w:ascii="Times New Roman" w:eastAsia="Times New Roman" w:hAnsi="Times New Roman" w:cs="Times New Roman"/>
          <w:bCs/>
          <w:i/>
          <w:iCs/>
          <w:sz w:val="24"/>
          <w:szCs w:val="24"/>
        </w:rPr>
        <w:t>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w:t>
      </w:r>
      <w:r w:rsidRPr="0032506F">
        <w:rPr>
          <w:rFonts w:ascii="Times New Roman" w:eastAsia="Times New Roman" w:hAnsi="Times New Roman" w:cs="Times New Roman"/>
          <w:bCs/>
          <w:sz w:val="24"/>
          <w:szCs w:val="24"/>
        </w:rPr>
        <w:t xml:space="preserve">(3), 170–175. </w:t>
      </w:r>
      <w:hyperlink r:id="rId23" w:history="1">
        <w:r w:rsidRPr="0032506F">
          <w:rPr>
            <w:rStyle w:val="Hyperlink"/>
            <w:rFonts w:ascii="Times New Roman" w:eastAsia="Times New Roman" w:hAnsi="Times New Roman" w:cs="Times New Roman"/>
            <w:bCs/>
            <w:color w:val="auto"/>
            <w:sz w:val="24"/>
            <w:szCs w:val="24"/>
          </w:rPr>
          <w:t>https://doi.org/10.1016/j.iheduc.2012.01.006</w:t>
        </w:r>
      </w:hyperlink>
    </w:p>
    <w:p w14:paraId="367EB7D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Asempapa, R. S. (2016). </w:t>
      </w:r>
      <w:r w:rsidRPr="0032506F">
        <w:rPr>
          <w:rFonts w:ascii="Times New Roman" w:eastAsia="Times New Roman" w:hAnsi="Times New Roman" w:cs="Times New Roman"/>
          <w:bCs/>
          <w:i/>
          <w:iCs/>
          <w:sz w:val="24"/>
          <w:szCs w:val="24"/>
        </w:rPr>
        <w:t xml:space="preserve">Developing an instrument to assess teachers’ knowledge of the nature of mathematical modeling and their attitude toward such modeling </w:t>
      </w:r>
      <w:r w:rsidRPr="0032506F">
        <w:rPr>
          <w:rFonts w:ascii="Times New Roman" w:eastAsia="Times New Roman" w:hAnsi="Times New Roman" w:cs="Times New Roman"/>
          <w:bCs/>
          <w:sz w:val="24"/>
          <w:szCs w:val="24"/>
        </w:rPr>
        <w:t xml:space="preserve">(Publication No. 28004791) </w:t>
      </w:r>
      <w:bookmarkStart w:id="155" w:name="_Hlk58519532"/>
      <w:r w:rsidRPr="0032506F">
        <w:rPr>
          <w:rFonts w:ascii="Times New Roman" w:eastAsia="Times New Roman" w:hAnsi="Times New Roman" w:cs="Times New Roman"/>
          <w:bCs/>
          <w:sz w:val="24"/>
          <w:szCs w:val="24"/>
        </w:rPr>
        <w:t>[Doctoral dissertation, Ohio University]. ProQuest Dissertations &amp; Theses Global.</w:t>
      </w:r>
    </w:p>
    <w:bookmarkEnd w:id="155"/>
    <w:p w14:paraId="6F2C6E6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Astin, A. W. (1984). Student involvement: A developmental theory for higher education. </w:t>
      </w:r>
      <w:r w:rsidRPr="0032506F">
        <w:rPr>
          <w:rFonts w:ascii="Times New Roman" w:eastAsia="Times New Roman" w:hAnsi="Times New Roman" w:cs="Times New Roman"/>
          <w:bCs/>
          <w:i/>
          <w:iCs/>
          <w:sz w:val="24"/>
          <w:szCs w:val="24"/>
        </w:rPr>
        <w:t>Journal of College Student Personnel, 25</w:t>
      </w:r>
      <w:r w:rsidRPr="0032506F">
        <w:rPr>
          <w:rFonts w:ascii="Times New Roman" w:eastAsia="Times New Roman" w:hAnsi="Times New Roman" w:cs="Times New Roman"/>
          <w:bCs/>
          <w:sz w:val="24"/>
          <w:szCs w:val="24"/>
        </w:rPr>
        <w:t>(4), 297–308.</w:t>
      </w:r>
    </w:p>
    <w:p w14:paraId="7F467B9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Azevedo, R. (2015). Defining and measuring engagement and learning in science: Conceptual, theoretical, methodological, and analytical issues.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50</w:t>
      </w:r>
      <w:r w:rsidRPr="0032506F">
        <w:rPr>
          <w:rFonts w:ascii="Times New Roman" w:eastAsia="Times New Roman" w:hAnsi="Times New Roman" w:cs="Times New Roman"/>
          <w:bCs/>
          <w:sz w:val="24"/>
          <w:szCs w:val="24"/>
        </w:rPr>
        <w:t xml:space="preserve">(1), 84–94. </w:t>
      </w:r>
    </w:p>
    <w:p w14:paraId="7DE47AA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Baumeister, R. F., &amp; Leary, M. R. (1995). The need to belong: Desire for interpersonal attachments as a fundamental human motivation. </w:t>
      </w:r>
      <w:r w:rsidRPr="0032506F">
        <w:rPr>
          <w:rFonts w:ascii="Times New Roman" w:eastAsia="Times New Roman" w:hAnsi="Times New Roman" w:cs="Times New Roman"/>
          <w:bCs/>
          <w:i/>
          <w:iCs/>
          <w:sz w:val="24"/>
          <w:szCs w:val="24"/>
        </w:rPr>
        <w:t>Psychological Bulletin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117</w:t>
      </w:r>
      <w:r w:rsidRPr="0032506F">
        <w:rPr>
          <w:rFonts w:ascii="Times New Roman" w:eastAsia="Times New Roman" w:hAnsi="Times New Roman" w:cs="Times New Roman"/>
          <w:bCs/>
          <w:sz w:val="24"/>
          <w:szCs w:val="24"/>
        </w:rPr>
        <w:t xml:space="preserve">(3), 497. </w:t>
      </w:r>
      <w:hyperlink r:id="rId24" w:history="1">
        <w:r w:rsidRPr="0032506F">
          <w:rPr>
            <w:rStyle w:val="Hyperlink"/>
            <w:rFonts w:ascii="Times New Roman" w:eastAsia="Times New Roman" w:hAnsi="Times New Roman" w:cs="Times New Roman"/>
            <w:bCs/>
            <w:color w:val="auto"/>
            <w:sz w:val="24"/>
            <w:szCs w:val="24"/>
          </w:rPr>
          <w:t>https://doi.org/10.1037/0033-2909.117.3.497</w:t>
        </w:r>
      </w:hyperlink>
    </w:p>
    <w:p w14:paraId="6B384AC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Bentler, P. M. (2005). </w:t>
      </w:r>
      <w:r w:rsidRPr="0032506F">
        <w:rPr>
          <w:rFonts w:ascii="Times New Roman" w:eastAsia="Times New Roman" w:hAnsi="Times New Roman" w:cs="Times New Roman"/>
          <w:bCs/>
          <w:i/>
          <w:iCs/>
          <w:sz w:val="24"/>
          <w:szCs w:val="24"/>
        </w:rPr>
        <w:t>EQS 6 Structural equations program manual</w:t>
      </w:r>
      <w:r w:rsidRPr="0032506F">
        <w:rPr>
          <w:rFonts w:ascii="Times New Roman" w:eastAsia="Times New Roman" w:hAnsi="Times New Roman" w:cs="Times New Roman"/>
          <w:bCs/>
          <w:sz w:val="24"/>
          <w:szCs w:val="24"/>
        </w:rPr>
        <w:t xml:space="preserve">. </w:t>
      </w:r>
    </w:p>
    <w:p w14:paraId="699944A0" w14:textId="77777777" w:rsidR="006B3259" w:rsidRPr="0032506F" w:rsidRDefault="006B3259" w:rsidP="006B3259">
      <w:pPr>
        <w:spacing w:after="0" w:line="480" w:lineRule="auto"/>
        <w:ind w:left="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Multivariate Software.</w:t>
      </w:r>
    </w:p>
    <w:p w14:paraId="446059E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Bigatel, P. M., &amp; Edel-Malizia, S. (2018). Using the “Indicators of Engaged Learning Online” framework to evaluate online course quality. </w:t>
      </w:r>
      <w:r w:rsidRPr="0032506F">
        <w:rPr>
          <w:rFonts w:ascii="Times New Roman" w:eastAsia="Times New Roman" w:hAnsi="Times New Roman" w:cs="Times New Roman"/>
          <w:bCs/>
          <w:i/>
          <w:iCs/>
          <w:sz w:val="24"/>
          <w:szCs w:val="24"/>
        </w:rPr>
        <w:t>TechTrends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62</w:t>
      </w:r>
      <w:r w:rsidRPr="0032506F">
        <w:rPr>
          <w:rFonts w:ascii="Times New Roman" w:eastAsia="Times New Roman" w:hAnsi="Times New Roman" w:cs="Times New Roman"/>
          <w:bCs/>
          <w:sz w:val="24"/>
          <w:szCs w:val="24"/>
        </w:rPr>
        <w:t>(1), 58–70.</w:t>
      </w:r>
    </w:p>
    <w:p w14:paraId="193FB7D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Bigatel, P., &amp; Williams, V. (2015). Measuring student engagement in an online program. </w:t>
      </w:r>
      <w:r w:rsidRPr="0032506F">
        <w:rPr>
          <w:rFonts w:ascii="Times New Roman" w:eastAsia="Times New Roman" w:hAnsi="Times New Roman" w:cs="Times New Roman"/>
          <w:bCs/>
          <w:i/>
          <w:iCs/>
          <w:sz w:val="24"/>
          <w:szCs w:val="24"/>
        </w:rPr>
        <w:t>Online Journal of Distance Learning Administration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18</w:t>
      </w:r>
      <w:r w:rsidRPr="0032506F">
        <w:rPr>
          <w:rFonts w:ascii="Times New Roman" w:eastAsia="Times New Roman" w:hAnsi="Times New Roman" w:cs="Times New Roman"/>
          <w:bCs/>
          <w:sz w:val="24"/>
          <w:szCs w:val="24"/>
        </w:rPr>
        <w:t xml:space="preserve">(2). </w:t>
      </w:r>
      <w:hyperlink r:id="rId25" w:history="1">
        <w:r w:rsidRPr="0032506F">
          <w:rPr>
            <w:rStyle w:val="Hyperlink"/>
            <w:rFonts w:ascii="Times New Roman" w:eastAsia="Times New Roman" w:hAnsi="Times New Roman" w:cs="Times New Roman"/>
            <w:bCs/>
            <w:color w:val="auto"/>
            <w:sz w:val="24"/>
            <w:szCs w:val="24"/>
          </w:rPr>
          <w:t>https://www.westga.edu/~distance/ojdla/summer182/bigatel_williams182.html</w:t>
        </w:r>
      </w:hyperlink>
    </w:p>
    <w:p w14:paraId="297E99F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Birch, S. H., &amp; Ladd, G. W. (1997). The teacher-child relationship and children’s early school adjustment. </w:t>
      </w:r>
      <w:r w:rsidRPr="0032506F">
        <w:rPr>
          <w:rFonts w:ascii="Times New Roman" w:eastAsia="Times New Roman" w:hAnsi="Times New Roman" w:cs="Times New Roman"/>
          <w:bCs/>
          <w:i/>
          <w:iCs/>
          <w:sz w:val="24"/>
          <w:szCs w:val="24"/>
        </w:rPr>
        <w:t>Journal of School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35</w:t>
      </w:r>
      <w:r w:rsidRPr="0032506F">
        <w:rPr>
          <w:rFonts w:ascii="Times New Roman" w:eastAsia="Times New Roman" w:hAnsi="Times New Roman" w:cs="Times New Roman"/>
          <w:bCs/>
          <w:sz w:val="24"/>
          <w:szCs w:val="24"/>
        </w:rPr>
        <w:t xml:space="preserve">(1), 61–79. </w:t>
      </w:r>
      <w:hyperlink r:id="rId26" w:history="1">
        <w:r w:rsidRPr="0032506F">
          <w:rPr>
            <w:rStyle w:val="Hyperlink"/>
            <w:rFonts w:ascii="Times New Roman" w:eastAsia="Times New Roman" w:hAnsi="Times New Roman" w:cs="Times New Roman"/>
            <w:bCs/>
            <w:color w:val="auto"/>
            <w:sz w:val="24"/>
            <w:szCs w:val="24"/>
          </w:rPr>
          <w:t>https://doi.org/10.1016/S0022-4405(96)00029-5</w:t>
        </w:r>
      </w:hyperlink>
    </w:p>
    <w:p w14:paraId="024EF48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Bolliger, D. U., &amp; Martin, F. (2018). Instructor and student perceptions of online student engagement strategies. </w:t>
      </w:r>
      <w:r w:rsidRPr="0032506F">
        <w:rPr>
          <w:rFonts w:ascii="Times New Roman" w:eastAsia="Times New Roman" w:hAnsi="Times New Roman" w:cs="Times New Roman"/>
          <w:bCs/>
          <w:i/>
          <w:iCs/>
          <w:sz w:val="24"/>
          <w:szCs w:val="24"/>
        </w:rPr>
        <w:t>Distance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39</w:t>
      </w:r>
      <w:r w:rsidRPr="0032506F">
        <w:rPr>
          <w:rFonts w:ascii="Times New Roman" w:eastAsia="Times New Roman" w:hAnsi="Times New Roman" w:cs="Times New Roman"/>
          <w:bCs/>
          <w:sz w:val="24"/>
          <w:szCs w:val="24"/>
        </w:rPr>
        <w:t xml:space="preserve">(4), 568–583. </w:t>
      </w:r>
      <w:hyperlink r:id="rId27" w:history="1">
        <w:r w:rsidRPr="0032506F">
          <w:rPr>
            <w:rStyle w:val="Hyperlink"/>
            <w:rFonts w:ascii="Times New Roman" w:eastAsia="Times New Roman" w:hAnsi="Times New Roman" w:cs="Times New Roman"/>
            <w:bCs/>
            <w:color w:val="auto"/>
            <w:sz w:val="24"/>
            <w:szCs w:val="24"/>
          </w:rPr>
          <w:t>https://doi.org/10.1080/01587919.2018.1520041</w:t>
        </w:r>
      </w:hyperlink>
    </w:p>
    <w:p w14:paraId="31975C7E" w14:textId="77777777" w:rsidR="00272355" w:rsidRPr="0032506F" w:rsidRDefault="00272355" w:rsidP="00272355">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Bolliger, D. U., &amp; Martin, F. (2021). Factors underlying the perceived importance of online student engagement strategies. </w:t>
      </w:r>
      <w:r w:rsidRPr="0032506F">
        <w:rPr>
          <w:rFonts w:ascii="Times New Roman" w:eastAsia="Times New Roman" w:hAnsi="Times New Roman" w:cs="Times New Roman"/>
          <w:bCs/>
          <w:i/>
          <w:iCs/>
          <w:sz w:val="24"/>
          <w:szCs w:val="24"/>
        </w:rPr>
        <w:t>Journal of Applied Research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13</w:t>
      </w:r>
      <w:r w:rsidRPr="0032506F">
        <w:rPr>
          <w:rFonts w:ascii="Times New Roman" w:eastAsia="Times New Roman" w:hAnsi="Times New Roman" w:cs="Times New Roman"/>
          <w:bCs/>
          <w:sz w:val="24"/>
          <w:szCs w:val="24"/>
        </w:rPr>
        <w:t>(2), 404–4</w:t>
      </w:r>
      <w:r w:rsidRPr="00186188">
        <w:rPr>
          <w:rFonts w:ascii="Times New Roman" w:eastAsia="Times New Roman" w:hAnsi="Times New Roman" w:cs="Times New Roman"/>
          <w:bCs/>
          <w:sz w:val="24"/>
          <w:szCs w:val="24"/>
        </w:rPr>
        <w:t xml:space="preserve">19. </w:t>
      </w:r>
      <w:hyperlink r:id="rId28" w:history="1">
        <w:r w:rsidRPr="00186188">
          <w:rPr>
            <w:rStyle w:val="Hyperlink"/>
            <w:rFonts w:ascii="Times New Roman" w:eastAsia="Times New Roman" w:hAnsi="Times New Roman" w:cs="Times New Roman"/>
            <w:bCs/>
            <w:color w:val="auto"/>
            <w:sz w:val="24"/>
            <w:szCs w:val="24"/>
          </w:rPr>
          <w:t>https://doi.org/10.1108/JARHE-02-2020-0045</w:t>
        </w:r>
      </w:hyperlink>
    </w:p>
    <w:p w14:paraId="6BA16F6A" w14:textId="5B5B5513"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Bond, M., Buntins, K., Bedenlier, S., Zawacki-Richter, O., &amp; Kerres, M. (2020). Mapping research in student engagement and educational technology in higher education: A systematic evidence map. </w:t>
      </w:r>
      <w:r w:rsidRPr="0032506F">
        <w:rPr>
          <w:rFonts w:ascii="Times New Roman" w:eastAsia="Times New Roman" w:hAnsi="Times New Roman" w:cs="Times New Roman"/>
          <w:bCs/>
          <w:i/>
          <w:iCs/>
          <w:sz w:val="24"/>
          <w:szCs w:val="24"/>
        </w:rPr>
        <w:t>International Journal of Educational Technology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17</w:t>
      </w:r>
      <w:r w:rsidRPr="0032506F">
        <w:rPr>
          <w:rFonts w:ascii="Times New Roman" w:eastAsia="Times New Roman" w:hAnsi="Times New Roman" w:cs="Times New Roman"/>
          <w:bCs/>
          <w:sz w:val="24"/>
          <w:szCs w:val="24"/>
        </w:rPr>
        <w:t xml:space="preserve">(1), 2. </w:t>
      </w:r>
      <w:hyperlink r:id="rId29" w:history="1">
        <w:r w:rsidRPr="0032506F">
          <w:rPr>
            <w:rStyle w:val="Hyperlink"/>
            <w:rFonts w:ascii="Times New Roman" w:eastAsia="Times New Roman" w:hAnsi="Times New Roman" w:cs="Times New Roman"/>
            <w:bCs/>
            <w:color w:val="auto"/>
            <w:sz w:val="24"/>
            <w:szCs w:val="24"/>
          </w:rPr>
          <w:t>https://doi.org/10.1186/s41239-019-0176-8</w:t>
        </w:r>
      </w:hyperlink>
    </w:p>
    <w:p w14:paraId="3B08B0F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Bonny, A. E., Britto, M. T., Klostermann, B. K., Hornung, R. W., &amp; Slap, G. B. (2000). School disconnectedness: Identifying adolescents at risk. </w:t>
      </w:r>
      <w:r w:rsidRPr="0032506F">
        <w:rPr>
          <w:rFonts w:ascii="Times New Roman" w:eastAsia="Times New Roman" w:hAnsi="Times New Roman" w:cs="Times New Roman"/>
          <w:bCs/>
          <w:i/>
          <w:iCs/>
          <w:sz w:val="24"/>
          <w:szCs w:val="24"/>
        </w:rPr>
        <w:t>Pediatrics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106</w:t>
      </w:r>
      <w:r w:rsidRPr="0032506F">
        <w:rPr>
          <w:rFonts w:ascii="Times New Roman" w:eastAsia="Times New Roman" w:hAnsi="Times New Roman" w:cs="Times New Roman"/>
          <w:bCs/>
          <w:sz w:val="24"/>
          <w:szCs w:val="24"/>
        </w:rPr>
        <w:t xml:space="preserve">(5), 1017–1021. </w:t>
      </w:r>
      <w:hyperlink r:id="rId30" w:history="1">
        <w:r w:rsidRPr="0032506F">
          <w:rPr>
            <w:rStyle w:val="Hyperlink"/>
            <w:rFonts w:ascii="Times New Roman" w:eastAsia="Times New Roman" w:hAnsi="Times New Roman" w:cs="Times New Roman"/>
            <w:bCs/>
            <w:color w:val="auto"/>
            <w:sz w:val="24"/>
            <w:szCs w:val="24"/>
          </w:rPr>
          <w:t>https://doi.org/10.1542/peds.106.5.1017</w:t>
        </w:r>
      </w:hyperlink>
    </w:p>
    <w:p w14:paraId="6B89DAB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Borup, J., Graham, C. R., &amp; Velasquez, A. (2011). The use of asynchronous video communication to improve instructor immediacy and social presence in a blended learning environment. In A. Kitchenham (Ed.), </w:t>
      </w:r>
      <w:r w:rsidRPr="0032506F">
        <w:rPr>
          <w:rFonts w:ascii="Times New Roman" w:eastAsia="Times New Roman" w:hAnsi="Times New Roman" w:cs="Times New Roman"/>
          <w:bCs/>
          <w:i/>
          <w:iCs/>
          <w:sz w:val="24"/>
          <w:szCs w:val="24"/>
        </w:rPr>
        <w:t>Blended learning across disciplines: Models for implementation</w:t>
      </w:r>
      <w:r w:rsidRPr="0032506F">
        <w:rPr>
          <w:rFonts w:ascii="Times New Roman" w:eastAsia="Times New Roman" w:hAnsi="Times New Roman" w:cs="Times New Roman"/>
          <w:bCs/>
          <w:sz w:val="24"/>
          <w:szCs w:val="24"/>
        </w:rPr>
        <w:t xml:space="preserve"> (pp. 38–57). IGI Global.</w:t>
      </w:r>
    </w:p>
    <w:p w14:paraId="2299A9F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Borup, J., West, R. E., &amp; Graham, C. R. (2012). Improving online social presence through asynchronous video. </w:t>
      </w:r>
      <w:r w:rsidRPr="0032506F">
        <w:rPr>
          <w:rFonts w:ascii="Times New Roman" w:eastAsia="Times New Roman" w:hAnsi="Times New Roman" w:cs="Times New Roman"/>
          <w:bCs/>
          <w:i/>
          <w:iCs/>
          <w:sz w:val="24"/>
          <w:szCs w:val="24"/>
        </w:rPr>
        <w:t>Emotions in Online Learning Environments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w:t>
      </w:r>
      <w:r w:rsidRPr="0032506F">
        <w:rPr>
          <w:rFonts w:ascii="Times New Roman" w:eastAsia="Times New Roman" w:hAnsi="Times New Roman" w:cs="Times New Roman"/>
          <w:bCs/>
          <w:sz w:val="24"/>
          <w:szCs w:val="24"/>
        </w:rPr>
        <w:t xml:space="preserve">(3), 195–203. </w:t>
      </w:r>
      <w:hyperlink r:id="rId31" w:history="1">
        <w:r w:rsidRPr="0032506F">
          <w:rPr>
            <w:rStyle w:val="Hyperlink"/>
            <w:rFonts w:ascii="Times New Roman" w:eastAsia="Times New Roman" w:hAnsi="Times New Roman" w:cs="Times New Roman"/>
            <w:bCs/>
            <w:color w:val="auto"/>
            <w:sz w:val="24"/>
            <w:szCs w:val="24"/>
          </w:rPr>
          <w:t>https://doi.org/10.1016/j.iheduc.2011.11.001</w:t>
        </w:r>
      </w:hyperlink>
    </w:p>
    <w:p w14:paraId="3DDD81E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Boston, W. E., &amp; Ice, P. (2011). Assessing retention in online learning: An administrative perspective. </w:t>
      </w:r>
      <w:r w:rsidRPr="0032506F">
        <w:rPr>
          <w:rFonts w:ascii="Times New Roman" w:eastAsia="Times New Roman" w:hAnsi="Times New Roman" w:cs="Times New Roman"/>
          <w:bCs/>
          <w:i/>
          <w:iCs/>
          <w:sz w:val="24"/>
          <w:szCs w:val="24"/>
        </w:rPr>
        <w:t>Online Journal of Distance Learning Administration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14</w:t>
      </w:r>
      <w:r w:rsidRPr="0032506F">
        <w:rPr>
          <w:rFonts w:ascii="Times New Roman" w:eastAsia="Times New Roman" w:hAnsi="Times New Roman" w:cs="Times New Roman"/>
          <w:bCs/>
          <w:sz w:val="24"/>
          <w:szCs w:val="24"/>
        </w:rPr>
        <w:t xml:space="preserve">(2). </w:t>
      </w:r>
      <w:hyperlink r:id="rId32" w:history="1">
        <w:r w:rsidRPr="0032506F">
          <w:rPr>
            <w:rStyle w:val="Hyperlink"/>
            <w:rFonts w:ascii="Times New Roman" w:eastAsia="Times New Roman" w:hAnsi="Times New Roman" w:cs="Times New Roman"/>
            <w:bCs/>
            <w:color w:val="auto"/>
            <w:sz w:val="24"/>
            <w:szCs w:val="24"/>
          </w:rPr>
          <w:t>https://www.westga.edu/~distance/ojdla/summer142/boston_ice142.html</w:t>
        </w:r>
      </w:hyperlink>
    </w:p>
    <w:p w14:paraId="6F1300FF" w14:textId="5B6E5824" w:rsidR="006B3259" w:rsidRPr="0032506F" w:rsidRDefault="006B3259" w:rsidP="00235786">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Brault-Labbe, A., &amp; Dube, L. (2010). Engagement scolaire, bien-être personnel et autodétermination chez des étudiants à l’université. </w:t>
      </w:r>
      <w:r w:rsidRPr="0032506F">
        <w:rPr>
          <w:rFonts w:ascii="Times New Roman" w:eastAsia="Times New Roman" w:hAnsi="Times New Roman" w:cs="Times New Roman"/>
          <w:bCs/>
          <w:i/>
          <w:iCs/>
          <w:sz w:val="24"/>
          <w:szCs w:val="24"/>
        </w:rPr>
        <w:t>Canadian Journal of Behavioural Science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42</w:t>
      </w:r>
      <w:r w:rsidRPr="0032506F">
        <w:rPr>
          <w:rFonts w:ascii="Times New Roman" w:eastAsia="Times New Roman" w:hAnsi="Times New Roman" w:cs="Times New Roman"/>
          <w:bCs/>
          <w:sz w:val="24"/>
          <w:szCs w:val="24"/>
        </w:rPr>
        <w:t>(2), 80–92.</w:t>
      </w:r>
    </w:p>
    <w:p w14:paraId="471A263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Browne, M. W., &amp; Cudeck, R. (1992). Alternative ways of assessing model fit. </w:t>
      </w:r>
      <w:r w:rsidRPr="0032506F">
        <w:rPr>
          <w:rFonts w:ascii="Times New Roman" w:eastAsia="Times New Roman" w:hAnsi="Times New Roman" w:cs="Times New Roman"/>
          <w:bCs/>
          <w:i/>
          <w:iCs/>
          <w:sz w:val="24"/>
          <w:szCs w:val="24"/>
        </w:rPr>
        <w:t>Sociological Methods &amp;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(2), 230–258.</w:t>
      </w:r>
      <w:hyperlink r:id="rId33" w:history="1">
        <w:r w:rsidRPr="0032506F">
          <w:rPr>
            <w:rStyle w:val="Hyperlink"/>
            <w:rFonts w:ascii="Times New Roman" w:eastAsia="Times New Roman" w:hAnsi="Times New Roman" w:cs="Times New Roman"/>
            <w:bCs/>
            <w:color w:val="auto"/>
            <w:sz w:val="24"/>
            <w:szCs w:val="24"/>
          </w:rPr>
          <w:t xml:space="preserve"> https://doi.org/10.1177/0049124192021002005</w:t>
        </w:r>
      </w:hyperlink>
    </w:p>
    <w:p w14:paraId="727881A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Buelow, J. R., Barry, T., &amp; Rich, L. E. (2018). Supporting learning engagement with online students.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22</w:t>
      </w:r>
      <w:r w:rsidRPr="0032506F">
        <w:rPr>
          <w:rFonts w:ascii="Times New Roman" w:eastAsia="Times New Roman" w:hAnsi="Times New Roman" w:cs="Times New Roman"/>
          <w:bCs/>
          <w:sz w:val="24"/>
          <w:szCs w:val="24"/>
        </w:rPr>
        <w:t xml:space="preserve">(4), 313–340. </w:t>
      </w:r>
      <w:hyperlink r:id="rId34" w:history="1">
        <w:r w:rsidRPr="0032506F">
          <w:rPr>
            <w:rStyle w:val="Hyperlink"/>
            <w:rFonts w:ascii="Times New Roman" w:eastAsia="Times New Roman" w:hAnsi="Times New Roman" w:cs="Times New Roman"/>
            <w:bCs/>
            <w:color w:val="auto"/>
            <w:sz w:val="24"/>
            <w:szCs w:val="24"/>
          </w:rPr>
          <w:t>https://doi.org/10.24059/olj.v22i4.1384</w:t>
        </w:r>
      </w:hyperlink>
    </w:p>
    <w:p w14:paraId="6BC92CA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Byrne, B. M. (2005). Factor analytic models: Viewing the structure of an assessment instrument from three perspectives. </w:t>
      </w:r>
      <w:r w:rsidRPr="0032506F">
        <w:rPr>
          <w:rFonts w:ascii="Times New Roman" w:eastAsia="Times New Roman" w:hAnsi="Times New Roman" w:cs="Times New Roman"/>
          <w:bCs/>
          <w:i/>
          <w:iCs/>
          <w:sz w:val="24"/>
          <w:szCs w:val="24"/>
        </w:rPr>
        <w:t>Journal of Personality Assessment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85</w:t>
      </w:r>
      <w:r w:rsidRPr="0032506F">
        <w:rPr>
          <w:rFonts w:ascii="Times New Roman" w:eastAsia="Times New Roman" w:hAnsi="Times New Roman" w:cs="Times New Roman"/>
          <w:bCs/>
          <w:sz w:val="24"/>
          <w:szCs w:val="24"/>
        </w:rPr>
        <w:t xml:space="preserve">(1), 17–32. </w:t>
      </w:r>
      <w:hyperlink r:id="rId35" w:history="1">
        <w:r w:rsidRPr="0032506F">
          <w:rPr>
            <w:rStyle w:val="Hyperlink"/>
            <w:rFonts w:ascii="Times New Roman" w:eastAsia="Times New Roman" w:hAnsi="Times New Roman" w:cs="Times New Roman"/>
            <w:bCs/>
            <w:color w:val="auto"/>
            <w:sz w:val="24"/>
            <w:szCs w:val="24"/>
          </w:rPr>
          <w:t>https://doi.org/10.1207/s15327752jpa8501_02</w:t>
        </w:r>
      </w:hyperlink>
    </w:p>
    <w:p w14:paraId="7F7B693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Byrne, B. M. (2010). </w:t>
      </w:r>
      <w:r w:rsidRPr="0032506F">
        <w:rPr>
          <w:rFonts w:ascii="Times New Roman" w:eastAsia="Times New Roman" w:hAnsi="Times New Roman" w:cs="Times New Roman"/>
          <w:bCs/>
          <w:i/>
          <w:iCs/>
          <w:sz w:val="24"/>
          <w:szCs w:val="24"/>
        </w:rPr>
        <w:t>Structural equation modeling with AMOS: Basic concepts, applications, and programming</w:t>
      </w:r>
      <w:r w:rsidRPr="0032506F">
        <w:rPr>
          <w:rFonts w:ascii="Times New Roman" w:eastAsia="Times New Roman" w:hAnsi="Times New Roman" w:cs="Times New Roman"/>
          <w:bCs/>
          <w:sz w:val="24"/>
          <w:szCs w:val="24"/>
        </w:rPr>
        <w:t xml:space="preserve"> (2</w:t>
      </w:r>
      <w:r w:rsidRPr="0032506F">
        <w:rPr>
          <w:rFonts w:ascii="Times New Roman" w:eastAsia="Times New Roman" w:hAnsi="Times New Roman" w:cs="Times New Roman"/>
          <w:bCs/>
          <w:sz w:val="24"/>
          <w:szCs w:val="24"/>
          <w:vertAlign w:val="superscript"/>
        </w:rPr>
        <w:t>nd</w:t>
      </w:r>
      <w:r w:rsidRPr="0032506F">
        <w:rPr>
          <w:rFonts w:ascii="Times New Roman" w:eastAsia="Times New Roman" w:hAnsi="Times New Roman" w:cs="Times New Roman"/>
          <w:bCs/>
          <w:sz w:val="24"/>
          <w:szCs w:val="24"/>
        </w:rPr>
        <w:t xml:space="preserve"> ed.). Routledge.</w:t>
      </w:r>
    </w:p>
    <w:p w14:paraId="472A63A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Byrne, B. M. (2016). </w:t>
      </w:r>
      <w:r w:rsidRPr="0032506F">
        <w:rPr>
          <w:rFonts w:ascii="Times New Roman" w:eastAsia="Times New Roman" w:hAnsi="Times New Roman" w:cs="Times New Roman"/>
          <w:bCs/>
          <w:i/>
          <w:iCs/>
          <w:sz w:val="24"/>
          <w:szCs w:val="24"/>
        </w:rPr>
        <w:t>Structural equation modeling with AMOS : Basic concepts, applications, and programming</w:t>
      </w:r>
      <w:r w:rsidRPr="0032506F">
        <w:rPr>
          <w:rFonts w:ascii="Times New Roman" w:eastAsia="Times New Roman" w:hAnsi="Times New Roman" w:cs="Times New Roman"/>
          <w:bCs/>
          <w:sz w:val="24"/>
          <w:szCs w:val="24"/>
        </w:rPr>
        <w:t xml:space="preserve"> (3rd ed.). Routledge.</w:t>
      </w:r>
    </w:p>
    <w:p w14:paraId="01B366E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Campbell, D. T., &amp; Fiske, D. W. (1959). Convergent and discriminant validation by the multitrait-multimethod matrix. </w:t>
      </w:r>
      <w:r w:rsidRPr="0032506F">
        <w:rPr>
          <w:rFonts w:ascii="Times New Roman" w:eastAsia="Times New Roman" w:hAnsi="Times New Roman" w:cs="Times New Roman"/>
          <w:bCs/>
          <w:i/>
          <w:iCs/>
          <w:sz w:val="24"/>
          <w:szCs w:val="24"/>
        </w:rPr>
        <w:t>Psychological Bulletin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56</w:t>
      </w:r>
      <w:r w:rsidRPr="0032506F">
        <w:rPr>
          <w:rFonts w:ascii="Times New Roman" w:eastAsia="Times New Roman" w:hAnsi="Times New Roman" w:cs="Times New Roman"/>
          <w:bCs/>
          <w:sz w:val="24"/>
          <w:szCs w:val="24"/>
        </w:rPr>
        <w:t>(2), 81–105.</w:t>
      </w:r>
    </w:p>
    <w:p w14:paraId="4F13F9A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Caskurlu, S. (2018). Confirming the subdimensions of teaching, social, and cognitive presences: A construct validity study. </w:t>
      </w:r>
      <w:r w:rsidRPr="0032506F">
        <w:rPr>
          <w:rFonts w:ascii="Times New Roman" w:eastAsia="Times New Roman" w:hAnsi="Times New Roman" w:cs="Times New Roman"/>
          <w:bCs/>
          <w:i/>
          <w:iCs/>
          <w:sz w:val="24"/>
          <w:szCs w:val="24"/>
        </w:rPr>
        <w:t>The 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39</w:t>
      </w:r>
      <w:r w:rsidRPr="0032506F">
        <w:rPr>
          <w:rFonts w:ascii="Times New Roman" w:eastAsia="Times New Roman" w:hAnsi="Times New Roman" w:cs="Times New Roman"/>
          <w:bCs/>
          <w:sz w:val="24"/>
          <w:szCs w:val="24"/>
        </w:rPr>
        <w:t xml:space="preserve">, 1–12. </w:t>
      </w:r>
      <w:hyperlink r:id="rId36" w:history="1">
        <w:r w:rsidRPr="0032506F">
          <w:rPr>
            <w:rStyle w:val="Hyperlink"/>
            <w:rFonts w:ascii="Times New Roman" w:eastAsia="Times New Roman" w:hAnsi="Times New Roman" w:cs="Times New Roman"/>
            <w:bCs/>
            <w:color w:val="auto"/>
            <w:sz w:val="24"/>
            <w:szCs w:val="24"/>
          </w:rPr>
          <w:t>https://doi.org/10.1016/j.iheduc.2018.05.002</w:t>
        </w:r>
      </w:hyperlink>
    </w:p>
    <w:p w14:paraId="562D403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Caskurlu, S., Richardson, J. C., Maeda, Y., &amp; Kozan, K. (2021). The qualitative evidence behind the factors impacting online learning experiences as informed by the community of inquiry framework: A thematic synthesis.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165</w:t>
      </w:r>
      <w:r w:rsidRPr="0032506F">
        <w:rPr>
          <w:rFonts w:ascii="Times New Roman" w:eastAsia="Times New Roman" w:hAnsi="Times New Roman" w:cs="Times New Roman"/>
          <w:bCs/>
          <w:sz w:val="24"/>
          <w:szCs w:val="24"/>
        </w:rPr>
        <w:t xml:space="preserve">, 104111. </w:t>
      </w:r>
      <w:hyperlink r:id="rId37" w:history="1">
        <w:r w:rsidRPr="0032506F">
          <w:rPr>
            <w:rStyle w:val="Hyperlink"/>
            <w:rFonts w:ascii="Times New Roman" w:eastAsia="Times New Roman" w:hAnsi="Times New Roman" w:cs="Times New Roman"/>
            <w:bCs/>
            <w:color w:val="auto"/>
            <w:sz w:val="24"/>
            <w:szCs w:val="24"/>
          </w:rPr>
          <w:t>https://doi.org/10.1016/j.compedu.2020.104111</w:t>
        </w:r>
      </w:hyperlink>
    </w:p>
    <w:p w14:paraId="578A1FE9" w14:textId="614B4243"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Cerezo, R., Sánchez-Santillán, M., Paule-Ruiz, M. P., &amp; Núñez, J. C. (2016). Students’ LMS interaction patterns and their relationship with achievement: A case study in higher education.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96</w:t>
      </w:r>
      <w:r w:rsidRPr="0032506F">
        <w:rPr>
          <w:rFonts w:ascii="Times New Roman" w:eastAsia="Times New Roman" w:hAnsi="Times New Roman" w:cs="Times New Roman"/>
          <w:bCs/>
          <w:sz w:val="24"/>
          <w:szCs w:val="24"/>
        </w:rPr>
        <w:t xml:space="preserve">, 42–54. </w:t>
      </w:r>
      <w:hyperlink r:id="rId38" w:history="1">
        <w:r w:rsidRPr="0032506F">
          <w:rPr>
            <w:rStyle w:val="Hyperlink"/>
            <w:rFonts w:ascii="Times New Roman" w:eastAsia="Times New Roman" w:hAnsi="Times New Roman" w:cs="Times New Roman"/>
            <w:bCs/>
            <w:color w:val="auto"/>
            <w:sz w:val="24"/>
            <w:szCs w:val="24"/>
          </w:rPr>
          <w:t>https://doi.org/10.1016/j.compedu.2016.02.006</w:t>
        </w:r>
      </w:hyperlink>
    </w:p>
    <w:p w14:paraId="7117920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Chen, P.-S. D., Lambert, A. D., &amp; Guidry, K. R. (2010). Engaging online learners: The impact of web-based learning technology on college student engagement.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54</w:t>
      </w:r>
      <w:r w:rsidRPr="0032506F">
        <w:rPr>
          <w:rFonts w:ascii="Times New Roman" w:eastAsia="Times New Roman" w:hAnsi="Times New Roman" w:cs="Times New Roman"/>
          <w:bCs/>
          <w:sz w:val="24"/>
          <w:szCs w:val="24"/>
        </w:rPr>
        <w:t xml:space="preserve">(4), 1222–1232. </w:t>
      </w:r>
      <w:hyperlink r:id="rId39" w:history="1">
        <w:r w:rsidRPr="0032506F">
          <w:rPr>
            <w:rStyle w:val="Hyperlink"/>
            <w:rFonts w:ascii="Times New Roman" w:eastAsia="Times New Roman" w:hAnsi="Times New Roman" w:cs="Times New Roman"/>
            <w:bCs/>
            <w:color w:val="auto"/>
            <w:sz w:val="24"/>
            <w:szCs w:val="24"/>
          </w:rPr>
          <w:t>https://doi.org/10.1016/j.compedu.2009.11.008</w:t>
        </w:r>
      </w:hyperlink>
    </w:p>
    <w:p w14:paraId="4762E70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Cheng, C. K., Paré, D. E., Collimore, L.-M., &amp; Joordens, S. (2011). Assessing the effectiveness of a voluntary online discussion forum on improving students’ course performance.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56</w:t>
      </w:r>
      <w:r w:rsidRPr="0032506F">
        <w:rPr>
          <w:rFonts w:ascii="Times New Roman" w:eastAsia="Times New Roman" w:hAnsi="Times New Roman" w:cs="Times New Roman"/>
          <w:bCs/>
          <w:sz w:val="24"/>
          <w:szCs w:val="24"/>
        </w:rPr>
        <w:t xml:space="preserve">(1), 253–261. </w:t>
      </w:r>
      <w:hyperlink r:id="rId40" w:history="1">
        <w:r w:rsidRPr="0032506F">
          <w:rPr>
            <w:rStyle w:val="Hyperlink"/>
            <w:rFonts w:ascii="Times New Roman" w:eastAsia="Times New Roman" w:hAnsi="Times New Roman" w:cs="Times New Roman"/>
            <w:bCs/>
            <w:color w:val="auto"/>
            <w:sz w:val="24"/>
            <w:szCs w:val="24"/>
          </w:rPr>
          <w:t>https://doi.org/10.1016/j.compedu.2010.07.024</w:t>
        </w:r>
      </w:hyperlink>
    </w:p>
    <w:p w14:paraId="63E0D9D9" w14:textId="77777777" w:rsidR="00261BC1" w:rsidRPr="0032506F" w:rsidRDefault="00261BC1" w:rsidP="00261BC1">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Chin, C.-L., &amp; Yao, G. (2014). Convergent validity. In A. C. Michalos (Ed.), </w:t>
      </w:r>
      <w:r w:rsidRPr="0032506F">
        <w:rPr>
          <w:rFonts w:ascii="Times New Roman" w:eastAsia="Times New Roman" w:hAnsi="Times New Roman" w:cs="Times New Roman"/>
          <w:bCs/>
          <w:i/>
          <w:iCs/>
          <w:sz w:val="24"/>
          <w:szCs w:val="24"/>
        </w:rPr>
        <w:t>Encyclopedia of Quality of Life and Well-Being Research</w:t>
      </w:r>
      <w:r w:rsidRPr="0032506F">
        <w:rPr>
          <w:rFonts w:ascii="Times New Roman" w:eastAsia="Times New Roman" w:hAnsi="Times New Roman" w:cs="Times New Roman"/>
          <w:bCs/>
          <w:sz w:val="24"/>
          <w:szCs w:val="24"/>
        </w:rPr>
        <w:t xml:space="preserve"> (pp. 1275–1276). Springer Netherlands. </w:t>
      </w:r>
      <w:hyperlink r:id="rId41" w:history="1">
        <w:r w:rsidRPr="0032506F">
          <w:rPr>
            <w:rStyle w:val="Hyperlink"/>
            <w:rFonts w:ascii="Times New Roman" w:eastAsia="Times New Roman" w:hAnsi="Times New Roman" w:cs="Times New Roman"/>
            <w:bCs/>
            <w:color w:val="auto"/>
            <w:sz w:val="24"/>
            <w:szCs w:val="24"/>
          </w:rPr>
          <w:t>https://doi.org/10.1007/978-94-007-0753-5_573</w:t>
        </w:r>
      </w:hyperlink>
    </w:p>
    <w:p w14:paraId="19ADE733" w14:textId="450DF63C"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Christenson, S. L., Reschly, A. L., &amp; Wylie, C. (Eds.). (2012).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Springer.</w:t>
      </w:r>
    </w:p>
    <w:p w14:paraId="7B99C384" w14:textId="77777777" w:rsidR="00E77E6B" w:rsidRPr="0032506F" w:rsidRDefault="00E77E6B" w:rsidP="00E77E6B">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Cintron, D.W., &amp; Hagan, E. (2021). </w:t>
      </w:r>
      <w:r w:rsidRPr="0032506F">
        <w:rPr>
          <w:rFonts w:ascii="Times New Roman" w:eastAsia="Times New Roman" w:hAnsi="Times New Roman" w:cs="Times New Roman"/>
          <w:bCs/>
          <w:i/>
          <w:iCs/>
          <w:sz w:val="24"/>
          <w:szCs w:val="24"/>
        </w:rPr>
        <w:t>Diversity, equity, and inclusion validity arguments</w:t>
      </w:r>
      <w:r w:rsidRPr="0032506F">
        <w:rPr>
          <w:rFonts w:ascii="Times New Roman" w:eastAsia="Times New Roman" w:hAnsi="Times New Roman" w:cs="Times New Roman"/>
          <w:bCs/>
          <w:sz w:val="24"/>
          <w:szCs w:val="24"/>
        </w:rPr>
        <w:t> [White paper]. Robert Wood Johnson Foundation, University of California, San Francisco.</w:t>
      </w:r>
      <w:r w:rsidRPr="00186188">
        <w:rPr>
          <w:rFonts w:ascii="Times New Roman" w:eastAsia="Times New Roman" w:hAnsi="Times New Roman" w:cs="Times New Roman"/>
          <w:bCs/>
          <w:sz w:val="24"/>
          <w:szCs w:val="24"/>
        </w:rPr>
        <w:t> </w:t>
      </w:r>
      <w:hyperlink r:id="rId42" w:history="1">
        <w:r w:rsidRPr="00186188">
          <w:rPr>
            <w:rStyle w:val="Hyperlink"/>
            <w:rFonts w:ascii="Times New Roman" w:eastAsia="Times New Roman" w:hAnsi="Times New Roman" w:cs="Times New Roman"/>
            <w:bCs/>
            <w:color w:val="auto"/>
            <w:sz w:val="24"/>
            <w:szCs w:val="24"/>
          </w:rPr>
          <w:t>https://tinyurl.com/4ak7v5xb</w:t>
        </w:r>
      </w:hyperlink>
    </w:p>
    <w:p w14:paraId="53AE65F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Cleary, T. J., &amp; Zimmerman, B. J. (2012). A cyclical self-regulatory account of student engagement: Theoretical foundations and applications. In S. L. Christenson, A. L. Reschly, &amp; C. Wylie (Eds.),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xml:space="preserve"> (pp. 237–258). Springer.</w:t>
      </w:r>
    </w:p>
    <w:p w14:paraId="31DCF09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Coates, H. (2005). The value of student engagement for higher education quality assurance. </w:t>
      </w:r>
      <w:r w:rsidRPr="0032506F">
        <w:rPr>
          <w:rFonts w:ascii="Times New Roman" w:eastAsia="Times New Roman" w:hAnsi="Times New Roman" w:cs="Times New Roman"/>
          <w:bCs/>
          <w:i/>
          <w:iCs/>
          <w:sz w:val="24"/>
          <w:szCs w:val="24"/>
        </w:rPr>
        <w:t>Quality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w:t>
      </w:r>
      <w:r w:rsidRPr="0032506F">
        <w:rPr>
          <w:rFonts w:ascii="Times New Roman" w:eastAsia="Times New Roman" w:hAnsi="Times New Roman" w:cs="Times New Roman"/>
          <w:bCs/>
          <w:sz w:val="24"/>
          <w:szCs w:val="24"/>
        </w:rPr>
        <w:t xml:space="preserve">(1), 25–36. </w:t>
      </w:r>
      <w:hyperlink r:id="rId43" w:history="1">
        <w:r w:rsidRPr="0032506F">
          <w:rPr>
            <w:rStyle w:val="Hyperlink"/>
            <w:rFonts w:ascii="Times New Roman" w:eastAsia="Times New Roman" w:hAnsi="Times New Roman" w:cs="Times New Roman"/>
            <w:bCs/>
            <w:color w:val="auto"/>
            <w:sz w:val="24"/>
            <w:szCs w:val="24"/>
          </w:rPr>
          <w:t>https://doi.org/10.1080/13538320500074915</w:t>
        </w:r>
      </w:hyperlink>
    </w:p>
    <w:p w14:paraId="1D6AF81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Coates, H. (2007). A model of online and general campus-based student engagement. </w:t>
      </w:r>
      <w:r w:rsidRPr="0032506F">
        <w:rPr>
          <w:rFonts w:ascii="Times New Roman" w:eastAsia="Times New Roman" w:hAnsi="Times New Roman" w:cs="Times New Roman"/>
          <w:bCs/>
          <w:i/>
          <w:iCs/>
          <w:sz w:val="24"/>
          <w:szCs w:val="24"/>
        </w:rPr>
        <w:t>Assessment &amp; Evaluation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32</w:t>
      </w:r>
      <w:r w:rsidRPr="0032506F">
        <w:rPr>
          <w:rFonts w:ascii="Times New Roman" w:eastAsia="Times New Roman" w:hAnsi="Times New Roman" w:cs="Times New Roman"/>
          <w:bCs/>
          <w:sz w:val="24"/>
          <w:szCs w:val="24"/>
        </w:rPr>
        <w:t xml:space="preserve">(2), 121–141. </w:t>
      </w:r>
      <w:hyperlink r:id="rId44" w:history="1">
        <w:r w:rsidRPr="0032506F">
          <w:rPr>
            <w:rStyle w:val="Hyperlink"/>
            <w:rFonts w:ascii="Times New Roman" w:eastAsia="Times New Roman" w:hAnsi="Times New Roman" w:cs="Times New Roman"/>
            <w:bCs/>
            <w:color w:val="auto"/>
            <w:sz w:val="24"/>
            <w:szCs w:val="24"/>
          </w:rPr>
          <w:t>https://doi.org/10.1080/02602930600801878</w:t>
        </w:r>
      </w:hyperlink>
    </w:p>
    <w:p w14:paraId="6B3338E0" w14:textId="788E50EF"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Connell, J. P., &amp; Wellborn, J. G. (1991). </w:t>
      </w:r>
      <w:r w:rsidRPr="0032506F">
        <w:rPr>
          <w:rFonts w:ascii="Times New Roman" w:eastAsia="Times New Roman" w:hAnsi="Times New Roman" w:cs="Times New Roman"/>
          <w:bCs/>
          <w:i/>
          <w:iCs/>
          <w:sz w:val="24"/>
          <w:szCs w:val="24"/>
        </w:rPr>
        <w:t>Competence, autonomy, and relatedness: A motivational analysis of self-system processes.</w:t>
      </w:r>
      <w:r w:rsidRPr="0032506F">
        <w:rPr>
          <w:rFonts w:ascii="Times New Roman" w:eastAsia="Times New Roman" w:hAnsi="Times New Roman" w:cs="Times New Roman"/>
          <w:bCs/>
          <w:sz w:val="24"/>
          <w:szCs w:val="24"/>
        </w:rPr>
        <w:t> In M. R. Gunnar &amp; L. A. Sroufe (Eds.), </w:t>
      </w:r>
      <w:r w:rsidRPr="0032506F">
        <w:rPr>
          <w:rFonts w:ascii="Times New Roman" w:eastAsia="Times New Roman" w:hAnsi="Times New Roman" w:cs="Times New Roman"/>
          <w:bCs/>
          <w:i/>
          <w:iCs/>
          <w:sz w:val="24"/>
          <w:szCs w:val="24"/>
        </w:rPr>
        <w:t>The Minnesota symposia on child psychology, Vol. 23. Self processes and development</w:t>
      </w:r>
      <w:r w:rsidRPr="0032506F">
        <w:rPr>
          <w:rFonts w:ascii="Times New Roman" w:eastAsia="Times New Roman" w:hAnsi="Times New Roman" w:cs="Times New Roman"/>
          <w:bCs/>
          <w:sz w:val="24"/>
          <w:szCs w:val="24"/>
        </w:rPr>
        <w:t> (p. 43–77). Lawrence Erlbaum Associates, Inc.</w:t>
      </w:r>
    </w:p>
    <w:p w14:paraId="2A7C112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Corno, L., &amp; Mandinach, E. B. (1983). The role of cognitive engagement in classroom learning and motivation.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18</w:t>
      </w:r>
      <w:r w:rsidRPr="0032506F">
        <w:rPr>
          <w:rFonts w:ascii="Times New Roman" w:eastAsia="Times New Roman" w:hAnsi="Times New Roman" w:cs="Times New Roman"/>
          <w:bCs/>
          <w:sz w:val="24"/>
          <w:szCs w:val="24"/>
        </w:rPr>
        <w:t xml:space="preserve">(2), 88–108. </w:t>
      </w:r>
      <w:hyperlink r:id="rId45" w:history="1">
        <w:r w:rsidRPr="0032506F">
          <w:rPr>
            <w:rStyle w:val="Hyperlink"/>
            <w:rFonts w:ascii="Times New Roman" w:eastAsia="Times New Roman" w:hAnsi="Times New Roman" w:cs="Times New Roman"/>
            <w:bCs/>
            <w:color w:val="auto"/>
            <w:sz w:val="24"/>
            <w:szCs w:val="24"/>
          </w:rPr>
          <w:t>https://doi.org/10.1080/00461528309529266</w:t>
        </w:r>
      </w:hyperlink>
    </w:p>
    <w:p w14:paraId="7ADE2F2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Credé, M., &amp; Phillips, L. A. (2011). A meta-analytic review of the motivated strategies for learning questionnaire. </w:t>
      </w:r>
      <w:r w:rsidRPr="0032506F">
        <w:rPr>
          <w:rFonts w:ascii="Times New Roman" w:eastAsia="Times New Roman" w:hAnsi="Times New Roman" w:cs="Times New Roman"/>
          <w:bCs/>
          <w:i/>
          <w:iCs/>
          <w:sz w:val="24"/>
          <w:szCs w:val="24"/>
        </w:rPr>
        <w:t>Learning and Individual Differences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 xml:space="preserve">(4), 337–346. </w:t>
      </w:r>
      <w:hyperlink r:id="rId46" w:history="1">
        <w:r w:rsidRPr="0032506F">
          <w:rPr>
            <w:rStyle w:val="Hyperlink"/>
            <w:rFonts w:ascii="Times New Roman" w:eastAsia="Times New Roman" w:hAnsi="Times New Roman" w:cs="Times New Roman"/>
            <w:bCs/>
            <w:color w:val="auto"/>
            <w:sz w:val="24"/>
            <w:szCs w:val="24"/>
          </w:rPr>
          <w:t>https://doi.org/10.1016/j.lindif.2011.03.002</w:t>
        </w:r>
      </w:hyperlink>
    </w:p>
    <w:p w14:paraId="7DD99385" w14:textId="19257C11" w:rsidR="006B3259" w:rsidRPr="0032506F" w:rsidRDefault="006B3259" w:rsidP="006B3259">
      <w:pPr>
        <w:spacing w:after="0" w:line="480" w:lineRule="auto"/>
        <w:ind w:left="720" w:hanging="720"/>
        <w:rPr>
          <w:rFonts w:ascii="Times New Roman" w:eastAsia="Times New Roman" w:hAnsi="Times New Roman" w:cs="Times New Roman"/>
          <w:bCs/>
          <w:i/>
          <w:iCs/>
          <w:sz w:val="24"/>
          <w:szCs w:val="24"/>
        </w:rPr>
      </w:pPr>
      <w:bookmarkStart w:id="156" w:name="_Hlk58330527"/>
      <w:r w:rsidRPr="0032506F">
        <w:rPr>
          <w:rFonts w:ascii="Times New Roman" w:eastAsia="Times New Roman" w:hAnsi="Times New Roman" w:cs="Times New Roman"/>
          <w:bCs/>
          <w:sz w:val="24"/>
          <w:szCs w:val="24"/>
        </w:rPr>
        <w:t xml:space="preserve">Creswell, J. W. (2005). </w:t>
      </w:r>
      <w:r w:rsidRPr="0032506F">
        <w:rPr>
          <w:rFonts w:ascii="Times New Roman" w:eastAsia="Times New Roman" w:hAnsi="Times New Roman" w:cs="Times New Roman"/>
          <w:bCs/>
          <w:i/>
          <w:iCs/>
          <w:sz w:val="24"/>
          <w:szCs w:val="24"/>
        </w:rPr>
        <w:t xml:space="preserve">Educational research: Planning, </w:t>
      </w:r>
      <w:proofErr w:type="gramStart"/>
      <w:r w:rsidRPr="0032506F">
        <w:rPr>
          <w:rFonts w:ascii="Times New Roman" w:eastAsia="Times New Roman" w:hAnsi="Times New Roman" w:cs="Times New Roman"/>
          <w:bCs/>
          <w:i/>
          <w:iCs/>
          <w:sz w:val="24"/>
          <w:szCs w:val="24"/>
        </w:rPr>
        <w:t>conducting</w:t>
      </w:r>
      <w:proofErr w:type="gramEnd"/>
      <w:r w:rsidRPr="0032506F">
        <w:rPr>
          <w:rFonts w:ascii="Times New Roman" w:eastAsia="Times New Roman" w:hAnsi="Times New Roman" w:cs="Times New Roman"/>
          <w:bCs/>
          <w:i/>
          <w:iCs/>
          <w:sz w:val="24"/>
          <w:szCs w:val="24"/>
        </w:rPr>
        <w:t xml:space="preserve"> and evaluating</w:t>
      </w:r>
    </w:p>
    <w:p w14:paraId="1EFD42B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i/>
          <w:iCs/>
          <w:sz w:val="24"/>
          <w:szCs w:val="24"/>
        </w:rPr>
        <w:tab/>
        <w:t xml:space="preserve">quantitative and qualitative research </w:t>
      </w:r>
      <w:r w:rsidRPr="0032506F">
        <w:rPr>
          <w:rFonts w:ascii="Times New Roman" w:eastAsia="Times New Roman" w:hAnsi="Times New Roman" w:cs="Times New Roman"/>
          <w:bCs/>
          <w:sz w:val="24"/>
          <w:szCs w:val="24"/>
        </w:rPr>
        <w:t>(2nd ed.). Pearson.</w:t>
      </w:r>
    </w:p>
    <w:p w14:paraId="7B1110B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Creswell, J. W. (2014). </w:t>
      </w:r>
      <w:r w:rsidRPr="0032506F">
        <w:rPr>
          <w:rFonts w:ascii="Times New Roman" w:eastAsia="Times New Roman" w:hAnsi="Times New Roman" w:cs="Times New Roman"/>
          <w:bCs/>
          <w:i/>
          <w:iCs/>
          <w:sz w:val="24"/>
          <w:szCs w:val="24"/>
        </w:rPr>
        <w:t xml:space="preserve">Research design: Qualitative, quantitative, and mixed methods </w:t>
      </w:r>
      <w:proofErr w:type="gramStart"/>
      <w:r w:rsidRPr="0032506F">
        <w:rPr>
          <w:rFonts w:ascii="Times New Roman" w:eastAsia="Times New Roman" w:hAnsi="Times New Roman" w:cs="Times New Roman"/>
          <w:bCs/>
          <w:i/>
          <w:iCs/>
          <w:sz w:val="24"/>
          <w:szCs w:val="24"/>
        </w:rPr>
        <w:t>approaches</w:t>
      </w:r>
      <w:proofErr w:type="gramEnd"/>
      <w:r w:rsidRPr="0032506F">
        <w:rPr>
          <w:rFonts w:ascii="Times New Roman" w:eastAsia="Times New Roman" w:hAnsi="Times New Roman" w:cs="Times New Roman"/>
          <w:bCs/>
          <w:sz w:val="24"/>
          <w:szCs w:val="24"/>
        </w:rPr>
        <w:t xml:space="preserve"> (4th ed.). SAGE Publications.</w:t>
      </w:r>
    </w:p>
    <w:p w14:paraId="361AD2FF" w14:textId="77777777" w:rsidR="006B3259" w:rsidRPr="0032506F" w:rsidRDefault="006B3259" w:rsidP="006B3259">
      <w:pPr>
        <w:spacing w:after="0" w:line="480" w:lineRule="auto"/>
        <w:rPr>
          <w:rFonts w:ascii="Times New Roman" w:eastAsia="Times New Roman" w:hAnsi="Times New Roman" w:cs="Times New Roman"/>
          <w:sz w:val="24"/>
          <w:szCs w:val="24"/>
        </w:rPr>
      </w:pPr>
      <w:bookmarkStart w:id="157" w:name="_Hlk51855724"/>
      <w:r w:rsidRPr="0032506F">
        <w:rPr>
          <w:rFonts w:ascii="Times New Roman" w:eastAsia="Times New Roman" w:hAnsi="Times New Roman" w:cs="Times New Roman"/>
          <w:sz w:val="24"/>
          <w:szCs w:val="24"/>
        </w:rPr>
        <w:t>Czerkawski, B., &amp; Lyman, E. (2016). An instructional design framework for fostering student</w:t>
      </w:r>
    </w:p>
    <w:p w14:paraId="3E1D5681" w14:textId="77777777" w:rsidR="006B3259" w:rsidRPr="0032506F" w:rsidRDefault="006B3259" w:rsidP="006B3259">
      <w:pPr>
        <w:spacing w:after="0" w:line="480" w:lineRule="auto"/>
        <w:ind w:left="720"/>
        <w:rPr>
          <w:rFonts w:ascii="Times New Roman" w:eastAsia="Times New Roman" w:hAnsi="Times New Roman" w:cs="Times New Roman"/>
          <w:sz w:val="24"/>
          <w:szCs w:val="24"/>
        </w:rPr>
      </w:pPr>
      <w:r w:rsidRPr="0032506F">
        <w:rPr>
          <w:rFonts w:ascii="Times New Roman" w:eastAsia="Times New Roman" w:hAnsi="Times New Roman" w:cs="Times New Roman"/>
          <w:sz w:val="24"/>
          <w:szCs w:val="24"/>
        </w:rPr>
        <w:t xml:space="preserve">engagement in online learning environments. </w:t>
      </w:r>
      <w:r w:rsidRPr="0032506F">
        <w:rPr>
          <w:rFonts w:ascii="Times New Roman" w:eastAsia="Times New Roman" w:hAnsi="Times New Roman" w:cs="Times New Roman"/>
          <w:i/>
          <w:iCs/>
          <w:sz w:val="24"/>
          <w:szCs w:val="24"/>
        </w:rPr>
        <w:t>TechTrends: Linking Research &amp; Practice to Improve Learning</w:t>
      </w:r>
      <w:r w:rsidRPr="0032506F">
        <w:rPr>
          <w:rFonts w:ascii="Times New Roman" w:eastAsia="Times New Roman" w:hAnsi="Times New Roman" w:cs="Times New Roman"/>
          <w:sz w:val="24"/>
          <w:szCs w:val="24"/>
        </w:rPr>
        <w:t xml:space="preserve">, </w:t>
      </w:r>
      <w:r w:rsidRPr="0032506F">
        <w:rPr>
          <w:rFonts w:ascii="Times New Roman" w:eastAsia="Times New Roman" w:hAnsi="Times New Roman" w:cs="Times New Roman"/>
          <w:i/>
          <w:iCs/>
          <w:sz w:val="24"/>
          <w:szCs w:val="24"/>
        </w:rPr>
        <w:t>60</w:t>
      </w:r>
      <w:r w:rsidRPr="0032506F">
        <w:rPr>
          <w:rFonts w:ascii="Times New Roman" w:eastAsia="Times New Roman" w:hAnsi="Times New Roman" w:cs="Times New Roman"/>
          <w:sz w:val="24"/>
          <w:szCs w:val="24"/>
        </w:rPr>
        <w:t xml:space="preserve">(6), 532–539. </w:t>
      </w:r>
      <w:hyperlink r:id="rId47" w:history="1">
        <w:r w:rsidRPr="0032506F">
          <w:rPr>
            <w:rStyle w:val="Hyperlink"/>
            <w:rFonts w:ascii="Times New Roman" w:eastAsia="Times New Roman" w:hAnsi="Times New Roman" w:cs="Times New Roman"/>
            <w:color w:val="auto"/>
            <w:sz w:val="24"/>
            <w:szCs w:val="24"/>
          </w:rPr>
          <w:t>https://doi.org/10.1007/s11528-016-0110-z</w:t>
        </w:r>
      </w:hyperlink>
    </w:p>
    <w:p w14:paraId="551EBC7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Daniels, L. M., &amp; Stupnisky, R. H. (2012). Not that different in theory: Discussing the control-value theory of emotions in online learning environments. </w:t>
      </w:r>
      <w:r w:rsidRPr="0032506F">
        <w:rPr>
          <w:rFonts w:ascii="Times New Roman" w:eastAsia="Times New Roman" w:hAnsi="Times New Roman" w:cs="Times New Roman"/>
          <w:bCs/>
          <w:i/>
          <w:iCs/>
          <w:sz w:val="24"/>
          <w:szCs w:val="24"/>
        </w:rPr>
        <w:t>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w:t>
      </w:r>
      <w:r w:rsidRPr="0032506F">
        <w:rPr>
          <w:rFonts w:ascii="Times New Roman" w:eastAsia="Times New Roman" w:hAnsi="Times New Roman" w:cs="Times New Roman"/>
          <w:bCs/>
          <w:sz w:val="24"/>
          <w:szCs w:val="24"/>
        </w:rPr>
        <w:t xml:space="preserve">(3), 222–226. </w:t>
      </w:r>
      <w:hyperlink r:id="rId48" w:history="1">
        <w:r w:rsidRPr="0032506F">
          <w:rPr>
            <w:rStyle w:val="Hyperlink"/>
            <w:rFonts w:ascii="Times New Roman" w:eastAsia="Times New Roman" w:hAnsi="Times New Roman" w:cs="Times New Roman"/>
            <w:bCs/>
            <w:color w:val="auto"/>
            <w:sz w:val="24"/>
            <w:szCs w:val="24"/>
          </w:rPr>
          <w:t>https://doi.org/10.1016/j.iheduc.2012.04.002</w:t>
        </w:r>
      </w:hyperlink>
    </w:p>
    <w:p w14:paraId="40A07715" w14:textId="77777777" w:rsidR="004D2FBE" w:rsidRPr="0032506F" w:rsidRDefault="004D2FBE" w:rsidP="006B3259">
      <w:pPr>
        <w:spacing w:after="0" w:line="480" w:lineRule="auto"/>
        <w:ind w:left="720" w:hanging="720"/>
        <w:rPr>
          <w:rFonts w:ascii="Times New Roman" w:eastAsia="Times New Roman" w:hAnsi="Times New Roman" w:cs="Times New Roman"/>
          <w:bCs/>
          <w:sz w:val="24"/>
          <w:szCs w:val="24"/>
        </w:rPr>
      </w:pPr>
    </w:p>
    <w:p w14:paraId="42A5ABBE" w14:textId="67053466"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DeBacker, T. K., Crowson, H. M., Beesley, A. D., Thoma, S. J., &amp; Hestevold, N. L. (2008). The challenge of measuring epistemic beliefs: An analysis of three self-report instruments. </w:t>
      </w:r>
      <w:r w:rsidRPr="0032506F">
        <w:rPr>
          <w:rFonts w:ascii="Times New Roman" w:eastAsia="Times New Roman" w:hAnsi="Times New Roman" w:cs="Times New Roman"/>
          <w:bCs/>
          <w:i/>
          <w:iCs/>
          <w:sz w:val="24"/>
          <w:szCs w:val="24"/>
        </w:rPr>
        <w:t>Journal of Experimental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76</w:t>
      </w:r>
      <w:r w:rsidRPr="0032506F">
        <w:rPr>
          <w:rFonts w:ascii="Times New Roman" w:eastAsia="Times New Roman" w:hAnsi="Times New Roman" w:cs="Times New Roman"/>
          <w:bCs/>
          <w:sz w:val="24"/>
          <w:szCs w:val="24"/>
        </w:rPr>
        <w:t>(3), 281–312.</w:t>
      </w:r>
    </w:p>
    <w:p w14:paraId="68BA75E8" w14:textId="77777777" w:rsidR="006B3259" w:rsidRPr="0032506F" w:rsidRDefault="00576522" w:rsidP="006B3259">
      <w:pPr>
        <w:spacing w:after="0" w:line="480" w:lineRule="auto"/>
        <w:ind w:left="720"/>
        <w:rPr>
          <w:rFonts w:ascii="Times New Roman" w:eastAsia="Times New Roman" w:hAnsi="Times New Roman" w:cs="Times New Roman"/>
          <w:bCs/>
          <w:sz w:val="24"/>
          <w:szCs w:val="24"/>
        </w:rPr>
      </w:pPr>
      <w:hyperlink r:id="rId49" w:history="1">
        <w:r w:rsidR="006B3259" w:rsidRPr="0032506F">
          <w:rPr>
            <w:rStyle w:val="Hyperlink"/>
            <w:rFonts w:ascii="Times New Roman" w:eastAsia="Times New Roman" w:hAnsi="Times New Roman" w:cs="Times New Roman"/>
            <w:bCs/>
            <w:color w:val="auto"/>
            <w:sz w:val="24"/>
            <w:szCs w:val="24"/>
          </w:rPr>
          <w:t>https://doi.org/10.3200/JEXE.76.3.281-314</w:t>
        </w:r>
      </w:hyperlink>
    </w:p>
    <w:p w14:paraId="3E05727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bookmarkStart w:id="158" w:name="_Hlk81653167"/>
      <w:r w:rsidRPr="0032506F">
        <w:rPr>
          <w:rFonts w:ascii="Times New Roman" w:eastAsia="Times New Roman" w:hAnsi="Times New Roman" w:cs="Times New Roman"/>
          <w:bCs/>
          <w:sz w:val="24"/>
          <w:szCs w:val="24"/>
        </w:rPr>
        <w:t xml:space="preserve">Deng, R., Benckendorff, P., &amp; Gannaway, D. (2020). Learner engagement in MOOCs: Scale development and validation. </w:t>
      </w:r>
      <w:r w:rsidRPr="0032506F">
        <w:rPr>
          <w:rFonts w:ascii="Times New Roman" w:eastAsia="Times New Roman" w:hAnsi="Times New Roman" w:cs="Times New Roman"/>
          <w:bCs/>
          <w:i/>
          <w:iCs/>
          <w:sz w:val="24"/>
          <w:szCs w:val="24"/>
        </w:rPr>
        <w:t>British Journal of Educational Technology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51</w:t>
      </w:r>
      <w:r w:rsidRPr="0032506F">
        <w:rPr>
          <w:rFonts w:ascii="Times New Roman" w:eastAsia="Times New Roman" w:hAnsi="Times New Roman" w:cs="Times New Roman"/>
          <w:bCs/>
          <w:sz w:val="24"/>
          <w:szCs w:val="24"/>
        </w:rPr>
        <w:t xml:space="preserve">(1), 245–262. </w:t>
      </w:r>
      <w:hyperlink r:id="rId50" w:history="1">
        <w:r w:rsidRPr="0032506F">
          <w:rPr>
            <w:rStyle w:val="Hyperlink"/>
            <w:rFonts w:ascii="Times New Roman" w:eastAsia="Times New Roman" w:hAnsi="Times New Roman" w:cs="Times New Roman"/>
            <w:bCs/>
            <w:color w:val="auto"/>
            <w:sz w:val="24"/>
            <w:szCs w:val="24"/>
          </w:rPr>
          <w:t>https://doi.org/10.1111/bjet.12810</w:t>
        </w:r>
      </w:hyperlink>
    </w:p>
    <w:p w14:paraId="6C689D0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Dennen, V. P. (2008). Pedagogical lurking: Student engagement in non-posting discussion behavior. </w:t>
      </w:r>
      <w:r w:rsidRPr="0032506F">
        <w:rPr>
          <w:rFonts w:ascii="Times New Roman" w:eastAsia="Times New Roman" w:hAnsi="Times New Roman" w:cs="Times New Roman"/>
          <w:bCs/>
          <w:i/>
          <w:iCs/>
          <w:sz w:val="24"/>
          <w:szCs w:val="24"/>
        </w:rPr>
        <w:t>Computers in Human Behavior</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(4), 1624–1633. </w:t>
      </w:r>
      <w:hyperlink r:id="rId51" w:history="1">
        <w:r w:rsidRPr="0032506F">
          <w:rPr>
            <w:rStyle w:val="Hyperlink"/>
            <w:rFonts w:ascii="Times New Roman" w:eastAsia="Times New Roman" w:hAnsi="Times New Roman" w:cs="Times New Roman"/>
            <w:bCs/>
            <w:color w:val="auto"/>
            <w:sz w:val="24"/>
            <w:szCs w:val="24"/>
          </w:rPr>
          <w:t>https://doi.org/10.1016/j.chb.2007.06.003</w:t>
        </w:r>
      </w:hyperlink>
    </w:p>
    <w:p w14:paraId="1CC01F1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DeVellis, R. F. (2003). </w:t>
      </w:r>
      <w:r w:rsidRPr="0032506F">
        <w:rPr>
          <w:rFonts w:ascii="Times New Roman" w:eastAsia="Times New Roman" w:hAnsi="Times New Roman" w:cs="Times New Roman"/>
          <w:bCs/>
          <w:i/>
          <w:iCs/>
          <w:sz w:val="24"/>
          <w:szCs w:val="24"/>
        </w:rPr>
        <w:t>Scale development: Theory and applications</w:t>
      </w:r>
      <w:r w:rsidRPr="0032506F">
        <w:rPr>
          <w:rFonts w:ascii="Times New Roman" w:eastAsia="Times New Roman" w:hAnsi="Times New Roman" w:cs="Times New Roman"/>
          <w:bCs/>
          <w:sz w:val="24"/>
          <w:szCs w:val="24"/>
        </w:rPr>
        <w:t xml:space="preserve"> (2nd ed.). Sage.</w:t>
      </w:r>
    </w:p>
    <w:p w14:paraId="095F0B9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DeVellis, R. F. (2012). </w:t>
      </w:r>
      <w:r w:rsidRPr="0032506F">
        <w:rPr>
          <w:rFonts w:ascii="Times New Roman" w:eastAsia="Times New Roman" w:hAnsi="Times New Roman" w:cs="Times New Roman"/>
          <w:bCs/>
          <w:i/>
          <w:iCs/>
          <w:sz w:val="24"/>
          <w:szCs w:val="24"/>
        </w:rPr>
        <w:t>Scale development: Theory and applications</w:t>
      </w:r>
      <w:r w:rsidRPr="0032506F">
        <w:rPr>
          <w:rFonts w:ascii="Times New Roman" w:eastAsia="Times New Roman" w:hAnsi="Times New Roman" w:cs="Times New Roman"/>
          <w:bCs/>
          <w:sz w:val="24"/>
          <w:szCs w:val="24"/>
        </w:rPr>
        <w:t xml:space="preserve"> (3rd ed.). Sage.</w:t>
      </w:r>
    </w:p>
    <w:bookmarkEnd w:id="158"/>
    <w:p w14:paraId="7544A61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DeVellis, R. F. (2017). </w:t>
      </w:r>
      <w:r w:rsidRPr="0032506F">
        <w:rPr>
          <w:rFonts w:ascii="Times New Roman" w:eastAsia="Times New Roman" w:hAnsi="Times New Roman" w:cs="Times New Roman"/>
          <w:bCs/>
          <w:i/>
          <w:iCs/>
          <w:sz w:val="24"/>
          <w:szCs w:val="24"/>
        </w:rPr>
        <w:t>Scale development: Theory and applications</w:t>
      </w:r>
      <w:r w:rsidRPr="0032506F">
        <w:rPr>
          <w:rFonts w:ascii="Times New Roman" w:eastAsia="Times New Roman" w:hAnsi="Times New Roman" w:cs="Times New Roman"/>
          <w:bCs/>
          <w:sz w:val="24"/>
          <w:szCs w:val="24"/>
        </w:rPr>
        <w:t xml:space="preserve"> (4th ed.). Sage.</w:t>
      </w:r>
    </w:p>
    <w:p w14:paraId="236FF91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Ding, L., Kim, C., &amp; Orey, M. (2017). </w:t>
      </w:r>
      <w:bookmarkEnd w:id="157"/>
      <w:r w:rsidRPr="0032506F">
        <w:rPr>
          <w:rFonts w:ascii="Times New Roman" w:eastAsia="Times New Roman" w:hAnsi="Times New Roman" w:cs="Times New Roman"/>
          <w:bCs/>
          <w:sz w:val="24"/>
          <w:szCs w:val="24"/>
        </w:rPr>
        <w:t xml:space="preserve">Studies of student engagement in gamified online discussions.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115</w:t>
      </w:r>
      <w:r w:rsidRPr="0032506F">
        <w:rPr>
          <w:rFonts w:ascii="Times New Roman" w:eastAsia="Times New Roman" w:hAnsi="Times New Roman" w:cs="Times New Roman"/>
          <w:bCs/>
          <w:sz w:val="24"/>
          <w:szCs w:val="24"/>
        </w:rPr>
        <w:t xml:space="preserve">, 126–142. </w:t>
      </w:r>
      <w:hyperlink r:id="rId52" w:history="1">
        <w:r w:rsidRPr="0032506F">
          <w:rPr>
            <w:rStyle w:val="Hyperlink"/>
            <w:rFonts w:ascii="Times New Roman" w:eastAsia="Times New Roman" w:hAnsi="Times New Roman" w:cs="Times New Roman"/>
            <w:bCs/>
            <w:color w:val="auto"/>
            <w:sz w:val="24"/>
            <w:szCs w:val="24"/>
          </w:rPr>
          <w:t>https://doi.org/10.1016/j.compedu.2017.06.016</w:t>
        </w:r>
      </w:hyperlink>
    </w:p>
    <w:p w14:paraId="1E2D222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DiStefano, C., &amp; Hess, B. (2005). Using confirmatory factor analysis for construct validation: An empirical review. </w:t>
      </w:r>
      <w:r w:rsidRPr="0032506F">
        <w:rPr>
          <w:rFonts w:ascii="Times New Roman" w:eastAsia="Times New Roman" w:hAnsi="Times New Roman" w:cs="Times New Roman"/>
          <w:bCs/>
          <w:i/>
          <w:iCs/>
          <w:sz w:val="24"/>
          <w:szCs w:val="24"/>
        </w:rPr>
        <w:t>Journal of Psychoeducational Assessment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23</w:t>
      </w:r>
      <w:r w:rsidRPr="0032506F">
        <w:rPr>
          <w:rFonts w:ascii="Times New Roman" w:eastAsia="Times New Roman" w:hAnsi="Times New Roman" w:cs="Times New Roman"/>
          <w:bCs/>
          <w:sz w:val="24"/>
          <w:szCs w:val="24"/>
        </w:rPr>
        <w:t xml:space="preserve">(3), 225–241. </w:t>
      </w:r>
      <w:hyperlink r:id="rId53" w:history="1">
        <w:r w:rsidRPr="0032506F">
          <w:rPr>
            <w:rStyle w:val="Hyperlink"/>
            <w:rFonts w:ascii="Times New Roman" w:eastAsia="Times New Roman" w:hAnsi="Times New Roman" w:cs="Times New Roman"/>
            <w:bCs/>
            <w:color w:val="auto"/>
            <w:sz w:val="24"/>
            <w:szCs w:val="24"/>
          </w:rPr>
          <w:t>https://doi.org/10.1177/073428290502300303</w:t>
        </w:r>
      </w:hyperlink>
    </w:p>
    <w:p w14:paraId="39A5601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Dixson, M. D. (2010). Creating effective student engagement in online courses: What do students find engaging? </w:t>
      </w:r>
      <w:r w:rsidRPr="0032506F">
        <w:rPr>
          <w:rFonts w:ascii="Times New Roman" w:eastAsia="Times New Roman" w:hAnsi="Times New Roman" w:cs="Times New Roman"/>
          <w:bCs/>
          <w:i/>
          <w:iCs/>
          <w:sz w:val="24"/>
          <w:szCs w:val="24"/>
        </w:rPr>
        <w:t>Journal of the Scholarship of Teaching and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w:t>
      </w:r>
      <w:r w:rsidRPr="0032506F">
        <w:rPr>
          <w:rFonts w:ascii="Times New Roman" w:eastAsia="Times New Roman" w:hAnsi="Times New Roman" w:cs="Times New Roman"/>
          <w:bCs/>
          <w:sz w:val="24"/>
          <w:szCs w:val="24"/>
        </w:rPr>
        <w:t xml:space="preserve">(2), 1–13. </w:t>
      </w:r>
    </w:p>
    <w:p w14:paraId="38249958" w14:textId="77777777" w:rsidR="00A0766C" w:rsidRDefault="00A0766C" w:rsidP="006B3259">
      <w:pPr>
        <w:spacing w:after="0" w:line="480" w:lineRule="auto"/>
        <w:ind w:left="720" w:hanging="720"/>
        <w:rPr>
          <w:rFonts w:ascii="Times New Roman" w:eastAsia="Times New Roman" w:hAnsi="Times New Roman" w:cs="Times New Roman"/>
          <w:bCs/>
          <w:sz w:val="24"/>
          <w:szCs w:val="24"/>
        </w:rPr>
      </w:pPr>
    </w:p>
    <w:p w14:paraId="0BFADD5F" w14:textId="5326396A" w:rsidR="00A0766C" w:rsidRPr="00A0766C" w:rsidRDefault="00A0766C" w:rsidP="00A0766C">
      <w:pPr>
        <w:spacing w:after="0" w:line="480" w:lineRule="auto"/>
        <w:ind w:hanging="48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sidRPr="00A0766C">
        <w:rPr>
          <w:rFonts w:ascii="Times New Roman" w:eastAsia="Times New Roman" w:hAnsi="Times New Roman" w:cs="Times New Roman"/>
          <w:sz w:val="24"/>
          <w:szCs w:val="24"/>
        </w:rPr>
        <w:t xml:space="preserve">Dixson, M. D. (2015). Measuring student engagement in the online course: The Online Student </w:t>
      </w:r>
      <w:r>
        <w:rPr>
          <w:rFonts w:ascii="Times New Roman" w:eastAsia="Times New Roman" w:hAnsi="Times New Roman" w:cs="Times New Roman"/>
          <w:sz w:val="24"/>
          <w:szCs w:val="24"/>
        </w:rPr>
        <w:tab/>
      </w:r>
      <w:r w:rsidRPr="00A0766C">
        <w:rPr>
          <w:rFonts w:ascii="Times New Roman" w:eastAsia="Times New Roman" w:hAnsi="Times New Roman" w:cs="Times New Roman"/>
          <w:sz w:val="24"/>
          <w:szCs w:val="24"/>
        </w:rPr>
        <w:t xml:space="preserve">Engagement scale (OSE). </w:t>
      </w:r>
      <w:r w:rsidRPr="00A0766C">
        <w:rPr>
          <w:rFonts w:ascii="Times New Roman" w:eastAsia="Times New Roman" w:hAnsi="Times New Roman" w:cs="Times New Roman"/>
          <w:i/>
          <w:iCs/>
          <w:sz w:val="24"/>
          <w:szCs w:val="24"/>
        </w:rPr>
        <w:t>Online Learning</w:t>
      </w:r>
      <w:r w:rsidRPr="00A0766C">
        <w:rPr>
          <w:rFonts w:ascii="Times New Roman" w:eastAsia="Times New Roman" w:hAnsi="Times New Roman" w:cs="Times New Roman"/>
          <w:sz w:val="24"/>
          <w:szCs w:val="24"/>
        </w:rPr>
        <w:t xml:space="preserve">, </w:t>
      </w:r>
      <w:r w:rsidRPr="00A0766C">
        <w:rPr>
          <w:rFonts w:ascii="Times New Roman" w:eastAsia="Times New Roman" w:hAnsi="Times New Roman" w:cs="Times New Roman"/>
          <w:i/>
          <w:iCs/>
          <w:sz w:val="24"/>
          <w:szCs w:val="24"/>
        </w:rPr>
        <w:t>19</w:t>
      </w:r>
      <w:r w:rsidRPr="00A0766C">
        <w:rPr>
          <w:rFonts w:ascii="Times New Roman" w:eastAsia="Times New Roman" w:hAnsi="Times New Roman" w:cs="Times New Roman"/>
          <w:sz w:val="24"/>
          <w:szCs w:val="24"/>
        </w:rPr>
        <w:t xml:space="preserve">(4), 1–15. </w:t>
      </w:r>
      <w:r w:rsidRPr="00A0766C">
        <w:rPr>
          <w:rFonts w:ascii="Times New Roman" w:eastAsia="Times New Roman" w:hAnsi="Times New Roman" w:cs="Times New Roman"/>
          <w:sz w:val="24"/>
          <w:szCs w:val="24"/>
        </w:rPr>
        <w:tab/>
      </w:r>
      <w:hyperlink r:id="rId54" w:history="1">
        <w:r w:rsidRPr="00A0766C">
          <w:rPr>
            <w:rStyle w:val="Hyperlink"/>
            <w:rFonts w:ascii="Times New Roman" w:eastAsia="Times New Roman" w:hAnsi="Times New Roman" w:cs="Times New Roman"/>
            <w:color w:val="auto"/>
            <w:sz w:val="24"/>
            <w:szCs w:val="24"/>
          </w:rPr>
          <w:t>https://doi.org/10.24059/olj.v19i4.561</w:t>
        </w:r>
      </w:hyperlink>
    </w:p>
    <w:p w14:paraId="1DF3ACA5" w14:textId="7DF3B1F8"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Dixson, M. D., Greenwell, M. R., Rogers-Stacy, C., Weister, T., &amp; Lauer, S. (2017). Nonverbal immediacy behaviors and online student engagement: Bringing past instructional research into the present virtual classroom. </w:t>
      </w:r>
      <w:r w:rsidRPr="0032506F">
        <w:rPr>
          <w:rFonts w:ascii="Times New Roman" w:eastAsia="Times New Roman" w:hAnsi="Times New Roman" w:cs="Times New Roman"/>
          <w:bCs/>
          <w:i/>
          <w:iCs/>
          <w:sz w:val="24"/>
          <w:szCs w:val="24"/>
        </w:rPr>
        <w:t>Communication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66</w:t>
      </w:r>
      <w:r w:rsidRPr="0032506F">
        <w:rPr>
          <w:rFonts w:ascii="Times New Roman" w:eastAsia="Times New Roman" w:hAnsi="Times New Roman" w:cs="Times New Roman"/>
          <w:bCs/>
          <w:sz w:val="24"/>
          <w:szCs w:val="24"/>
        </w:rPr>
        <w:t xml:space="preserve">(1), 37–53. </w:t>
      </w:r>
      <w:hyperlink r:id="rId55" w:history="1">
        <w:r w:rsidRPr="0032506F">
          <w:rPr>
            <w:rStyle w:val="Hyperlink"/>
            <w:rFonts w:ascii="Times New Roman" w:eastAsia="Times New Roman" w:hAnsi="Times New Roman" w:cs="Times New Roman"/>
            <w:bCs/>
            <w:color w:val="auto"/>
            <w:sz w:val="24"/>
            <w:szCs w:val="24"/>
          </w:rPr>
          <w:t>https://doi.org/10.1080/03634523.2016.1209222</w:t>
        </w:r>
      </w:hyperlink>
    </w:p>
    <w:p w14:paraId="75C89CC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Duncan, T. G., &amp; McKeachie, W. J. (2005). The making of the motivated strategies for learning questionnaire.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40</w:t>
      </w:r>
      <w:r w:rsidRPr="0032506F">
        <w:rPr>
          <w:rFonts w:ascii="Times New Roman" w:eastAsia="Times New Roman" w:hAnsi="Times New Roman" w:cs="Times New Roman"/>
          <w:bCs/>
          <w:sz w:val="24"/>
          <w:szCs w:val="24"/>
        </w:rPr>
        <w:t xml:space="preserve">(2), 117–128. </w:t>
      </w:r>
    </w:p>
    <w:p w14:paraId="4E19C8FD" w14:textId="406C9B24"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Eisinga, R., Grotenhuis, M., &amp; Pelzer, B. (2013). The reliability of a two-item scale: Pearson, Cronbach, or Spearman-Brown? </w:t>
      </w:r>
      <w:r w:rsidRPr="0032506F">
        <w:rPr>
          <w:rFonts w:ascii="Times New Roman" w:eastAsia="Times New Roman" w:hAnsi="Times New Roman" w:cs="Times New Roman"/>
          <w:bCs/>
          <w:i/>
          <w:iCs/>
          <w:sz w:val="24"/>
          <w:szCs w:val="24"/>
        </w:rPr>
        <w:t>International Journal of Public Health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58</w:t>
      </w:r>
      <w:r w:rsidRPr="0032506F">
        <w:rPr>
          <w:rFonts w:ascii="Times New Roman" w:eastAsia="Times New Roman" w:hAnsi="Times New Roman" w:cs="Times New Roman"/>
          <w:bCs/>
          <w:sz w:val="24"/>
          <w:szCs w:val="24"/>
        </w:rPr>
        <w:t xml:space="preserve">(4), 637–642. </w:t>
      </w:r>
      <w:hyperlink r:id="rId56" w:history="1">
        <w:r w:rsidRPr="0032506F">
          <w:rPr>
            <w:rStyle w:val="Hyperlink"/>
            <w:rFonts w:ascii="Times New Roman" w:eastAsia="Times New Roman" w:hAnsi="Times New Roman" w:cs="Times New Roman"/>
            <w:bCs/>
            <w:color w:val="auto"/>
            <w:sz w:val="24"/>
            <w:szCs w:val="24"/>
          </w:rPr>
          <w:t>https://doi.org/10.1007/s00038-012-0416-3</w:t>
        </w:r>
      </w:hyperlink>
    </w:p>
    <w:p w14:paraId="191EEEA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Elliott, E. S., &amp; Dweck, C. S. (1988). Goals: An approach to motivation and achievement. </w:t>
      </w:r>
      <w:r w:rsidRPr="0032506F">
        <w:rPr>
          <w:rFonts w:ascii="Times New Roman" w:eastAsia="Times New Roman" w:hAnsi="Times New Roman" w:cs="Times New Roman"/>
          <w:bCs/>
          <w:i/>
          <w:iCs/>
          <w:sz w:val="24"/>
          <w:szCs w:val="24"/>
        </w:rPr>
        <w:t>Journal of Personality and Social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54</w:t>
      </w:r>
      <w:r w:rsidRPr="0032506F">
        <w:rPr>
          <w:rFonts w:ascii="Times New Roman" w:eastAsia="Times New Roman" w:hAnsi="Times New Roman" w:cs="Times New Roman"/>
          <w:bCs/>
          <w:sz w:val="24"/>
          <w:szCs w:val="24"/>
        </w:rPr>
        <w:t xml:space="preserve">(1), 5–12. </w:t>
      </w:r>
      <w:hyperlink r:id="rId57" w:history="1">
        <w:r w:rsidRPr="0032506F">
          <w:rPr>
            <w:rStyle w:val="Hyperlink"/>
            <w:rFonts w:ascii="Times New Roman" w:eastAsia="Times New Roman" w:hAnsi="Times New Roman" w:cs="Times New Roman"/>
            <w:bCs/>
            <w:color w:val="auto"/>
            <w:sz w:val="24"/>
            <w:szCs w:val="24"/>
          </w:rPr>
          <w:t>https://doi.org/10.1037//0022-3514.54.1.5</w:t>
        </w:r>
      </w:hyperlink>
    </w:p>
    <w:p w14:paraId="1298642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Entwistle, N. J., &amp; Entwistle, D. (1970). The relationships between personality, study methods and academic performance. </w:t>
      </w:r>
      <w:r w:rsidRPr="0032506F">
        <w:rPr>
          <w:rFonts w:ascii="Times New Roman" w:eastAsia="Times New Roman" w:hAnsi="Times New Roman" w:cs="Times New Roman"/>
          <w:bCs/>
          <w:i/>
          <w:iCs/>
          <w:sz w:val="24"/>
          <w:szCs w:val="24"/>
        </w:rPr>
        <w:t>British 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40</w:t>
      </w:r>
      <w:r w:rsidRPr="0032506F">
        <w:rPr>
          <w:rFonts w:ascii="Times New Roman" w:eastAsia="Times New Roman" w:hAnsi="Times New Roman" w:cs="Times New Roman"/>
          <w:bCs/>
          <w:sz w:val="24"/>
          <w:szCs w:val="24"/>
        </w:rPr>
        <w:t xml:space="preserve">(2), 132–143. </w:t>
      </w:r>
      <w:hyperlink r:id="rId58" w:history="1">
        <w:r w:rsidRPr="0032506F">
          <w:rPr>
            <w:rStyle w:val="Hyperlink"/>
            <w:rFonts w:ascii="Times New Roman" w:eastAsia="Times New Roman" w:hAnsi="Times New Roman" w:cs="Times New Roman"/>
            <w:bCs/>
            <w:color w:val="auto"/>
            <w:sz w:val="24"/>
            <w:szCs w:val="24"/>
          </w:rPr>
          <w:t>https://doi.org/10.1111/j.2044-8279.1970.tb02113.x</w:t>
        </w:r>
      </w:hyperlink>
    </w:p>
    <w:p w14:paraId="5E25CB8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Everett, D. R. (2015). Adding value: Online student engagement. </w:t>
      </w:r>
      <w:r w:rsidRPr="0032506F">
        <w:rPr>
          <w:rFonts w:ascii="Times New Roman" w:eastAsia="Times New Roman" w:hAnsi="Times New Roman" w:cs="Times New Roman"/>
          <w:bCs/>
          <w:i/>
          <w:iCs/>
          <w:sz w:val="24"/>
          <w:szCs w:val="24"/>
        </w:rPr>
        <w:t>Information Systems Education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13</w:t>
      </w:r>
      <w:r w:rsidRPr="0032506F">
        <w:rPr>
          <w:rFonts w:ascii="Times New Roman" w:eastAsia="Times New Roman" w:hAnsi="Times New Roman" w:cs="Times New Roman"/>
          <w:bCs/>
          <w:sz w:val="24"/>
          <w:szCs w:val="24"/>
        </w:rPr>
        <w:t xml:space="preserve">(6), 68–76. </w:t>
      </w:r>
    </w:p>
    <w:p w14:paraId="6D8EDECF" w14:textId="77777777" w:rsidR="00186188" w:rsidRDefault="00186188" w:rsidP="006B3259">
      <w:pPr>
        <w:spacing w:after="0" w:line="480" w:lineRule="auto"/>
        <w:ind w:left="720" w:hanging="720"/>
        <w:rPr>
          <w:rFonts w:ascii="Times New Roman" w:eastAsia="Times New Roman" w:hAnsi="Times New Roman" w:cs="Times New Roman"/>
          <w:bCs/>
          <w:sz w:val="24"/>
          <w:szCs w:val="24"/>
        </w:rPr>
      </w:pPr>
    </w:p>
    <w:p w14:paraId="1FFF2D60" w14:textId="77777777" w:rsidR="00186188" w:rsidRDefault="00186188" w:rsidP="006B3259">
      <w:pPr>
        <w:spacing w:after="0" w:line="480" w:lineRule="auto"/>
        <w:ind w:left="720" w:hanging="720"/>
        <w:rPr>
          <w:rFonts w:ascii="Times New Roman" w:eastAsia="Times New Roman" w:hAnsi="Times New Roman" w:cs="Times New Roman"/>
          <w:bCs/>
          <w:sz w:val="24"/>
          <w:szCs w:val="24"/>
        </w:rPr>
      </w:pPr>
    </w:p>
    <w:p w14:paraId="3F8174E1" w14:textId="1D069141"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Fan, X., Thompson, B., &amp; Wang, L. (1999). Effects of sample size, estimation methods, and model specification on structural equation modeling fit indexes. </w:t>
      </w:r>
      <w:r w:rsidRPr="0032506F">
        <w:rPr>
          <w:rFonts w:ascii="Times New Roman" w:eastAsia="Times New Roman" w:hAnsi="Times New Roman" w:cs="Times New Roman"/>
          <w:bCs/>
          <w:i/>
          <w:iCs/>
          <w:sz w:val="24"/>
          <w:szCs w:val="24"/>
        </w:rPr>
        <w:t>Structural Equation Modeling: A Multidisciplinary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w:t>
      </w:r>
      <w:r w:rsidRPr="0032506F">
        <w:rPr>
          <w:rFonts w:ascii="Times New Roman" w:eastAsia="Times New Roman" w:hAnsi="Times New Roman" w:cs="Times New Roman"/>
          <w:bCs/>
          <w:sz w:val="24"/>
          <w:szCs w:val="24"/>
        </w:rPr>
        <w:t xml:space="preserve">(1), 56–83. </w:t>
      </w:r>
      <w:hyperlink r:id="rId59" w:history="1">
        <w:r w:rsidRPr="0032506F">
          <w:rPr>
            <w:rStyle w:val="Hyperlink"/>
            <w:rFonts w:ascii="Times New Roman" w:eastAsia="Times New Roman" w:hAnsi="Times New Roman" w:cs="Times New Roman"/>
            <w:bCs/>
            <w:color w:val="auto"/>
            <w:sz w:val="24"/>
            <w:szCs w:val="24"/>
          </w:rPr>
          <w:t>https://doi.org/10.1080/10705519909540119</w:t>
        </w:r>
      </w:hyperlink>
    </w:p>
    <w:p w14:paraId="5EB68DA1" w14:textId="644B4E05"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Ferrer, J., Ringer, A., Saville, K., A Parris, M., &amp; Kashi, K. (202</w:t>
      </w:r>
      <w:r w:rsidR="00EC394E" w:rsidRPr="0032506F">
        <w:rPr>
          <w:rFonts w:ascii="Times New Roman" w:eastAsia="Times New Roman" w:hAnsi="Times New Roman" w:cs="Times New Roman"/>
          <w:bCs/>
          <w:sz w:val="24"/>
          <w:szCs w:val="24"/>
        </w:rPr>
        <w:t>0</w:t>
      </w:r>
      <w:r w:rsidRPr="0032506F">
        <w:rPr>
          <w:rFonts w:ascii="Times New Roman" w:eastAsia="Times New Roman" w:hAnsi="Times New Roman" w:cs="Times New Roman"/>
          <w:bCs/>
          <w:sz w:val="24"/>
          <w:szCs w:val="24"/>
        </w:rPr>
        <w:t xml:space="preserve">). Students’ motivation and engagement in higher education: The importance of attitude to online learning. </w:t>
      </w:r>
      <w:r w:rsidRPr="0032506F">
        <w:rPr>
          <w:rFonts w:ascii="Times New Roman" w:eastAsia="Times New Roman" w:hAnsi="Times New Roman" w:cs="Times New Roman"/>
          <w:bCs/>
          <w:i/>
          <w:iCs/>
          <w:sz w:val="24"/>
          <w:szCs w:val="24"/>
        </w:rPr>
        <w:t>Higher Education (00181560)</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83</w:t>
      </w:r>
      <w:r w:rsidRPr="0032506F">
        <w:rPr>
          <w:rFonts w:ascii="Times New Roman" w:eastAsia="Times New Roman" w:hAnsi="Times New Roman" w:cs="Times New Roman"/>
          <w:bCs/>
          <w:sz w:val="24"/>
          <w:szCs w:val="24"/>
        </w:rPr>
        <w:t xml:space="preserve">(2), 317–338. </w:t>
      </w:r>
      <w:hyperlink r:id="rId60" w:history="1">
        <w:r w:rsidRPr="0032506F">
          <w:rPr>
            <w:rStyle w:val="Hyperlink"/>
            <w:rFonts w:ascii="Times New Roman" w:eastAsia="Times New Roman" w:hAnsi="Times New Roman" w:cs="Times New Roman"/>
            <w:bCs/>
            <w:color w:val="auto"/>
            <w:sz w:val="24"/>
            <w:szCs w:val="24"/>
          </w:rPr>
          <w:t>https://doi.org/10.1007/s10734-020-00657-5</w:t>
        </w:r>
      </w:hyperlink>
    </w:p>
    <w:p w14:paraId="0E1F169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Finn, J. D. (1989). Withdrawing from school. </w:t>
      </w:r>
      <w:r w:rsidRPr="0032506F">
        <w:rPr>
          <w:rFonts w:ascii="Times New Roman" w:eastAsia="Times New Roman" w:hAnsi="Times New Roman" w:cs="Times New Roman"/>
          <w:bCs/>
          <w:i/>
          <w:iCs/>
          <w:sz w:val="24"/>
          <w:szCs w:val="24"/>
        </w:rPr>
        <w:t>Review of Educational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59</w:t>
      </w:r>
      <w:r w:rsidRPr="0032506F">
        <w:rPr>
          <w:rFonts w:ascii="Times New Roman" w:eastAsia="Times New Roman" w:hAnsi="Times New Roman" w:cs="Times New Roman"/>
          <w:bCs/>
          <w:sz w:val="24"/>
          <w:szCs w:val="24"/>
        </w:rPr>
        <w:t xml:space="preserve">(2), 117–142. </w:t>
      </w:r>
      <w:hyperlink r:id="rId61" w:history="1">
        <w:r w:rsidRPr="0032506F">
          <w:rPr>
            <w:rStyle w:val="Hyperlink"/>
            <w:rFonts w:ascii="Times New Roman" w:eastAsia="Times New Roman" w:hAnsi="Times New Roman" w:cs="Times New Roman"/>
            <w:bCs/>
            <w:color w:val="auto"/>
            <w:sz w:val="24"/>
            <w:szCs w:val="24"/>
          </w:rPr>
          <w:t>https://doi.org/10.2307/1170412</w:t>
        </w:r>
      </w:hyperlink>
    </w:p>
    <w:p w14:paraId="07B9D86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Finn, J. D. (1993). </w:t>
      </w:r>
      <w:r w:rsidRPr="0032506F">
        <w:rPr>
          <w:rFonts w:ascii="Times New Roman" w:eastAsia="Times New Roman" w:hAnsi="Times New Roman" w:cs="Times New Roman"/>
          <w:bCs/>
          <w:i/>
          <w:iCs/>
          <w:sz w:val="24"/>
          <w:szCs w:val="24"/>
        </w:rPr>
        <w:t>School engagement &amp; Students at risk.</w:t>
      </w:r>
      <w:r w:rsidRPr="0032506F">
        <w:rPr>
          <w:rFonts w:ascii="Times New Roman" w:eastAsia="Times New Roman" w:hAnsi="Times New Roman" w:cs="Times New Roman"/>
          <w:bCs/>
          <w:sz w:val="24"/>
          <w:szCs w:val="24"/>
        </w:rPr>
        <w:t xml:space="preserve"> (ED 362 322; pp. 1–116). National Center for Education Statistics (ED). </w:t>
      </w:r>
      <w:hyperlink r:id="rId62" w:history="1">
        <w:r w:rsidRPr="0032506F">
          <w:rPr>
            <w:rStyle w:val="Hyperlink"/>
            <w:rFonts w:ascii="Times New Roman" w:eastAsia="Times New Roman" w:hAnsi="Times New Roman" w:cs="Times New Roman"/>
            <w:bCs/>
            <w:color w:val="auto"/>
            <w:sz w:val="24"/>
            <w:szCs w:val="24"/>
          </w:rPr>
          <w:t>http://libraries.ou.edu/access.aspx?url=http://search.ebscohost.com/login.aspx?direct=true&amp;db=eric&amp;AN=ED362322&amp;site=ehost-live</w:t>
        </w:r>
      </w:hyperlink>
    </w:p>
    <w:p w14:paraId="0516E76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Finn, J. D., Pannozzo, G. M., &amp; Voelkl, K. E. (1995). Disruptive and inattentive-withdrawn behavior and achievement among fourth graders. </w:t>
      </w:r>
      <w:r w:rsidRPr="0032506F">
        <w:rPr>
          <w:rFonts w:ascii="Times New Roman" w:eastAsia="Times New Roman" w:hAnsi="Times New Roman" w:cs="Times New Roman"/>
          <w:bCs/>
          <w:i/>
          <w:iCs/>
          <w:sz w:val="24"/>
          <w:szCs w:val="24"/>
        </w:rPr>
        <w:t>The Elementary School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95</w:t>
      </w:r>
      <w:r w:rsidRPr="0032506F">
        <w:rPr>
          <w:rFonts w:ascii="Times New Roman" w:eastAsia="Times New Roman" w:hAnsi="Times New Roman" w:cs="Times New Roman"/>
          <w:bCs/>
          <w:sz w:val="24"/>
          <w:szCs w:val="24"/>
        </w:rPr>
        <w:t xml:space="preserve">(5), 421–434. </w:t>
      </w:r>
      <w:hyperlink r:id="rId63" w:history="1">
        <w:r w:rsidRPr="0032506F">
          <w:rPr>
            <w:rStyle w:val="Hyperlink"/>
            <w:rFonts w:ascii="Times New Roman" w:eastAsia="Times New Roman" w:hAnsi="Times New Roman" w:cs="Times New Roman"/>
            <w:bCs/>
            <w:color w:val="auto"/>
            <w:sz w:val="24"/>
            <w:szCs w:val="24"/>
          </w:rPr>
          <w:t>https://doi.org/10.1086/461853</w:t>
        </w:r>
      </w:hyperlink>
    </w:p>
    <w:p w14:paraId="4A2ECDE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Finn, J. D., &amp; Rock, D. A. (1997). Academic success among students at risk for school failure. </w:t>
      </w:r>
    </w:p>
    <w:p w14:paraId="009E085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ab/>
      </w:r>
      <w:r w:rsidRPr="0032506F">
        <w:rPr>
          <w:rFonts w:ascii="Times New Roman" w:eastAsia="Times New Roman" w:hAnsi="Times New Roman" w:cs="Times New Roman"/>
          <w:bCs/>
          <w:i/>
          <w:iCs/>
          <w:sz w:val="24"/>
          <w:szCs w:val="24"/>
        </w:rPr>
        <w:t>Journal of Applied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82</w:t>
      </w:r>
      <w:r w:rsidRPr="0032506F">
        <w:rPr>
          <w:rFonts w:ascii="Times New Roman" w:eastAsia="Times New Roman" w:hAnsi="Times New Roman" w:cs="Times New Roman"/>
          <w:bCs/>
          <w:sz w:val="24"/>
          <w:szCs w:val="24"/>
        </w:rPr>
        <w:t xml:space="preserve">(2), 221–234. </w:t>
      </w:r>
      <w:hyperlink r:id="rId64" w:history="1">
        <w:r w:rsidRPr="0032506F">
          <w:rPr>
            <w:rStyle w:val="Hyperlink"/>
            <w:rFonts w:ascii="Times New Roman" w:eastAsia="Times New Roman" w:hAnsi="Times New Roman" w:cs="Times New Roman"/>
            <w:bCs/>
            <w:color w:val="auto"/>
            <w:sz w:val="24"/>
            <w:szCs w:val="24"/>
          </w:rPr>
          <w:t>https://doi.org/10.1037/0021-9010.82.2.221</w:t>
        </w:r>
      </w:hyperlink>
    </w:p>
    <w:p w14:paraId="07F81AC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Finn, J. D., &amp; Zimmer, K. S. (2012). Student engagement: What is it? Why does it matter? In S. L. Christenson &amp; A. L. Reschly (Eds.),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xml:space="preserve"> (pp. 97–131). Springer.</w:t>
      </w:r>
    </w:p>
    <w:p w14:paraId="0004B88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Fletcher, E. C., D. Dumford, A., Hernandez-Gantes, V. M., &amp; Minar, N. (2020). Examining the engagement of career academy and comprehensive high school students in the United States. </w:t>
      </w:r>
      <w:r w:rsidRPr="0032506F">
        <w:rPr>
          <w:rFonts w:ascii="Times New Roman" w:eastAsia="Times New Roman" w:hAnsi="Times New Roman" w:cs="Times New Roman"/>
          <w:bCs/>
          <w:i/>
          <w:iCs/>
          <w:sz w:val="24"/>
          <w:szCs w:val="24"/>
        </w:rPr>
        <w:t>The Journal of Educational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113</w:t>
      </w:r>
      <w:r w:rsidRPr="0032506F">
        <w:rPr>
          <w:rFonts w:ascii="Times New Roman" w:eastAsia="Times New Roman" w:hAnsi="Times New Roman" w:cs="Times New Roman"/>
          <w:bCs/>
          <w:sz w:val="24"/>
          <w:szCs w:val="24"/>
        </w:rPr>
        <w:t xml:space="preserve">(4), 247–261. </w:t>
      </w:r>
      <w:hyperlink r:id="rId65" w:history="1">
        <w:r w:rsidRPr="0032506F">
          <w:rPr>
            <w:rStyle w:val="Hyperlink"/>
            <w:rFonts w:ascii="Times New Roman" w:eastAsia="Times New Roman" w:hAnsi="Times New Roman" w:cs="Times New Roman"/>
            <w:bCs/>
            <w:color w:val="auto"/>
            <w:sz w:val="24"/>
            <w:szCs w:val="24"/>
          </w:rPr>
          <w:t>https://doi.org/10.1080/00220671.2020.1787314</w:t>
        </w:r>
      </w:hyperlink>
    </w:p>
    <w:p w14:paraId="4167AEA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Fowler, F. J. (2014). </w:t>
      </w:r>
      <w:r w:rsidRPr="0032506F">
        <w:rPr>
          <w:rFonts w:ascii="Times New Roman" w:eastAsia="Times New Roman" w:hAnsi="Times New Roman" w:cs="Times New Roman"/>
          <w:bCs/>
          <w:i/>
          <w:iCs/>
          <w:sz w:val="24"/>
          <w:szCs w:val="24"/>
        </w:rPr>
        <w:t>Survey research methods</w:t>
      </w:r>
      <w:r w:rsidRPr="0032506F">
        <w:rPr>
          <w:rFonts w:ascii="Times New Roman" w:eastAsia="Times New Roman" w:hAnsi="Times New Roman" w:cs="Times New Roman"/>
          <w:bCs/>
          <w:sz w:val="24"/>
          <w:szCs w:val="24"/>
        </w:rPr>
        <w:t xml:space="preserve"> (5th ed.). Sage.</w:t>
      </w:r>
    </w:p>
    <w:p w14:paraId="0497792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Fredricks, J. A. (2015). Academic engagement. In J. D. Wright (Ed.), </w:t>
      </w:r>
      <w:r w:rsidRPr="0032506F">
        <w:rPr>
          <w:rFonts w:ascii="Times New Roman" w:eastAsia="Times New Roman" w:hAnsi="Times New Roman" w:cs="Times New Roman"/>
          <w:bCs/>
          <w:i/>
          <w:iCs/>
          <w:sz w:val="24"/>
          <w:szCs w:val="24"/>
        </w:rPr>
        <w:t>The international encyclopedia of social and behavioral sciences</w:t>
      </w:r>
      <w:r w:rsidRPr="0032506F">
        <w:rPr>
          <w:rFonts w:ascii="Times New Roman" w:eastAsia="Times New Roman" w:hAnsi="Times New Roman" w:cs="Times New Roman"/>
          <w:bCs/>
          <w:sz w:val="24"/>
          <w:szCs w:val="24"/>
        </w:rPr>
        <w:t xml:space="preserve"> (2nd ed., Vol. 1, pp. 31–36). </w:t>
      </w:r>
      <w:hyperlink r:id="rId66" w:history="1">
        <w:r w:rsidRPr="0032506F">
          <w:rPr>
            <w:rStyle w:val="Hyperlink"/>
            <w:rFonts w:ascii="Times New Roman" w:eastAsia="Times New Roman" w:hAnsi="Times New Roman" w:cs="Times New Roman"/>
            <w:bCs/>
            <w:color w:val="auto"/>
            <w:sz w:val="24"/>
            <w:szCs w:val="24"/>
          </w:rPr>
          <w:t>http://dx.doi.org/10.1016/B978-0-08-097086-8.26085-6</w:t>
        </w:r>
      </w:hyperlink>
    </w:p>
    <w:p w14:paraId="0C1FC8F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Fredricks, J. A., Blumenfeld, P. C., Friedel, J., &amp; Paris, A. (2005). School engagement. In K. A. Moore &amp; L. Lippman (Eds.), </w:t>
      </w:r>
      <w:r w:rsidRPr="0032506F">
        <w:rPr>
          <w:rFonts w:ascii="Times New Roman" w:eastAsia="Times New Roman" w:hAnsi="Times New Roman" w:cs="Times New Roman"/>
          <w:bCs/>
          <w:i/>
          <w:iCs/>
          <w:sz w:val="24"/>
          <w:szCs w:val="24"/>
        </w:rPr>
        <w:t xml:space="preserve">What do children need to </w:t>
      </w:r>
      <w:proofErr w:type="gramStart"/>
      <w:r w:rsidRPr="0032506F">
        <w:rPr>
          <w:rFonts w:ascii="Times New Roman" w:eastAsia="Times New Roman" w:hAnsi="Times New Roman" w:cs="Times New Roman"/>
          <w:bCs/>
          <w:i/>
          <w:iCs/>
          <w:sz w:val="24"/>
          <w:szCs w:val="24"/>
        </w:rPr>
        <w:t>flourish?:</w:t>
      </w:r>
      <w:proofErr w:type="gramEnd"/>
      <w:r w:rsidRPr="0032506F">
        <w:rPr>
          <w:rFonts w:ascii="Times New Roman" w:eastAsia="Times New Roman" w:hAnsi="Times New Roman" w:cs="Times New Roman"/>
          <w:bCs/>
          <w:i/>
          <w:iCs/>
          <w:sz w:val="24"/>
          <w:szCs w:val="24"/>
        </w:rPr>
        <w:t xml:space="preserve"> Conceptualizing and measuring indicators of positive development</w:t>
      </w:r>
      <w:r w:rsidRPr="0032506F">
        <w:rPr>
          <w:rFonts w:ascii="Times New Roman" w:eastAsia="Times New Roman" w:hAnsi="Times New Roman" w:cs="Times New Roman"/>
          <w:bCs/>
          <w:sz w:val="24"/>
          <w:szCs w:val="24"/>
        </w:rPr>
        <w:t xml:space="preserve"> (pp. 305–321). </w:t>
      </w:r>
    </w:p>
    <w:p w14:paraId="34ECC72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Fredricks, J. A., Blumenfeld, P. C., &amp; Paris, A. H. (2004). School engagement: Potential of the concept, state of the evidence. </w:t>
      </w:r>
      <w:r w:rsidRPr="0032506F">
        <w:rPr>
          <w:rFonts w:ascii="Times New Roman" w:eastAsia="Times New Roman" w:hAnsi="Times New Roman" w:cs="Times New Roman"/>
          <w:bCs/>
          <w:i/>
          <w:iCs/>
          <w:sz w:val="24"/>
          <w:szCs w:val="24"/>
        </w:rPr>
        <w:t>Review of Educational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74</w:t>
      </w:r>
      <w:r w:rsidRPr="0032506F">
        <w:rPr>
          <w:rFonts w:ascii="Times New Roman" w:eastAsia="Times New Roman" w:hAnsi="Times New Roman" w:cs="Times New Roman"/>
          <w:bCs/>
          <w:sz w:val="24"/>
          <w:szCs w:val="24"/>
        </w:rPr>
        <w:t xml:space="preserve">(1), 59–109. </w:t>
      </w:r>
      <w:hyperlink r:id="rId67" w:history="1">
        <w:r w:rsidRPr="0032506F">
          <w:rPr>
            <w:rStyle w:val="Hyperlink"/>
            <w:rFonts w:ascii="Times New Roman" w:eastAsia="Times New Roman" w:hAnsi="Times New Roman" w:cs="Times New Roman"/>
            <w:bCs/>
            <w:color w:val="auto"/>
            <w:sz w:val="24"/>
            <w:szCs w:val="24"/>
          </w:rPr>
          <w:t>https://doi.org/10.3102/00346543074001059</w:t>
        </w:r>
      </w:hyperlink>
    </w:p>
    <w:p w14:paraId="326139E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Fredricks, J. A., Filsecker, M., &amp; Lawson, M. A. (2016). Student engagement, context, and adjustment: Addressing definitional, measurement, and methodological issues. </w:t>
      </w:r>
      <w:r w:rsidRPr="0032506F">
        <w:rPr>
          <w:rFonts w:ascii="Times New Roman" w:eastAsia="Times New Roman" w:hAnsi="Times New Roman" w:cs="Times New Roman"/>
          <w:bCs/>
          <w:i/>
          <w:iCs/>
          <w:sz w:val="24"/>
          <w:szCs w:val="24"/>
        </w:rPr>
        <w:t>Learning and Instruction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43</w:t>
      </w:r>
      <w:r w:rsidRPr="0032506F">
        <w:rPr>
          <w:rFonts w:ascii="Times New Roman" w:eastAsia="Times New Roman" w:hAnsi="Times New Roman" w:cs="Times New Roman"/>
          <w:bCs/>
          <w:sz w:val="24"/>
          <w:szCs w:val="24"/>
        </w:rPr>
        <w:t xml:space="preserve">, 1–4. </w:t>
      </w:r>
      <w:hyperlink r:id="rId68" w:history="1">
        <w:r w:rsidRPr="0032506F">
          <w:rPr>
            <w:rStyle w:val="Hyperlink"/>
            <w:rFonts w:ascii="Times New Roman" w:eastAsia="Times New Roman" w:hAnsi="Times New Roman" w:cs="Times New Roman"/>
            <w:bCs/>
            <w:color w:val="auto"/>
            <w:sz w:val="24"/>
            <w:szCs w:val="24"/>
          </w:rPr>
          <w:t>https://doi.org/10.1016/j.learninstruc.2016.02.002</w:t>
        </w:r>
      </w:hyperlink>
    </w:p>
    <w:p w14:paraId="1EAB696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Fredricks, J. A., &amp; McColskey, W. (2012). The measurement of student engagement: A comparative analysis of various methods and student self-report measures. In S. L. Christenson, A. L. Reschly, &amp; C. Wylie (Eds.),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xml:space="preserve"> (pp. 763–782). Springer.</w:t>
      </w:r>
    </w:p>
    <w:p w14:paraId="2342BFC1" w14:textId="77777777" w:rsidR="00186188" w:rsidRDefault="00186188" w:rsidP="006B3259">
      <w:pPr>
        <w:spacing w:after="0" w:line="480" w:lineRule="auto"/>
        <w:ind w:left="720" w:hanging="720"/>
        <w:rPr>
          <w:rFonts w:ascii="Times New Roman" w:eastAsia="Times New Roman" w:hAnsi="Times New Roman" w:cs="Times New Roman"/>
          <w:bCs/>
          <w:sz w:val="24"/>
          <w:szCs w:val="24"/>
        </w:rPr>
      </w:pPr>
    </w:p>
    <w:p w14:paraId="418161B9" w14:textId="476FB36A"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Fredricks, J. A., Wang, M.-T., Schall Linn, J., Hofkens, T. L., Sung, H., Parr, A., &amp; Allerton, J. (2016). Using qualitative methods to develop a survey measure of math and science engagement. </w:t>
      </w:r>
      <w:r w:rsidRPr="0032506F">
        <w:rPr>
          <w:rFonts w:ascii="Times New Roman" w:eastAsia="Times New Roman" w:hAnsi="Times New Roman" w:cs="Times New Roman"/>
          <w:bCs/>
          <w:i/>
          <w:iCs/>
          <w:sz w:val="24"/>
          <w:szCs w:val="24"/>
        </w:rPr>
        <w:t>Special Issue: Student Engagement and Learning: Theoretical and Methodological Advances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43</w:t>
      </w:r>
      <w:r w:rsidRPr="0032506F">
        <w:rPr>
          <w:rFonts w:ascii="Times New Roman" w:eastAsia="Times New Roman" w:hAnsi="Times New Roman" w:cs="Times New Roman"/>
          <w:bCs/>
          <w:sz w:val="24"/>
          <w:szCs w:val="24"/>
        </w:rPr>
        <w:t xml:space="preserve">, 5–15. </w:t>
      </w:r>
      <w:hyperlink r:id="rId69" w:history="1">
        <w:r w:rsidRPr="0032506F">
          <w:rPr>
            <w:rStyle w:val="Hyperlink"/>
            <w:rFonts w:ascii="Times New Roman" w:eastAsia="Times New Roman" w:hAnsi="Times New Roman" w:cs="Times New Roman"/>
            <w:bCs/>
            <w:color w:val="auto"/>
            <w:sz w:val="24"/>
            <w:szCs w:val="24"/>
          </w:rPr>
          <w:t>https://doi.org/10.1016/j.learninstruc.2016.01.009</w:t>
        </w:r>
      </w:hyperlink>
    </w:p>
    <w:p w14:paraId="08C61A99" w14:textId="10330F31"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Furlong, M. J., Whipple, A. D., St. Jean, G., Simental, J., Soliz, A., &amp; Punthuna, S. (2003). Multiple contexts of school engagement: Moving toward a unifying framework for educational research and practice. </w:t>
      </w:r>
      <w:r w:rsidRPr="0032506F">
        <w:rPr>
          <w:rFonts w:ascii="Times New Roman" w:eastAsia="Times New Roman" w:hAnsi="Times New Roman" w:cs="Times New Roman"/>
          <w:bCs/>
          <w:i/>
          <w:iCs/>
          <w:sz w:val="24"/>
          <w:szCs w:val="24"/>
        </w:rPr>
        <w:t>The California School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w:t>
      </w:r>
      <w:r w:rsidRPr="0032506F">
        <w:rPr>
          <w:rFonts w:ascii="Times New Roman" w:eastAsia="Times New Roman" w:hAnsi="Times New Roman" w:cs="Times New Roman"/>
          <w:bCs/>
          <w:sz w:val="24"/>
          <w:szCs w:val="24"/>
        </w:rPr>
        <w:t xml:space="preserve">(1), 99–113. </w:t>
      </w:r>
      <w:hyperlink r:id="rId70" w:history="1">
        <w:r w:rsidRPr="0032506F">
          <w:rPr>
            <w:rStyle w:val="Hyperlink"/>
            <w:rFonts w:ascii="Times New Roman" w:eastAsia="Times New Roman" w:hAnsi="Times New Roman" w:cs="Times New Roman"/>
            <w:bCs/>
            <w:color w:val="auto"/>
            <w:sz w:val="24"/>
            <w:szCs w:val="24"/>
          </w:rPr>
          <w:t>https://doi.org/10.1007/BF03340899</w:t>
        </w:r>
      </w:hyperlink>
    </w:p>
    <w:p w14:paraId="49FF4B0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Furr, R. M. (2011). </w:t>
      </w:r>
      <w:r w:rsidRPr="0032506F">
        <w:rPr>
          <w:rFonts w:ascii="Times New Roman" w:eastAsia="Times New Roman" w:hAnsi="Times New Roman" w:cs="Times New Roman"/>
          <w:bCs/>
          <w:i/>
          <w:iCs/>
          <w:sz w:val="24"/>
          <w:szCs w:val="24"/>
        </w:rPr>
        <w:t>Scale construction and psychometrics for social and personality psychology</w:t>
      </w:r>
      <w:r w:rsidRPr="0032506F">
        <w:rPr>
          <w:rFonts w:ascii="Times New Roman" w:eastAsia="Times New Roman" w:hAnsi="Times New Roman" w:cs="Times New Roman"/>
          <w:bCs/>
          <w:sz w:val="24"/>
          <w:szCs w:val="24"/>
        </w:rPr>
        <w:t>. SAGE Publications.</w:t>
      </w:r>
    </w:p>
    <w:p w14:paraId="63BB954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Furrer, C., &amp; Skinner, E. (2003). Sense of relatedness as a factor in children’s academic engagement and performance.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95</w:t>
      </w:r>
      <w:r w:rsidRPr="0032506F">
        <w:rPr>
          <w:rFonts w:ascii="Times New Roman" w:eastAsia="Times New Roman" w:hAnsi="Times New Roman" w:cs="Times New Roman"/>
          <w:bCs/>
          <w:sz w:val="24"/>
          <w:szCs w:val="24"/>
        </w:rPr>
        <w:t xml:space="preserve">(1), 148-162. </w:t>
      </w:r>
    </w:p>
    <w:p w14:paraId="76F7758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Gall, J.P., Gall, M.D., &amp; Borg, W.R. (2007). </w:t>
      </w:r>
      <w:r w:rsidRPr="0032506F">
        <w:rPr>
          <w:rFonts w:ascii="Times New Roman" w:eastAsia="Times New Roman" w:hAnsi="Times New Roman" w:cs="Times New Roman"/>
          <w:bCs/>
          <w:i/>
          <w:iCs/>
          <w:sz w:val="24"/>
          <w:szCs w:val="24"/>
        </w:rPr>
        <w:t xml:space="preserve">Educational research: An introduction </w:t>
      </w:r>
      <w:r w:rsidRPr="0032506F">
        <w:rPr>
          <w:rFonts w:ascii="Times New Roman" w:eastAsia="Times New Roman" w:hAnsi="Times New Roman" w:cs="Times New Roman"/>
          <w:bCs/>
          <w:sz w:val="24"/>
          <w:szCs w:val="24"/>
        </w:rPr>
        <w:t>(8th ed.).</w:t>
      </w:r>
    </w:p>
    <w:p w14:paraId="0E657E2A" w14:textId="77777777" w:rsidR="006B3259" w:rsidRPr="0032506F" w:rsidRDefault="006B3259" w:rsidP="006B3259">
      <w:pPr>
        <w:spacing w:after="0" w:line="480" w:lineRule="auto"/>
        <w:ind w:left="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Pearson Education, Inc.</w:t>
      </w:r>
    </w:p>
    <w:p w14:paraId="7FC13A3E" w14:textId="77777777" w:rsidR="006B3259" w:rsidRPr="0032506F" w:rsidRDefault="006B3259" w:rsidP="006B3259">
      <w:pPr>
        <w:spacing w:after="0" w:line="480" w:lineRule="auto"/>
        <w:ind w:left="720" w:hanging="720"/>
        <w:rPr>
          <w:rFonts w:ascii="Times New Roman" w:eastAsia="Times New Roman" w:hAnsi="Times New Roman" w:cs="Times New Roman"/>
          <w:bCs/>
          <w:i/>
          <w:iCs/>
          <w:sz w:val="24"/>
          <w:szCs w:val="24"/>
        </w:rPr>
      </w:pPr>
      <w:r w:rsidRPr="0032506F">
        <w:rPr>
          <w:rFonts w:ascii="Times New Roman" w:eastAsia="Times New Roman" w:hAnsi="Times New Roman" w:cs="Times New Roman"/>
          <w:bCs/>
          <w:sz w:val="24"/>
          <w:szCs w:val="24"/>
        </w:rPr>
        <w:t xml:space="preserve">Gibbs, G. (2014). Student engagement, the latest buzzword. </w:t>
      </w:r>
      <w:r w:rsidRPr="0032506F">
        <w:rPr>
          <w:rFonts w:ascii="Times New Roman" w:eastAsia="Times New Roman" w:hAnsi="Times New Roman" w:cs="Times New Roman"/>
          <w:bCs/>
          <w:i/>
          <w:iCs/>
          <w:sz w:val="24"/>
          <w:szCs w:val="24"/>
        </w:rPr>
        <w:t>Higher Education</w:t>
      </w:r>
    </w:p>
    <w:p w14:paraId="32E4577B" w14:textId="77777777" w:rsidR="006B3259" w:rsidRPr="0032506F" w:rsidRDefault="006B3259" w:rsidP="006B3259">
      <w:pPr>
        <w:spacing w:after="0" w:line="480" w:lineRule="auto"/>
        <w:ind w:left="720" w:hanging="288"/>
        <w:rPr>
          <w:rFonts w:ascii="Times New Roman" w:eastAsia="Times New Roman" w:hAnsi="Times New Roman" w:cs="Times New Roman"/>
          <w:bCs/>
          <w:sz w:val="24"/>
          <w:szCs w:val="24"/>
        </w:rPr>
      </w:pPr>
      <w:r w:rsidRPr="0032506F">
        <w:rPr>
          <w:rFonts w:ascii="Times New Roman" w:eastAsia="Times New Roman" w:hAnsi="Times New Roman" w:cs="Times New Roman"/>
          <w:bCs/>
          <w:i/>
          <w:iCs/>
          <w:sz w:val="24"/>
          <w:szCs w:val="24"/>
        </w:rPr>
        <w:t>Times</w:t>
      </w:r>
      <w:r w:rsidRPr="0032506F">
        <w:rPr>
          <w:rFonts w:ascii="Times New Roman" w:eastAsia="Times New Roman" w:hAnsi="Times New Roman" w:cs="Times New Roman"/>
          <w:bCs/>
          <w:sz w:val="24"/>
          <w:szCs w:val="24"/>
        </w:rPr>
        <w:t xml:space="preserve">. </w:t>
      </w:r>
      <w:hyperlink r:id="rId71" w:history="1">
        <w:r w:rsidRPr="0032506F">
          <w:rPr>
            <w:rStyle w:val="Hyperlink"/>
            <w:rFonts w:ascii="Times New Roman" w:eastAsia="Times New Roman" w:hAnsi="Times New Roman" w:cs="Times New Roman"/>
            <w:bCs/>
            <w:color w:val="auto"/>
            <w:sz w:val="24"/>
            <w:szCs w:val="24"/>
          </w:rPr>
          <w:t>https://www.timeshighereducation.com/news/student-engagement-the-latestbuzzword/2012947.article</w:t>
        </w:r>
      </w:hyperlink>
    </w:p>
    <w:p w14:paraId="69CAD6E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Gillen-O’Neel, C., &amp; Fuligni, A. (2013). A longitudinal study of school belonging and academic motivation across high school. </w:t>
      </w:r>
      <w:r w:rsidRPr="0032506F">
        <w:rPr>
          <w:rFonts w:ascii="Times New Roman" w:eastAsia="Times New Roman" w:hAnsi="Times New Roman" w:cs="Times New Roman"/>
          <w:bCs/>
          <w:i/>
          <w:iCs/>
          <w:sz w:val="24"/>
          <w:szCs w:val="24"/>
        </w:rPr>
        <w:t>Child Development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84</w:t>
      </w:r>
      <w:r w:rsidRPr="0032506F">
        <w:rPr>
          <w:rFonts w:ascii="Times New Roman" w:eastAsia="Times New Roman" w:hAnsi="Times New Roman" w:cs="Times New Roman"/>
          <w:bCs/>
          <w:sz w:val="24"/>
          <w:szCs w:val="24"/>
        </w:rPr>
        <w:t xml:space="preserve">(2), 678–692. </w:t>
      </w:r>
      <w:hyperlink r:id="rId72" w:history="1">
        <w:r w:rsidRPr="0032506F">
          <w:rPr>
            <w:rStyle w:val="Hyperlink"/>
            <w:rFonts w:ascii="Times New Roman" w:eastAsia="Times New Roman" w:hAnsi="Times New Roman" w:cs="Times New Roman"/>
            <w:bCs/>
            <w:color w:val="auto"/>
            <w:sz w:val="24"/>
            <w:szCs w:val="24"/>
          </w:rPr>
          <w:t>https://doi.org/10.1111/j.1467-8624.2012.01862.x</w:t>
        </w:r>
      </w:hyperlink>
    </w:p>
    <w:p w14:paraId="77E637A5" w14:textId="77777777" w:rsidR="00186188" w:rsidRDefault="00186188" w:rsidP="006B3259">
      <w:pPr>
        <w:spacing w:after="0" w:line="480" w:lineRule="auto"/>
        <w:ind w:left="720" w:hanging="720"/>
        <w:rPr>
          <w:rFonts w:ascii="Times New Roman" w:eastAsia="Times New Roman" w:hAnsi="Times New Roman" w:cs="Times New Roman"/>
          <w:bCs/>
          <w:sz w:val="24"/>
          <w:szCs w:val="24"/>
        </w:rPr>
      </w:pPr>
    </w:p>
    <w:p w14:paraId="316964AD" w14:textId="77777777" w:rsidR="00186188" w:rsidRDefault="00186188" w:rsidP="006B3259">
      <w:pPr>
        <w:spacing w:after="0" w:line="480" w:lineRule="auto"/>
        <w:ind w:left="720" w:hanging="720"/>
        <w:rPr>
          <w:rFonts w:ascii="Times New Roman" w:eastAsia="Times New Roman" w:hAnsi="Times New Roman" w:cs="Times New Roman"/>
          <w:bCs/>
          <w:sz w:val="24"/>
          <w:szCs w:val="24"/>
        </w:rPr>
      </w:pPr>
    </w:p>
    <w:p w14:paraId="29F4F11F" w14:textId="55F19EE4"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Glanville, J. L., &amp; Wildhagen, T. (2007). The measurement of school engagement: Assessing dimensionality and measurement invariance across race and ethnicity. </w:t>
      </w:r>
      <w:r w:rsidRPr="0032506F">
        <w:rPr>
          <w:rFonts w:ascii="Times New Roman" w:eastAsia="Times New Roman" w:hAnsi="Times New Roman" w:cs="Times New Roman"/>
          <w:bCs/>
          <w:i/>
          <w:iCs/>
          <w:sz w:val="24"/>
          <w:szCs w:val="24"/>
        </w:rPr>
        <w:t>Educational and Psychological Measurement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67</w:t>
      </w:r>
      <w:r w:rsidRPr="0032506F">
        <w:rPr>
          <w:rFonts w:ascii="Times New Roman" w:eastAsia="Times New Roman" w:hAnsi="Times New Roman" w:cs="Times New Roman"/>
          <w:bCs/>
          <w:sz w:val="24"/>
          <w:szCs w:val="24"/>
        </w:rPr>
        <w:t xml:space="preserve">(6), 1019–1041. </w:t>
      </w:r>
      <w:hyperlink r:id="rId73" w:history="1">
        <w:r w:rsidRPr="0032506F">
          <w:rPr>
            <w:rStyle w:val="Hyperlink"/>
            <w:rFonts w:ascii="Times New Roman" w:eastAsia="Times New Roman" w:hAnsi="Times New Roman" w:cs="Times New Roman"/>
            <w:bCs/>
            <w:color w:val="auto"/>
            <w:sz w:val="24"/>
            <w:szCs w:val="24"/>
          </w:rPr>
          <w:t>https://doi.org/10.1177/0013164406299126</w:t>
        </w:r>
      </w:hyperlink>
    </w:p>
    <w:p w14:paraId="1B14A63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Goggins, S., &amp; Xing, W. (2016). Building models explaining student participation behavior in asynchronous online discussion.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94</w:t>
      </w:r>
      <w:r w:rsidRPr="0032506F">
        <w:rPr>
          <w:rFonts w:ascii="Times New Roman" w:eastAsia="Times New Roman" w:hAnsi="Times New Roman" w:cs="Times New Roman"/>
          <w:bCs/>
          <w:sz w:val="24"/>
          <w:szCs w:val="24"/>
        </w:rPr>
        <w:t xml:space="preserve">, 241–251. </w:t>
      </w:r>
      <w:hyperlink r:id="rId74" w:history="1">
        <w:r w:rsidRPr="0032506F">
          <w:rPr>
            <w:rStyle w:val="Hyperlink"/>
            <w:rFonts w:ascii="Times New Roman" w:eastAsia="Times New Roman" w:hAnsi="Times New Roman" w:cs="Times New Roman"/>
            <w:bCs/>
            <w:color w:val="auto"/>
            <w:sz w:val="24"/>
            <w:szCs w:val="24"/>
          </w:rPr>
          <w:t>https://doi.org/10.1016/j.compedu.2015.11.002</w:t>
        </w:r>
      </w:hyperlink>
    </w:p>
    <w:p w14:paraId="5A6F080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Goodenow, C., &amp; Grady, K. E. (1993). The relationship of school belonging and friends’ values to academic motivation among urban adolescent students. </w:t>
      </w:r>
      <w:r w:rsidRPr="0032506F">
        <w:rPr>
          <w:rFonts w:ascii="Times New Roman" w:eastAsia="Times New Roman" w:hAnsi="Times New Roman" w:cs="Times New Roman"/>
          <w:bCs/>
          <w:i/>
          <w:iCs/>
          <w:sz w:val="24"/>
          <w:szCs w:val="24"/>
        </w:rPr>
        <w:t>The Journal of Experimental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62</w:t>
      </w:r>
      <w:r w:rsidRPr="0032506F">
        <w:rPr>
          <w:rFonts w:ascii="Times New Roman" w:eastAsia="Times New Roman" w:hAnsi="Times New Roman" w:cs="Times New Roman"/>
          <w:bCs/>
          <w:sz w:val="24"/>
          <w:szCs w:val="24"/>
        </w:rPr>
        <w:t>(1), 60–71.</w:t>
      </w:r>
    </w:p>
    <w:p w14:paraId="504F145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Greene, B. A., &amp; Miller, R. B. (1996). Influences on achievement: Goals, perceived ability, and cognitive engagement.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 xml:space="preserve">(2), 181–192. </w:t>
      </w:r>
      <w:hyperlink r:id="rId75" w:history="1">
        <w:r w:rsidRPr="0032506F">
          <w:rPr>
            <w:rStyle w:val="Hyperlink"/>
            <w:rFonts w:ascii="Times New Roman" w:eastAsia="Times New Roman" w:hAnsi="Times New Roman" w:cs="Times New Roman"/>
            <w:bCs/>
            <w:color w:val="auto"/>
            <w:sz w:val="24"/>
            <w:szCs w:val="24"/>
          </w:rPr>
          <w:t>https://doi.org/10.1006/ceps.1996.0015</w:t>
        </w:r>
      </w:hyperlink>
    </w:p>
    <w:p w14:paraId="304A07E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Groccia, J. E. (2018). What is student engagement? </w:t>
      </w:r>
      <w:r w:rsidRPr="0032506F">
        <w:rPr>
          <w:rFonts w:ascii="Times New Roman" w:eastAsia="Times New Roman" w:hAnsi="Times New Roman" w:cs="Times New Roman"/>
          <w:bCs/>
          <w:i/>
          <w:iCs/>
          <w:sz w:val="24"/>
          <w:szCs w:val="24"/>
        </w:rPr>
        <w:t>New Directions for Teaching &amp;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2018</w:t>
      </w:r>
      <w:r w:rsidRPr="0032506F">
        <w:rPr>
          <w:rFonts w:ascii="Times New Roman" w:eastAsia="Times New Roman" w:hAnsi="Times New Roman" w:cs="Times New Roman"/>
          <w:bCs/>
          <w:sz w:val="24"/>
          <w:szCs w:val="24"/>
        </w:rPr>
        <w:t xml:space="preserve">(154), 11–20. </w:t>
      </w:r>
      <w:hyperlink r:id="rId76" w:history="1">
        <w:r w:rsidRPr="0032506F">
          <w:rPr>
            <w:rStyle w:val="Hyperlink"/>
            <w:rFonts w:ascii="Times New Roman" w:eastAsia="Times New Roman" w:hAnsi="Times New Roman" w:cs="Times New Roman"/>
            <w:bCs/>
            <w:color w:val="auto"/>
            <w:sz w:val="24"/>
            <w:szCs w:val="24"/>
          </w:rPr>
          <w:t>https://doi.org/10.1002/tl.20287</w:t>
        </w:r>
      </w:hyperlink>
    </w:p>
    <w:p w14:paraId="5BAE474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Groves, R. M., Fowler, F. J., Couper, M. P., Lepkowski, J. M., Singer, E., &amp; Tourangeau, R. (2009). </w:t>
      </w:r>
      <w:r w:rsidRPr="0032506F">
        <w:rPr>
          <w:rFonts w:ascii="Times New Roman" w:eastAsia="Times New Roman" w:hAnsi="Times New Roman" w:cs="Times New Roman"/>
          <w:bCs/>
          <w:i/>
          <w:iCs/>
          <w:sz w:val="24"/>
          <w:szCs w:val="24"/>
        </w:rPr>
        <w:t>Survey methodology</w:t>
      </w:r>
      <w:r w:rsidRPr="0032506F">
        <w:rPr>
          <w:rFonts w:ascii="Times New Roman" w:eastAsia="Times New Roman" w:hAnsi="Times New Roman" w:cs="Times New Roman"/>
          <w:bCs/>
          <w:sz w:val="24"/>
          <w:szCs w:val="24"/>
        </w:rPr>
        <w:t xml:space="preserve"> (2nd ed.). Wiley.</w:t>
      </w:r>
    </w:p>
    <w:p w14:paraId="5A46BB2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Henrie, C. R., Halverson, L. R., &amp; Graham, C. R. (2015). Measuring student engagement in technology-mediated learning: A review.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90</w:t>
      </w:r>
      <w:r w:rsidRPr="0032506F">
        <w:rPr>
          <w:rFonts w:ascii="Times New Roman" w:eastAsia="Times New Roman" w:hAnsi="Times New Roman" w:cs="Times New Roman"/>
          <w:bCs/>
          <w:sz w:val="24"/>
          <w:szCs w:val="24"/>
        </w:rPr>
        <w:t xml:space="preserve">, 36–53. </w:t>
      </w:r>
      <w:hyperlink r:id="rId77" w:history="1">
        <w:r w:rsidRPr="0032506F">
          <w:rPr>
            <w:rStyle w:val="Hyperlink"/>
            <w:rFonts w:ascii="Times New Roman" w:eastAsia="Times New Roman" w:hAnsi="Times New Roman" w:cs="Times New Roman"/>
            <w:bCs/>
            <w:color w:val="auto"/>
            <w:sz w:val="24"/>
            <w:szCs w:val="24"/>
          </w:rPr>
          <w:t>https://doi.org/10.1016/j.compedu.2015.09.005</w:t>
        </w:r>
      </w:hyperlink>
    </w:p>
    <w:p w14:paraId="3F2D20A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Hew, K. F., &amp; Cheung, W. S. (2008). Attracting student participation in asynchronous online discussions: A case study of peer facilitation.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51</w:t>
      </w:r>
      <w:r w:rsidRPr="0032506F">
        <w:rPr>
          <w:rFonts w:ascii="Times New Roman" w:eastAsia="Times New Roman" w:hAnsi="Times New Roman" w:cs="Times New Roman"/>
          <w:bCs/>
          <w:sz w:val="24"/>
          <w:szCs w:val="24"/>
        </w:rPr>
        <w:t xml:space="preserve">(3), 1111–1124. </w:t>
      </w:r>
    </w:p>
    <w:p w14:paraId="4B15170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Hew, K. F., Cheung, W. S., &amp; Ng, C. S. L. (2010). Student contribution in asynchronous online discussion: A review of the research and empirical exploration. </w:t>
      </w:r>
      <w:r w:rsidRPr="0032506F">
        <w:rPr>
          <w:rFonts w:ascii="Times New Roman" w:eastAsia="Times New Roman" w:hAnsi="Times New Roman" w:cs="Times New Roman"/>
          <w:bCs/>
          <w:i/>
          <w:iCs/>
          <w:sz w:val="24"/>
          <w:szCs w:val="24"/>
        </w:rPr>
        <w:t>Instructional Science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38</w:t>
      </w:r>
      <w:r w:rsidRPr="0032506F">
        <w:rPr>
          <w:rFonts w:ascii="Times New Roman" w:eastAsia="Times New Roman" w:hAnsi="Times New Roman" w:cs="Times New Roman"/>
          <w:bCs/>
          <w:sz w:val="24"/>
          <w:szCs w:val="24"/>
        </w:rPr>
        <w:t xml:space="preserve">(6), 571–606. </w:t>
      </w:r>
      <w:hyperlink r:id="rId78" w:history="1">
        <w:r w:rsidRPr="0032506F">
          <w:rPr>
            <w:rStyle w:val="Hyperlink"/>
            <w:rFonts w:ascii="Times New Roman" w:eastAsia="Times New Roman" w:hAnsi="Times New Roman" w:cs="Times New Roman"/>
            <w:bCs/>
            <w:color w:val="auto"/>
            <w:sz w:val="24"/>
            <w:szCs w:val="24"/>
          </w:rPr>
          <w:t>https://doi.org/10.1007/s11251-008-9087-0</w:t>
        </w:r>
      </w:hyperlink>
    </w:p>
    <w:p w14:paraId="50B08CD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Hilpert, J. C., Stempien, J., van der Hoeven Kraft, K. J., &amp; Husman, J. (2013). Evidence for the latent factor structure of the MSLQ: A new conceptualization of an established questionnaire. </w:t>
      </w:r>
      <w:r w:rsidRPr="0032506F">
        <w:rPr>
          <w:rFonts w:ascii="Times New Roman" w:eastAsia="Times New Roman" w:hAnsi="Times New Roman" w:cs="Times New Roman"/>
          <w:bCs/>
          <w:i/>
          <w:iCs/>
          <w:sz w:val="24"/>
          <w:szCs w:val="24"/>
        </w:rPr>
        <w:t>SAGE Open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w:t>
      </w:r>
      <w:r w:rsidRPr="0032506F">
        <w:rPr>
          <w:rFonts w:ascii="Times New Roman" w:eastAsia="Times New Roman" w:hAnsi="Times New Roman" w:cs="Times New Roman"/>
          <w:bCs/>
          <w:sz w:val="24"/>
          <w:szCs w:val="24"/>
        </w:rPr>
        <w:t xml:space="preserve">(4), 1–10. </w:t>
      </w:r>
      <w:hyperlink r:id="rId79" w:history="1">
        <w:r w:rsidRPr="0032506F">
          <w:rPr>
            <w:rStyle w:val="Hyperlink"/>
            <w:rFonts w:ascii="Times New Roman" w:eastAsia="Times New Roman" w:hAnsi="Times New Roman" w:cs="Times New Roman"/>
            <w:bCs/>
            <w:color w:val="auto"/>
            <w:sz w:val="24"/>
            <w:szCs w:val="24"/>
          </w:rPr>
          <w:t>https://doi.org/10.1177/2158244013510305</w:t>
        </w:r>
      </w:hyperlink>
    </w:p>
    <w:p w14:paraId="1821AEC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Hoi, V. N., &amp; Le Hang, H. (2021). The structure of student engagement in online learning: A bi-factor exploratory structural equation modelling approach. </w:t>
      </w:r>
      <w:r w:rsidRPr="0032506F">
        <w:rPr>
          <w:rFonts w:ascii="Times New Roman" w:eastAsia="Times New Roman" w:hAnsi="Times New Roman" w:cs="Times New Roman"/>
          <w:bCs/>
          <w:i/>
          <w:iCs/>
          <w:sz w:val="24"/>
          <w:szCs w:val="24"/>
        </w:rPr>
        <w:t>Journal of Computer Assisted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37</w:t>
      </w:r>
      <w:r w:rsidRPr="0032506F">
        <w:rPr>
          <w:rFonts w:ascii="Times New Roman" w:eastAsia="Times New Roman" w:hAnsi="Times New Roman" w:cs="Times New Roman"/>
          <w:bCs/>
          <w:sz w:val="24"/>
          <w:szCs w:val="24"/>
        </w:rPr>
        <w:t>(4), 1141–1153</w:t>
      </w:r>
      <w:r w:rsidRPr="00186188">
        <w:rPr>
          <w:rFonts w:ascii="Times New Roman" w:eastAsia="Times New Roman" w:hAnsi="Times New Roman" w:cs="Times New Roman"/>
          <w:bCs/>
          <w:sz w:val="24"/>
          <w:szCs w:val="24"/>
        </w:rPr>
        <w:t xml:space="preserve">. </w:t>
      </w:r>
      <w:hyperlink r:id="rId80" w:history="1">
        <w:r w:rsidRPr="00186188">
          <w:rPr>
            <w:rStyle w:val="Hyperlink"/>
            <w:rFonts w:ascii="Times New Roman" w:eastAsia="Times New Roman" w:hAnsi="Times New Roman" w:cs="Times New Roman"/>
            <w:bCs/>
            <w:color w:val="auto"/>
            <w:sz w:val="24"/>
            <w:szCs w:val="24"/>
          </w:rPr>
          <w:t>https://doi.org/10.1111/jcal.12551</w:t>
        </w:r>
      </w:hyperlink>
    </w:p>
    <w:p w14:paraId="52CD9FE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Holmes, J. L. (2018). </w:t>
      </w:r>
      <w:r w:rsidRPr="0032506F">
        <w:rPr>
          <w:rFonts w:ascii="Times New Roman" w:eastAsia="Times New Roman" w:hAnsi="Times New Roman" w:cs="Times New Roman"/>
          <w:bCs/>
          <w:i/>
          <w:iCs/>
          <w:sz w:val="24"/>
          <w:szCs w:val="24"/>
        </w:rPr>
        <w:t xml:space="preserve">Integration of doctoral students in distance programs: An instrument validation study of educational doctorate students </w:t>
      </w:r>
      <w:r w:rsidRPr="0032506F">
        <w:rPr>
          <w:rFonts w:ascii="Times New Roman" w:eastAsia="Times New Roman" w:hAnsi="Times New Roman" w:cs="Times New Roman"/>
          <w:bCs/>
          <w:sz w:val="24"/>
          <w:szCs w:val="24"/>
        </w:rPr>
        <w:t>(Publication No. 10784233) [Doctoral dissertation, Liberty University]. ProQuest Dissertations &amp; Theses Global.</w:t>
      </w:r>
    </w:p>
    <w:p w14:paraId="13ED9E1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Hsu, H.-C. K., Wang, C. V., &amp; Levesque-Bristol, C. (2019). Reexamining the impact of self-determination theory on learning outcomes in the online learning environment. </w:t>
      </w:r>
      <w:r w:rsidRPr="0032506F">
        <w:rPr>
          <w:rFonts w:ascii="Times New Roman" w:eastAsia="Times New Roman" w:hAnsi="Times New Roman" w:cs="Times New Roman"/>
          <w:bCs/>
          <w:i/>
          <w:iCs/>
          <w:sz w:val="24"/>
          <w:szCs w:val="24"/>
        </w:rPr>
        <w:t>Education and Information Technologies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(3), 2159–2174. </w:t>
      </w:r>
      <w:hyperlink r:id="rId81" w:history="1">
        <w:r w:rsidRPr="0032506F">
          <w:rPr>
            <w:rStyle w:val="Hyperlink"/>
            <w:rFonts w:ascii="Times New Roman" w:eastAsia="Times New Roman" w:hAnsi="Times New Roman" w:cs="Times New Roman"/>
            <w:bCs/>
            <w:color w:val="auto"/>
            <w:sz w:val="24"/>
            <w:szCs w:val="24"/>
          </w:rPr>
          <w:t>https://doi.org/10.1007/s10639-019-09863-w</w:t>
        </w:r>
      </w:hyperlink>
    </w:p>
    <w:p w14:paraId="3C8AFFA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Hu, L., &amp; Bentler, P. M. (1999). Cutoff criteria for fit indexes in covariance structure analysis: Conventional criteria versus new alternatives. </w:t>
      </w:r>
      <w:r w:rsidRPr="0032506F">
        <w:rPr>
          <w:rFonts w:ascii="Times New Roman" w:eastAsia="Times New Roman" w:hAnsi="Times New Roman" w:cs="Times New Roman"/>
          <w:bCs/>
          <w:i/>
          <w:iCs/>
          <w:sz w:val="24"/>
          <w:szCs w:val="24"/>
        </w:rPr>
        <w:t>Structural Equation Modeling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w:t>
      </w:r>
      <w:r w:rsidRPr="0032506F">
        <w:rPr>
          <w:rFonts w:ascii="Times New Roman" w:eastAsia="Times New Roman" w:hAnsi="Times New Roman" w:cs="Times New Roman"/>
          <w:bCs/>
          <w:sz w:val="24"/>
          <w:szCs w:val="24"/>
        </w:rPr>
        <w:t>(1), 1–55.</w:t>
      </w:r>
    </w:p>
    <w:p w14:paraId="1788FC7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Hubley, A. M. (2014). Discriminant Validity. In A. C. Michalos (Ed.), </w:t>
      </w:r>
      <w:r w:rsidRPr="0032506F">
        <w:rPr>
          <w:rFonts w:ascii="Times New Roman" w:eastAsia="Times New Roman" w:hAnsi="Times New Roman" w:cs="Times New Roman"/>
          <w:bCs/>
          <w:i/>
          <w:iCs/>
          <w:sz w:val="24"/>
          <w:szCs w:val="24"/>
        </w:rPr>
        <w:t>Encyclopedia of Quality of Life and Well-Being Research</w:t>
      </w:r>
      <w:r w:rsidRPr="0032506F">
        <w:rPr>
          <w:rFonts w:ascii="Times New Roman" w:eastAsia="Times New Roman" w:hAnsi="Times New Roman" w:cs="Times New Roman"/>
          <w:bCs/>
          <w:sz w:val="24"/>
          <w:szCs w:val="24"/>
        </w:rPr>
        <w:t xml:space="preserve"> (pp. 1664–1667). Springer Netherlands. </w:t>
      </w:r>
      <w:hyperlink r:id="rId82" w:history="1">
        <w:r w:rsidRPr="0032506F">
          <w:rPr>
            <w:rStyle w:val="Hyperlink"/>
            <w:rFonts w:ascii="Times New Roman" w:eastAsia="Times New Roman" w:hAnsi="Times New Roman" w:cs="Times New Roman"/>
            <w:bCs/>
            <w:color w:val="auto"/>
            <w:sz w:val="24"/>
            <w:szCs w:val="24"/>
          </w:rPr>
          <w:t>https://doi.org/10.1007/978-94-007-0753-5_751</w:t>
        </w:r>
      </w:hyperlink>
    </w:p>
    <w:p w14:paraId="6C8B407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Imlawi, J., Gregg, D., &amp; Karimi, J. (2015). Student engagement in course-based social networks: The impact of instructor credibility and use of communication.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88</w:t>
      </w:r>
      <w:r w:rsidRPr="0032506F">
        <w:rPr>
          <w:rFonts w:ascii="Times New Roman" w:eastAsia="Times New Roman" w:hAnsi="Times New Roman" w:cs="Times New Roman"/>
          <w:bCs/>
          <w:sz w:val="24"/>
          <w:szCs w:val="24"/>
        </w:rPr>
        <w:t xml:space="preserve">, 84–96. </w:t>
      </w:r>
      <w:hyperlink r:id="rId83" w:history="1">
        <w:r w:rsidRPr="0032506F">
          <w:rPr>
            <w:rStyle w:val="Hyperlink"/>
            <w:rFonts w:ascii="Times New Roman" w:eastAsia="Times New Roman" w:hAnsi="Times New Roman" w:cs="Times New Roman"/>
            <w:bCs/>
            <w:color w:val="auto"/>
            <w:sz w:val="24"/>
            <w:szCs w:val="24"/>
          </w:rPr>
          <w:t>https://doi.org/10.1016/j.compedu.2015.04.015</w:t>
        </w:r>
      </w:hyperlink>
    </w:p>
    <w:p w14:paraId="65B720E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Jackson, C. R. (2018). Validating and adapting the Motivated Strategies for Learning Questionnaire (MSLQ) for STEM courses at an HBCU. </w:t>
      </w:r>
      <w:r w:rsidRPr="0032506F">
        <w:rPr>
          <w:rFonts w:ascii="Times New Roman" w:eastAsia="Times New Roman" w:hAnsi="Times New Roman" w:cs="Times New Roman"/>
          <w:bCs/>
          <w:i/>
          <w:iCs/>
          <w:sz w:val="24"/>
          <w:szCs w:val="24"/>
        </w:rPr>
        <w:t>AERA Open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w:t>
      </w:r>
      <w:r w:rsidRPr="0032506F">
        <w:rPr>
          <w:rFonts w:ascii="Times New Roman" w:eastAsia="Times New Roman" w:hAnsi="Times New Roman" w:cs="Times New Roman"/>
          <w:bCs/>
          <w:sz w:val="24"/>
          <w:szCs w:val="24"/>
        </w:rPr>
        <w:t xml:space="preserve">(4), 1–16. </w:t>
      </w:r>
      <w:hyperlink r:id="rId84" w:history="1">
        <w:r w:rsidRPr="0032506F">
          <w:rPr>
            <w:rStyle w:val="Hyperlink"/>
            <w:rFonts w:ascii="Times New Roman" w:eastAsia="Times New Roman" w:hAnsi="Times New Roman" w:cs="Times New Roman"/>
            <w:bCs/>
            <w:color w:val="auto"/>
            <w:sz w:val="24"/>
            <w:szCs w:val="24"/>
          </w:rPr>
          <w:t>https://doi.org/10.1177/2332858418809346</w:t>
        </w:r>
      </w:hyperlink>
    </w:p>
    <w:p w14:paraId="7888477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Jackson, D. L., Gillaspy, J. A., &amp; Purc-Stephenson, R. (2009). Reporting practices in confirmatory factor analysis: An overview and some recommendations. </w:t>
      </w:r>
      <w:r w:rsidRPr="0032506F">
        <w:rPr>
          <w:rFonts w:ascii="Times New Roman" w:eastAsia="Times New Roman" w:hAnsi="Times New Roman" w:cs="Times New Roman"/>
          <w:bCs/>
          <w:i/>
          <w:iCs/>
          <w:sz w:val="24"/>
          <w:szCs w:val="24"/>
        </w:rPr>
        <w:t>Psychological Methods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14</w:t>
      </w:r>
      <w:r w:rsidRPr="0032506F">
        <w:rPr>
          <w:rFonts w:ascii="Times New Roman" w:eastAsia="Times New Roman" w:hAnsi="Times New Roman" w:cs="Times New Roman"/>
          <w:bCs/>
          <w:sz w:val="24"/>
          <w:szCs w:val="24"/>
        </w:rPr>
        <w:t>(1), 6-23.</w:t>
      </w:r>
      <w:r w:rsidRPr="0032506F">
        <w:rPr>
          <w:rFonts w:ascii="Times New Roman" w:hAnsi="Times New Roman" w:cs="Times New Roman"/>
          <w:sz w:val="24"/>
          <w:szCs w:val="24"/>
        </w:rPr>
        <w:t xml:space="preserve"> </w:t>
      </w:r>
      <w:r w:rsidRPr="0032506F">
        <w:rPr>
          <w:rFonts w:ascii="Times New Roman" w:eastAsia="Times New Roman" w:hAnsi="Times New Roman" w:cs="Times New Roman"/>
          <w:bCs/>
          <w:sz w:val="24"/>
          <w:szCs w:val="24"/>
          <w:u w:val="single"/>
        </w:rPr>
        <w:t>https://doi.org/</w:t>
      </w:r>
      <w:r w:rsidRPr="0032506F">
        <w:rPr>
          <w:rFonts w:ascii="Times New Roman" w:hAnsi="Times New Roman" w:cs="Times New Roman"/>
          <w:sz w:val="24"/>
          <w:szCs w:val="24"/>
          <w:u w:val="single"/>
        </w:rPr>
        <w:t xml:space="preserve"> </w:t>
      </w:r>
      <w:r w:rsidRPr="0032506F">
        <w:rPr>
          <w:rFonts w:ascii="Times New Roman" w:eastAsia="Times New Roman" w:hAnsi="Times New Roman" w:cs="Times New Roman"/>
          <w:bCs/>
          <w:sz w:val="24"/>
          <w:szCs w:val="24"/>
          <w:u w:val="single"/>
        </w:rPr>
        <w:t>10.1037/a0014694</w:t>
      </w:r>
    </w:p>
    <w:p w14:paraId="547E977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Jimerson, S. R., Campos, E., &amp; Greif, J. L. (2003). Toward an understanding of definitions and measures of school engagement and related terms. </w:t>
      </w:r>
      <w:r w:rsidRPr="0032506F">
        <w:rPr>
          <w:rFonts w:ascii="Times New Roman" w:eastAsia="Times New Roman" w:hAnsi="Times New Roman" w:cs="Times New Roman"/>
          <w:bCs/>
          <w:i/>
          <w:iCs/>
          <w:sz w:val="24"/>
          <w:szCs w:val="24"/>
        </w:rPr>
        <w:t>California School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w:t>
      </w:r>
      <w:r w:rsidRPr="0032506F">
        <w:rPr>
          <w:rFonts w:ascii="Times New Roman" w:eastAsia="Times New Roman" w:hAnsi="Times New Roman" w:cs="Times New Roman"/>
          <w:bCs/>
          <w:sz w:val="24"/>
          <w:szCs w:val="24"/>
        </w:rPr>
        <w:t>, 7–27.</w:t>
      </w:r>
    </w:p>
    <w:p w14:paraId="26183F7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Johnson, N., Veletsianos, G., &amp; Seaman, J. (2020). U.S. faculty and administrators’ experiences and approaches in the early weeks of the  COVID-19 pandemic.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(2), 6–21. </w:t>
      </w:r>
      <w:hyperlink r:id="rId85" w:history="1">
        <w:r w:rsidRPr="0032506F">
          <w:rPr>
            <w:rStyle w:val="Hyperlink"/>
            <w:rFonts w:ascii="Times New Roman" w:eastAsia="Times New Roman" w:hAnsi="Times New Roman" w:cs="Times New Roman"/>
            <w:bCs/>
            <w:color w:val="000000" w:themeColor="text1"/>
            <w:sz w:val="24"/>
            <w:szCs w:val="24"/>
          </w:rPr>
          <w:t>https://doi.org/10.24059/olj.v24i2.2285</w:t>
        </w:r>
      </w:hyperlink>
    </w:p>
    <w:p w14:paraId="79D8498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Kahn, J. H. (2006). Factor analysis in counseling psychology research, training, and practice: Principles, advances, and applications. </w:t>
      </w:r>
      <w:r w:rsidRPr="0032506F">
        <w:rPr>
          <w:rFonts w:ascii="Times New Roman" w:eastAsia="Times New Roman" w:hAnsi="Times New Roman" w:cs="Times New Roman"/>
          <w:bCs/>
          <w:i/>
          <w:iCs/>
          <w:sz w:val="24"/>
          <w:szCs w:val="24"/>
        </w:rPr>
        <w:t>The Counseling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34</w:t>
      </w:r>
      <w:r w:rsidRPr="0032506F">
        <w:rPr>
          <w:rFonts w:ascii="Times New Roman" w:eastAsia="Times New Roman" w:hAnsi="Times New Roman" w:cs="Times New Roman"/>
          <w:bCs/>
          <w:sz w:val="24"/>
          <w:szCs w:val="24"/>
        </w:rPr>
        <w:t xml:space="preserve">(5), 684–718. </w:t>
      </w:r>
      <w:hyperlink r:id="rId86" w:history="1">
        <w:r w:rsidRPr="0032506F">
          <w:rPr>
            <w:rStyle w:val="Hyperlink"/>
            <w:rFonts w:ascii="Times New Roman" w:eastAsia="Times New Roman" w:hAnsi="Times New Roman" w:cs="Times New Roman"/>
            <w:bCs/>
            <w:color w:val="auto"/>
            <w:sz w:val="24"/>
            <w:szCs w:val="24"/>
          </w:rPr>
          <w:t>https://doi.org/10.1177/0011000006286347</w:t>
        </w:r>
      </w:hyperlink>
    </w:p>
    <w:p w14:paraId="6BCF815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Kardash, C. M., &amp; Amlund, J. T. (1991). Self-reported learning strategies and learning from expository text.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16</w:t>
      </w:r>
      <w:r w:rsidRPr="0032506F">
        <w:rPr>
          <w:rFonts w:ascii="Times New Roman" w:eastAsia="Times New Roman" w:hAnsi="Times New Roman" w:cs="Times New Roman"/>
          <w:bCs/>
          <w:sz w:val="24"/>
          <w:szCs w:val="24"/>
        </w:rPr>
        <w:t xml:space="preserve">(2), 117–138. </w:t>
      </w:r>
      <w:hyperlink r:id="rId87" w:history="1">
        <w:r w:rsidRPr="0032506F">
          <w:rPr>
            <w:rStyle w:val="Hyperlink"/>
            <w:rFonts w:ascii="Times New Roman" w:eastAsia="Times New Roman" w:hAnsi="Times New Roman" w:cs="Times New Roman"/>
            <w:bCs/>
            <w:color w:val="auto"/>
            <w:sz w:val="24"/>
            <w:szCs w:val="24"/>
          </w:rPr>
          <w:t>https://doi.org/10.1016/0361-476X(91)90032-G</w:t>
        </w:r>
      </w:hyperlink>
    </w:p>
    <w:p w14:paraId="4A8CF99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Kay, R. H. (2006). Developing a comprehensive metric for assessing discussion board effectiveness. </w:t>
      </w:r>
      <w:r w:rsidRPr="0032506F">
        <w:rPr>
          <w:rFonts w:ascii="Times New Roman" w:eastAsia="Times New Roman" w:hAnsi="Times New Roman" w:cs="Times New Roman"/>
          <w:bCs/>
          <w:i/>
          <w:iCs/>
          <w:sz w:val="24"/>
          <w:szCs w:val="24"/>
        </w:rPr>
        <w:t>British Journal of Educational Technology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37</w:t>
      </w:r>
      <w:r w:rsidRPr="0032506F">
        <w:rPr>
          <w:rFonts w:ascii="Times New Roman" w:eastAsia="Times New Roman" w:hAnsi="Times New Roman" w:cs="Times New Roman"/>
          <w:bCs/>
          <w:sz w:val="24"/>
          <w:szCs w:val="24"/>
        </w:rPr>
        <w:t xml:space="preserve">(5), 761–783. </w:t>
      </w:r>
      <w:hyperlink r:id="rId88" w:history="1">
        <w:r w:rsidRPr="0032506F">
          <w:rPr>
            <w:rStyle w:val="Hyperlink"/>
            <w:rFonts w:ascii="Times New Roman" w:eastAsia="Times New Roman" w:hAnsi="Times New Roman" w:cs="Times New Roman"/>
            <w:bCs/>
            <w:color w:val="auto"/>
            <w:sz w:val="24"/>
            <w:szCs w:val="24"/>
          </w:rPr>
          <w:t>https://doi.org/10.1111/j.1467-8535.2006.00560.x</w:t>
        </w:r>
      </w:hyperlink>
    </w:p>
    <w:p w14:paraId="1F5AA97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Kenny, D. A., &amp; McCoach, D. B. (2003). Effect of the number of variables on measures of fit in structural equation modeling. </w:t>
      </w:r>
      <w:r w:rsidRPr="0032506F">
        <w:rPr>
          <w:rFonts w:ascii="Times New Roman" w:eastAsia="Times New Roman" w:hAnsi="Times New Roman" w:cs="Times New Roman"/>
          <w:bCs/>
          <w:i/>
          <w:iCs/>
          <w:sz w:val="24"/>
          <w:szCs w:val="24"/>
        </w:rPr>
        <w:t>Structural Equation Modeling: A Multidisciplinary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w:t>
      </w:r>
      <w:r w:rsidRPr="0032506F">
        <w:rPr>
          <w:rFonts w:ascii="Times New Roman" w:eastAsia="Times New Roman" w:hAnsi="Times New Roman" w:cs="Times New Roman"/>
          <w:bCs/>
          <w:sz w:val="24"/>
          <w:szCs w:val="24"/>
        </w:rPr>
        <w:t xml:space="preserve">(3), 333–351. </w:t>
      </w:r>
      <w:hyperlink r:id="rId89" w:history="1">
        <w:r w:rsidRPr="0032506F">
          <w:rPr>
            <w:rStyle w:val="Hyperlink"/>
            <w:rFonts w:ascii="Times New Roman" w:eastAsia="Times New Roman" w:hAnsi="Times New Roman" w:cs="Times New Roman"/>
            <w:bCs/>
            <w:color w:val="auto"/>
            <w:sz w:val="24"/>
            <w:szCs w:val="24"/>
          </w:rPr>
          <w:t>https://doi.org/10.1207/S15328007SEM1003_1</w:t>
        </w:r>
      </w:hyperlink>
    </w:p>
    <w:p w14:paraId="0CE5167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Klem, A. M., &amp; Connell, J. P. (2004). Relationships matter: Linking teacher support to student engagement and achievement. </w:t>
      </w:r>
      <w:r w:rsidRPr="0032506F">
        <w:rPr>
          <w:rFonts w:ascii="Times New Roman" w:eastAsia="Times New Roman" w:hAnsi="Times New Roman" w:cs="Times New Roman"/>
          <w:bCs/>
          <w:i/>
          <w:iCs/>
          <w:sz w:val="24"/>
          <w:szCs w:val="24"/>
        </w:rPr>
        <w:t>Journal of School Health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74</w:t>
      </w:r>
      <w:r w:rsidRPr="0032506F">
        <w:rPr>
          <w:rFonts w:ascii="Times New Roman" w:eastAsia="Times New Roman" w:hAnsi="Times New Roman" w:cs="Times New Roman"/>
          <w:bCs/>
          <w:sz w:val="24"/>
          <w:szCs w:val="24"/>
        </w:rPr>
        <w:t xml:space="preserve">(7), 262–273. </w:t>
      </w:r>
      <w:hyperlink r:id="rId90" w:history="1">
        <w:r w:rsidRPr="0032506F">
          <w:rPr>
            <w:rStyle w:val="Hyperlink"/>
            <w:rFonts w:ascii="Times New Roman" w:eastAsia="Times New Roman" w:hAnsi="Times New Roman" w:cs="Times New Roman"/>
            <w:bCs/>
            <w:color w:val="auto"/>
            <w:sz w:val="24"/>
            <w:szCs w:val="24"/>
          </w:rPr>
          <w:t>https://doi.org/10.1111/j.1746-1561.2004.tb08283.x</w:t>
        </w:r>
      </w:hyperlink>
    </w:p>
    <w:p w14:paraId="24E88FDD" w14:textId="628538C6" w:rsidR="006B3259" w:rsidRPr="0032506F" w:rsidRDefault="006B3259" w:rsidP="00054531">
      <w:pPr>
        <w:spacing w:after="0" w:line="480" w:lineRule="auto"/>
        <w:ind w:hanging="475"/>
        <w:rPr>
          <w:rFonts w:ascii="Times New Roman" w:eastAsia="Times New Roman" w:hAnsi="Times New Roman" w:cs="Times New Roman"/>
          <w:bCs/>
          <w:sz w:val="24"/>
          <w:szCs w:val="24"/>
        </w:rPr>
      </w:pPr>
      <w:r w:rsidRPr="0032506F">
        <w:rPr>
          <w:rFonts w:ascii="Times New Roman" w:eastAsia="Times New Roman" w:hAnsi="Times New Roman" w:cs="Times New Roman"/>
          <w:sz w:val="24"/>
          <w:szCs w:val="24"/>
        </w:rPr>
        <w:tab/>
      </w:r>
      <w:r w:rsidRPr="0032506F">
        <w:rPr>
          <w:rFonts w:ascii="Times New Roman" w:eastAsia="Times New Roman" w:hAnsi="Times New Roman" w:cs="Times New Roman"/>
          <w:bCs/>
          <w:sz w:val="24"/>
          <w:szCs w:val="24"/>
        </w:rPr>
        <w:t xml:space="preserve">Kline, R. B. (2016). </w:t>
      </w:r>
      <w:r w:rsidRPr="0032506F">
        <w:rPr>
          <w:rFonts w:ascii="Times New Roman" w:eastAsia="Times New Roman" w:hAnsi="Times New Roman" w:cs="Times New Roman"/>
          <w:bCs/>
          <w:i/>
          <w:iCs/>
          <w:sz w:val="24"/>
          <w:szCs w:val="24"/>
        </w:rPr>
        <w:t>Principles and practice of structural equation modeling</w:t>
      </w:r>
      <w:r w:rsidRPr="0032506F">
        <w:rPr>
          <w:rFonts w:ascii="Times New Roman" w:eastAsia="Times New Roman" w:hAnsi="Times New Roman" w:cs="Times New Roman"/>
          <w:bCs/>
          <w:sz w:val="24"/>
          <w:szCs w:val="24"/>
        </w:rPr>
        <w:t xml:space="preserve"> (4th ed). The </w:t>
      </w:r>
      <w:r w:rsidR="00054531" w:rsidRPr="0032506F">
        <w:rPr>
          <w:rFonts w:ascii="Times New Roman" w:eastAsia="Times New Roman" w:hAnsi="Times New Roman" w:cs="Times New Roman"/>
          <w:bCs/>
          <w:sz w:val="24"/>
          <w:szCs w:val="24"/>
        </w:rPr>
        <w:tab/>
      </w:r>
      <w:r w:rsidRPr="0032506F">
        <w:rPr>
          <w:rFonts w:ascii="Times New Roman" w:eastAsia="Times New Roman" w:hAnsi="Times New Roman" w:cs="Times New Roman"/>
          <w:bCs/>
          <w:sz w:val="24"/>
          <w:szCs w:val="24"/>
        </w:rPr>
        <w:t>Guilford Press.</w:t>
      </w:r>
    </w:p>
    <w:p w14:paraId="290DEFD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Kokoç, M., Akçapınar, G., &amp; Hasnine, M. N. (2021). Unfolding students’ online assignment submission behavioral patterns using temporal learning analytics. </w:t>
      </w:r>
      <w:r w:rsidRPr="0032506F">
        <w:rPr>
          <w:rFonts w:ascii="Times New Roman" w:eastAsia="Times New Roman" w:hAnsi="Times New Roman" w:cs="Times New Roman"/>
          <w:bCs/>
          <w:i/>
          <w:iCs/>
          <w:sz w:val="24"/>
          <w:szCs w:val="24"/>
        </w:rPr>
        <w:t>Journal of Educational Technology &amp; Society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(1), 223–235. </w:t>
      </w:r>
    </w:p>
    <w:p w14:paraId="3476AAC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Kozan, K., &amp; Richardson, J. C. (2014). Interrelationships between and among social, teaching, and cognitive presence. </w:t>
      </w:r>
      <w:r w:rsidRPr="0032506F">
        <w:rPr>
          <w:rFonts w:ascii="Times New Roman" w:eastAsia="Times New Roman" w:hAnsi="Times New Roman" w:cs="Times New Roman"/>
          <w:bCs/>
          <w:i/>
          <w:iCs/>
          <w:sz w:val="24"/>
          <w:szCs w:val="24"/>
        </w:rPr>
        <w:t>The 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 xml:space="preserve">, 68–73. </w:t>
      </w:r>
      <w:hyperlink r:id="rId91" w:history="1">
        <w:r w:rsidRPr="0032506F">
          <w:rPr>
            <w:rStyle w:val="Hyperlink"/>
            <w:rFonts w:ascii="Times New Roman" w:eastAsia="Times New Roman" w:hAnsi="Times New Roman" w:cs="Times New Roman"/>
            <w:bCs/>
            <w:color w:val="auto"/>
            <w:sz w:val="24"/>
            <w:szCs w:val="24"/>
          </w:rPr>
          <w:t>https://doi.org/10.1016/j.iheduc.2013.10.007</w:t>
        </w:r>
      </w:hyperlink>
    </w:p>
    <w:p w14:paraId="53F257A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Kucuk, S., &amp; Richardson, J. C. (2019). A structural equation model of predictors of online learners’ engagement and satisfaction.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23</w:t>
      </w:r>
      <w:r w:rsidRPr="0032506F">
        <w:rPr>
          <w:rFonts w:ascii="Times New Roman" w:eastAsia="Times New Roman" w:hAnsi="Times New Roman" w:cs="Times New Roman"/>
          <w:bCs/>
          <w:sz w:val="24"/>
          <w:szCs w:val="24"/>
        </w:rPr>
        <w:t xml:space="preserve">(2), 196–216. </w:t>
      </w:r>
      <w:hyperlink r:id="rId92" w:history="1">
        <w:r w:rsidRPr="0032506F">
          <w:rPr>
            <w:rStyle w:val="Hyperlink"/>
            <w:rFonts w:ascii="Times New Roman" w:eastAsia="Times New Roman" w:hAnsi="Times New Roman" w:cs="Times New Roman"/>
            <w:bCs/>
            <w:color w:val="auto"/>
            <w:sz w:val="24"/>
            <w:szCs w:val="24"/>
          </w:rPr>
          <w:t>https://doi.org/10.24059/olj.v23i2.1455</w:t>
        </w:r>
      </w:hyperlink>
    </w:p>
    <w:p w14:paraId="44BD878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Kuh, G. D. (2003). What we’re learning about student engagement from NSSE. </w:t>
      </w:r>
      <w:r w:rsidRPr="0032506F">
        <w:rPr>
          <w:rFonts w:ascii="Times New Roman" w:eastAsia="Times New Roman" w:hAnsi="Times New Roman" w:cs="Times New Roman"/>
          <w:bCs/>
          <w:i/>
          <w:iCs/>
          <w:sz w:val="24"/>
          <w:szCs w:val="24"/>
        </w:rPr>
        <w:t>Change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35</w:t>
      </w:r>
      <w:r w:rsidRPr="0032506F">
        <w:rPr>
          <w:rFonts w:ascii="Times New Roman" w:eastAsia="Times New Roman" w:hAnsi="Times New Roman" w:cs="Times New Roman"/>
          <w:bCs/>
          <w:sz w:val="24"/>
          <w:szCs w:val="24"/>
        </w:rPr>
        <w:t xml:space="preserve">(2), 24. </w:t>
      </w:r>
    </w:p>
    <w:p w14:paraId="69BC781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Kuh, G. D. (2009). The National Survey of Student Engagement: Conceptual and empirical foundations. </w:t>
      </w:r>
      <w:r w:rsidRPr="0032506F">
        <w:rPr>
          <w:rFonts w:ascii="Times New Roman" w:eastAsia="Times New Roman" w:hAnsi="Times New Roman" w:cs="Times New Roman"/>
          <w:bCs/>
          <w:i/>
          <w:iCs/>
          <w:sz w:val="24"/>
          <w:szCs w:val="24"/>
        </w:rPr>
        <w:t>New Directions for Institutional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2009</w:t>
      </w:r>
      <w:r w:rsidRPr="0032506F">
        <w:rPr>
          <w:rFonts w:ascii="Times New Roman" w:eastAsia="Times New Roman" w:hAnsi="Times New Roman" w:cs="Times New Roman"/>
          <w:bCs/>
          <w:sz w:val="24"/>
          <w:szCs w:val="24"/>
        </w:rPr>
        <w:t xml:space="preserve">(141), 5–20. </w:t>
      </w:r>
      <w:hyperlink r:id="rId93" w:history="1">
        <w:r w:rsidRPr="0032506F">
          <w:rPr>
            <w:rStyle w:val="Hyperlink"/>
            <w:rFonts w:ascii="Times New Roman" w:eastAsia="Times New Roman" w:hAnsi="Times New Roman" w:cs="Times New Roman"/>
            <w:bCs/>
            <w:color w:val="auto"/>
            <w:sz w:val="24"/>
            <w:szCs w:val="24"/>
          </w:rPr>
          <w:t>https://doi.org/10.1002/ir.283</w:t>
        </w:r>
      </w:hyperlink>
    </w:p>
    <w:p w14:paraId="6CEDF38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Kuh, G. D. (2016). Making learning meaningful: Engaging students in ways that matter to them. </w:t>
      </w:r>
      <w:r w:rsidRPr="0032506F">
        <w:rPr>
          <w:rFonts w:ascii="Times New Roman" w:eastAsia="Times New Roman" w:hAnsi="Times New Roman" w:cs="Times New Roman"/>
          <w:bCs/>
          <w:i/>
          <w:iCs/>
          <w:sz w:val="24"/>
          <w:szCs w:val="24"/>
        </w:rPr>
        <w:t>New Directions for Teaching &amp;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2016</w:t>
      </w:r>
      <w:r w:rsidRPr="0032506F">
        <w:rPr>
          <w:rFonts w:ascii="Times New Roman" w:eastAsia="Times New Roman" w:hAnsi="Times New Roman" w:cs="Times New Roman"/>
          <w:bCs/>
          <w:sz w:val="24"/>
          <w:szCs w:val="24"/>
        </w:rPr>
        <w:t xml:space="preserve">(145), 49–56. </w:t>
      </w:r>
      <w:hyperlink r:id="rId94" w:history="1">
        <w:r w:rsidRPr="0032506F">
          <w:rPr>
            <w:rStyle w:val="Hyperlink"/>
            <w:rFonts w:ascii="Times New Roman" w:eastAsia="Times New Roman" w:hAnsi="Times New Roman" w:cs="Times New Roman"/>
            <w:bCs/>
            <w:color w:val="auto"/>
            <w:sz w:val="24"/>
            <w:szCs w:val="24"/>
          </w:rPr>
          <w:t>https://doi.org/10.1002/tl.20174</w:t>
        </w:r>
      </w:hyperlink>
    </w:p>
    <w:p w14:paraId="44E5F00F" w14:textId="0692B0FC"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Kumi, R., &amp; Sabherwal, R. (2019). Knowledge sharing behavior in online discussion communities: Examining behavior motivation from social and individual perspectives. </w:t>
      </w:r>
      <w:r w:rsidRPr="0032506F">
        <w:rPr>
          <w:rFonts w:ascii="Times New Roman" w:eastAsia="Times New Roman" w:hAnsi="Times New Roman" w:cs="Times New Roman"/>
          <w:bCs/>
          <w:i/>
          <w:iCs/>
          <w:sz w:val="24"/>
          <w:szCs w:val="24"/>
        </w:rPr>
        <w:t>Knowledge &amp; Process Management</w:t>
      </w:r>
      <w:r w:rsidRPr="0032506F">
        <w:rPr>
          <w:rFonts w:ascii="Times New Roman" w:eastAsia="Times New Roman" w:hAnsi="Times New Roman" w:cs="Times New Roman"/>
          <w:bCs/>
          <w:sz w:val="24"/>
          <w:szCs w:val="24"/>
        </w:rPr>
        <w:t>, </w:t>
      </w:r>
      <w:r w:rsidRPr="0032506F">
        <w:rPr>
          <w:rFonts w:ascii="Times New Roman" w:eastAsia="Times New Roman" w:hAnsi="Times New Roman" w:cs="Times New Roman"/>
          <w:bCs/>
          <w:i/>
          <w:iCs/>
          <w:sz w:val="24"/>
          <w:szCs w:val="24"/>
        </w:rPr>
        <w:t>26</w:t>
      </w:r>
      <w:r w:rsidRPr="0032506F">
        <w:rPr>
          <w:rFonts w:ascii="Times New Roman" w:eastAsia="Times New Roman" w:hAnsi="Times New Roman" w:cs="Times New Roman"/>
          <w:bCs/>
          <w:sz w:val="24"/>
          <w:szCs w:val="24"/>
        </w:rPr>
        <w:t xml:space="preserve">(2), 110–122. </w:t>
      </w:r>
      <w:hyperlink r:id="rId95" w:history="1">
        <w:r w:rsidRPr="0032506F">
          <w:rPr>
            <w:rStyle w:val="Hyperlink"/>
            <w:rFonts w:ascii="Times New Roman" w:eastAsia="Times New Roman" w:hAnsi="Times New Roman" w:cs="Times New Roman"/>
            <w:bCs/>
            <w:color w:val="auto"/>
            <w:sz w:val="24"/>
            <w:szCs w:val="24"/>
          </w:rPr>
          <w:t>https://doi-org.ezproxy.lib.ou.edu/10.1002/kpm.1574</w:t>
        </w:r>
      </w:hyperlink>
    </w:p>
    <w:p w14:paraId="78BF557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Lear, J. L., Ansorge, C., &amp; Steckelberg, A. (2010). Interactivity/Community process model for the online education environment. </w:t>
      </w:r>
      <w:r w:rsidRPr="0032506F">
        <w:rPr>
          <w:rFonts w:ascii="Times New Roman" w:eastAsia="Times New Roman" w:hAnsi="Times New Roman" w:cs="Times New Roman"/>
          <w:bCs/>
          <w:i/>
          <w:iCs/>
          <w:sz w:val="24"/>
          <w:szCs w:val="24"/>
        </w:rPr>
        <w:t>MERLOT Journal of Online Learning and Teaching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w:t>
      </w:r>
      <w:r w:rsidRPr="0032506F">
        <w:rPr>
          <w:rFonts w:ascii="Times New Roman" w:eastAsia="Times New Roman" w:hAnsi="Times New Roman" w:cs="Times New Roman"/>
          <w:bCs/>
          <w:sz w:val="24"/>
          <w:szCs w:val="24"/>
        </w:rPr>
        <w:t>(1), 71–77.</w:t>
      </w:r>
    </w:p>
    <w:p w14:paraId="6D35ABA2" w14:textId="77777777" w:rsidR="006B3259" w:rsidRPr="00186188"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Lee, J.-E., &amp; Recker, M. (2021). The effects of instructors’ use of online discussions strategies on student participation and performance in university online introductory mathematics courses.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162</w:t>
      </w:r>
      <w:r w:rsidRPr="0032506F">
        <w:rPr>
          <w:rFonts w:ascii="Times New Roman" w:eastAsia="Times New Roman" w:hAnsi="Times New Roman" w:cs="Times New Roman"/>
          <w:bCs/>
          <w:sz w:val="24"/>
          <w:szCs w:val="24"/>
        </w:rPr>
        <w:t xml:space="preserve">, 104084. </w:t>
      </w:r>
      <w:hyperlink r:id="rId96" w:history="1">
        <w:r w:rsidRPr="00186188">
          <w:rPr>
            <w:rStyle w:val="Hyperlink"/>
            <w:rFonts w:ascii="Times New Roman" w:eastAsia="Times New Roman" w:hAnsi="Times New Roman" w:cs="Times New Roman"/>
            <w:bCs/>
            <w:color w:val="auto"/>
            <w:sz w:val="24"/>
            <w:szCs w:val="24"/>
          </w:rPr>
          <w:t>https://doi.org/10.1016/j.compedu.2020.104084</w:t>
        </w:r>
      </w:hyperlink>
    </w:p>
    <w:p w14:paraId="6EEE4DC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Lee, J., Song, H.-D., &amp; Hong, A. J. (2019). Exploring factors, and indicators for measuring students’ sustainable engagement in e-learning. </w:t>
      </w:r>
      <w:r w:rsidRPr="0032506F">
        <w:rPr>
          <w:rFonts w:ascii="Times New Roman" w:eastAsia="Times New Roman" w:hAnsi="Times New Roman" w:cs="Times New Roman"/>
          <w:bCs/>
          <w:i/>
          <w:iCs/>
          <w:sz w:val="24"/>
          <w:szCs w:val="24"/>
        </w:rPr>
        <w:t>Sustainability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w:t>
      </w:r>
      <w:r w:rsidRPr="0032506F">
        <w:rPr>
          <w:rFonts w:ascii="Times New Roman" w:eastAsia="Times New Roman" w:hAnsi="Times New Roman" w:cs="Times New Roman"/>
          <w:bCs/>
          <w:sz w:val="24"/>
          <w:szCs w:val="24"/>
        </w:rPr>
        <w:t xml:space="preserve">(4). </w:t>
      </w:r>
      <w:hyperlink r:id="rId97" w:history="1">
        <w:r w:rsidRPr="0032506F">
          <w:rPr>
            <w:rStyle w:val="Hyperlink"/>
            <w:rFonts w:ascii="Times New Roman" w:eastAsia="Times New Roman" w:hAnsi="Times New Roman" w:cs="Times New Roman"/>
            <w:bCs/>
            <w:color w:val="auto"/>
            <w:sz w:val="24"/>
            <w:szCs w:val="24"/>
          </w:rPr>
          <w:t>https://doi.org/10.3390/su11040985</w:t>
        </w:r>
      </w:hyperlink>
    </w:p>
    <w:p w14:paraId="6E32DAD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Leung, S.-O. (2011). A comparison of psychometric properties and normality in 4-, 5-, 6-, and 11-point Likert scales. </w:t>
      </w:r>
      <w:r w:rsidRPr="0032506F">
        <w:rPr>
          <w:rFonts w:ascii="Times New Roman" w:eastAsia="Times New Roman" w:hAnsi="Times New Roman" w:cs="Times New Roman"/>
          <w:bCs/>
          <w:i/>
          <w:iCs/>
          <w:sz w:val="24"/>
          <w:szCs w:val="24"/>
        </w:rPr>
        <w:t>Journal of Social Service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37</w:t>
      </w:r>
      <w:r w:rsidRPr="0032506F">
        <w:rPr>
          <w:rFonts w:ascii="Times New Roman" w:eastAsia="Times New Roman" w:hAnsi="Times New Roman" w:cs="Times New Roman"/>
          <w:bCs/>
          <w:sz w:val="24"/>
          <w:szCs w:val="24"/>
        </w:rPr>
        <w:t xml:space="preserve">(4), 412–421. </w:t>
      </w:r>
      <w:hyperlink r:id="rId98" w:history="1">
        <w:r w:rsidRPr="0032506F">
          <w:rPr>
            <w:rStyle w:val="Hyperlink"/>
            <w:rFonts w:ascii="Times New Roman" w:eastAsia="Times New Roman" w:hAnsi="Times New Roman" w:cs="Times New Roman"/>
            <w:bCs/>
            <w:color w:val="auto"/>
            <w:sz w:val="24"/>
            <w:szCs w:val="24"/>
          </w:rPr>
          <w:t>https://doi.org/10.1080/01488376.2011.580697</w:t>
        </w:r>
      </w:hyperlink>
    </w:p>
    <w:p w14:paraId="132C55E7" w14:textId="77777777" w:rsidR="006B3259" w:rsidRPr="0032506F" w:rsidRDefault="006B3259" w:rsidP="006B3259">
      <w:pPr>
        <w:spacing w:after="0" w:line="480" w:lineRule="auto"/>
        <w:ind w:left="720" w:hanging="720"/>
        <w:rPr>
          <w:rFonts w:ascii="Times New Roman" w:eastAsia="Times New Roman" w:hAnsi="Times New Roman" w:cs="Times New Roman"/>
          <w:bCs/>
          <w:color w:val="000000" w:themeColor="text1"/>
          <w:sz w:val="24"/>
          <w:szCs w:val="24"/>
        </w:rPr>
      </w:pPr>
      <w:r w:rsidRPr="0032506F">
        <w:rPr>
          <w:rFonts w:ascii="Times New Roman" w:eastAsia="Times New Roman" w:hAnsi="Times New Roman" w:cs="Times New Roman"/>
          <w:bCs/>
          <w:sz w:val="24"/>
          <w:szCs w:val="24"/>
        </w:rPr>
        <w:lastRenderedPageBreak/>
        <w:t xml:space="preserve">Li, C.-H. (2016). Confirmatory factor analysis with ordinal data: Comparing robust maximum likelihood and diagonally weighted least squares. </w:t>
      </w:r>
      <w:r w:rsidRPr="0032506F">
        <w:rPr>
          <w:rFonts w:ascii="Times New Roman" w:eastAsia="Times New Roman" w:hAnsi="Times New Roman" w:cs="Times New Roman"/>
          <w:bCs/>
          <w:i/>
          <w:iCs/>
          <w:sz w:val="24"/>
          <w:szCs w:val="24"/>
        </w:rPr>
        <w:t>Behavior Research Methods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48</w:t>
      </w:r>
      <w:r w:rsidRPr="0032506F">
        <w:rPr>
          <w:rFonts w:ascii="Times New Roman" w:eastAsia="Times New Roman" w:hAnsi="Times New Roman" w:cs="Times New Roman"/>
          <w:bCs/>
          <w:sz w:val="24"/>
          <w:szCs w:val="24"/>
        </w:rPr>
        <w:t>(3), 936–949</w:t>
      </w:r>
      <w:r w:rsidRPr="0032506F">
        <w:rPr>
          <w:rFonts w:ascii="Times New Roman" w:eastAsia="Times New Roman" w:hAnsi="Times New Roman" w:cs="Times New Roman"/>
          <w:bCs/>
          <w:color w:val="000000" w:themeColor="text1"/>
          <w:sz w:val="24"/>
          <w:szCs w:val="24"/>
        </w:rPr>
        <w:t xml:space="preserve">. </w:t>
      </w:r>
      <w:hyperlink r:id="rId99" w:history="1">
        <w:r w:rsidRPr="0032506F">
          <w:rPr>
            <w:rStyle w:val="Hyperlink"/>
            <w:rFonts w:ascii="Times New Roman" w:eastAsia="Times New Roman" w:hAnsi="Times New Roman" w:cs="Times New Roman"/>
            <w:bCs/>
            <w:color w:val="000000" w:themeColor="text1"/>
            <w:sz w:val="24"/>
            <w:szCs w:val="24"/>
          </w:rPr>
          <w:t>https://doi.org/10.3758/s13428-015-0619-7</w:t>
        </w:r>
      </w:hyperlink>
    </w:p>
    <w:p w14:paraId="37E19BD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Li, Y., &amp; Lerner, R. (2013). Interrelations of behavioral, emotional, and cognitive school engagement in high school students. </w:t>
      </w:r>
      <w:r w:rsidRPr="0032506F">
        <w:rPr>
          <w:rFonts w:ascii="Times New Roman" w:eastAsia="Times New Roman" w:hAnsi="Times New Roman" w:cs="Times New Roman"/>
          <w:bCs/>
          <w:i/>
          <w:iCs/>
          <w:sz w:val="24"/>
          <w:szCs w:val="24"/>
        </w:rPr>
        <w:t>Journal of Youth &amp; Adolescence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42</w:t>
      </w:r>
      <w:r w:rsidRPr="0032506F">
        <w:rPr>
          <w:rFonts w:ascii="Times New Roman" w:eastAsia="Times New Roman" w:hAnsi="Times New Roman" w:cs="Times New Roman"/>
          <w:bCs/>
          <w:sz w:val="24"/>
          <w:szCs w:val="24"/>
        </w:rPr>
        <w:t xml:space="preserve">(1), 20–32. </w:t>
      </w:r>
      <w:hyperlink r:id="rId100" w:history="1">
        <w:r w:rsidRPr="0032506F">
          <w:rPr>
            <w:rStyle w:val="Hyperlink"/>
            <w:rFonts w:ascii="Times New Roman" w:eastAsia="Times New Roman" w:hAnsi="Times New Roman" w:cs="Times New Roman"/>
            <w:bCs/>
            <w:color w:val="auto"/>
            <w:sz w:val="24"/>
            <w:szCs w:val="24"/>
          </w:rPr>
          <w:t>https://doi.org/10.1007/s10964-012-9857-5</w:t>
        </w:r>
      </w:hyperlink>
    </w:p>
    <w:p w14:paraId="2A8F6D5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Lin, C.-H., Zhang, Y., &amp; Zheng, B. (2017). The roles of learning strategies and motivation in online language learning: A structural equation modeling analysis.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113</w:t>
      </w:r>
      <w:r w:rsidRPr="0032506F">
        <w:rPr>
          <w:rFonts w:ascii="Times New Roman" w:eastAsia="Times New Roman" w:hAnsi="Times New Roman" w:cs="Times New Roman"/>
          <w:bCs/>
          <w:sz w:val="24"/>
          <w:szCs w:val="24"/>
        </w:rPr>
        <w:t xml:space="preserve">, 75–85. </w:t>
      </w:r>
      <w:hyperlink r:id="rId101" w:history="1">
        <w:r w:rsidRPr="0032506F">
          <w:rPr>
            <w:rStyle w:val="Hyperlink"/>
            <w:rFonts w:ascii="Times New Roman" w:eastAsia="Times New Roman" w:hAnsi="Times New Roman" w:cs="Times New Roman"/>
            <w:bCs/>
            <w:color w:val="auto"/>
            <w:sz w:val="24"/>
            <w:szCs w:val="24"/>
          </w:rPr>
          <w:t>https://doi.org/10.1016/j.compedu.2017.05.014</w:t>
        </w:r>
      </w:hyperlink>
    </w:p>
    <w:p w14:paraId="799859F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Linder, K. E., Fontaine-Rainen, D. L., &amp; Behling, K. (2015). Whose </w:t>
      </w:r>
      <w:proofErr w:type="gramStart"/>
      <w:r w:rsidRPr="0032506F">
        <w:rPr>
          <w:rFonts w:ascii="Times New Roman" w:eastAsia="Times New Roman" w:hAnsi="Times New Roman" w:cs="Times New Roman"/>
          <w:bCs/>
          <w:sz w:val="24"/>
          <w:szCs w:val="24"/>
        </w:rPr>
        <w:t>job</w:t>
      </w:r>
      <w:proofErr w:type="gramEnd"/>
      <w:r w:rsidRPr="0032506F">
        <w:rPr>
          <w:rFonts w:ascii="Times New Roman" w:eastAsia="Times New Roman" w:hAnsi="Times New Roman" w:cs="Times New Roman"/>
          <w:bCs/>
          <w:sz w:val="24"/>
          <w:szCs w:val="24"/>
        </w:rPr>
        <w:t xml:space="preserve"> is it? Key challenges and future directions for online accessibility in US institutions of higher education. </w:t>
      </w:r>
      <w:r w:rsidRPr="0032506F">
        <w:rPr>
          <w:rFonts w:ascii="Times New Roman" w:eastAsia="Times New Roman" w:hAnsi="Times New Roman" w:cs="Times New Roman"/>
          <w:bCs/>
          <w:i/>
          <w:iCs/>
          <w:sz w:val="24"/>
          <w:szCs w:val="24"/>
        </w:rPr>
        <w:t>Open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30</w:t>
      </w:r>
      <w:r w:rsidRPr="0032506F">
        <w:rPr>
          <w:rFonts w:ascii="Times New Roman" w:eastAsia="Times New Roman" w:hAnsi="Times New Roman" w:cs="Times New Roman"/>
          <w:bCs/>
          <w:sz w:val="24"/>
          <w:szCs w:val="24"/>
        </w:rPr>
        <w:t xml:space="preserve">(1), 21–34. </w:t>
      </w:r>
      <w:hyperlink r:id="rId102" w:history="1">
        <w:r w:rsidRPr="0032506F">
          <w:rPr>
            <w:rStyle w:val="Hyperlink"/>
            <w:rFonts w:ascii="Times New Roman" w:eastAsia="Times New Roman" w:hAnsi="Times New Roman" w:cs="Times New Roman"/>
            <w:bCs/>
            <w:color w:val="auto"/>
            <w:sz w:val="24"/>
            <w:szCs w:val="24"/>
          </w:rPr>
          <w:t>https://doi.org/10.1080/02680513.2015.1007859</w:t>
        </w:r>
      </w:hyperlink>
    </w:p>
    <w:p w14:paraId="3B3BA9F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Litman, J. A., &amp; Spielberger, C. D. (2003). Measuring epistemic curiosity and its diversive and specific components. </w:t>
      </w:r>
      <w:r w:rsidRPr="0032506F">
        <w:rPr>
          <w:rFonts w:ascii="Times New Roman" w:eastAsia="Times New Roman" w:hAnsi="Times New Roman" w:cs="Times New Roman"/>
          <w:bCs/>
          <w:i/>
          <w:iCs/>
          <w:sz w:val="24"/>
          <w:szCs w:val="24"/>
        </w:rPr>
        <w:t>Journal of Personality Assessment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80</w:t>
      </w:r>
      <w:r w:rsidRPr="0032506F">
        <w:rPr>
          <w:rFonts w:ascii="Times New Roman" w:eastAsia="Times New Roman" w:hAnsi="Times New Roman" w:cs="Times New Roman"/>
          <w:bCs/>
          <w:sz w:val="24"/>
          <w:szCs w:val="24"/>
        </w:rPr>
        <w:t xml:space="preserve">(1), 75–86. </w:t>
      </w:r>
      <w:hyperlink r:id="rId103" w:history="1">
        <w:r w:rsidRPr="0032506F">
          <w:rPr>
            <w:rStyle w:val="Hyperlink"/>
            <w:rFonts w:ascii="Times New Roman" w:eastAsia="Times New Roman" w:hAnsi="Times New Roman" w:cs="Times New Roman"/>
            <w:bCs/>
            <w:color w:val="auto"/>
            <w:sz w:val="24"/>
            <w:szCs w:val="24"/>
          </w:rPr>
          <w:t>https://doi.org/10.1207/S15327752JPA8001_16</w:t>
        </w:r>
      </w:hyperlink>
    </w:p>
    <w:p w14:paraId="19A4BDA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Lomax, R. G., &amp; Hahs-Vaughn, D. L. (2012). </w:t>
      </w:r>
      <w:r w:rsidRPr="0032506F">
        <w:rPr>
          <w:rFonts w:ascii="Times New Roman" w:eastAsia="Times New Roman" w:hAnsi="Times New Roman" w:cs="Times New Roman"/>
          <w:bCs/>
          <w:i/>
          <w:iCs/>
          <w:sz w:val="24"/>
          <w:szCs w:val="24"/>
        </w:rPr>
        <w:t>An introduction to statistical concepts</w:t>
      </w:r>
      <w:r w:rsidRPr="0032506F">
        <w:rPr>
          <w:rFonts w:ascii="Times New Roman" w:eastAsia="Times New Roman" w:hAnsi="Times New Roman" w:cs="Times New Roman"/>
          <w:bCs/>
          <w:sz w:val="24"/>
          <w:szCs w:val="24"/>
        </w:rPr>
        <w:t xml:space="preserve"> (3rd ed.). Routledge/Taylor &amp; Francis Group.</w:t>
      </w:r>
    </w:p>
    <w:p w14:paraId="2E718B9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Maehr, M. L. (1984). Meaning and motivation: Toward a theory of personal investment. In R. Ames &amp; C. Ames (Eds.), </w:t>
      </w:r>
      <w:r w:rsidRPr="0032506F">
        <w:rPr>
          <w:rFonts w:ascii="Times New Roman" w:eastAsia="Times New Roman" w:hAnsi="Times New Roman" w:cs="Times New Roman"/>
          <w:bCs/>
          <w:i/>
          <w:iCs/>
          <w:sz w:val="24"/>
          <w:szCs w:val="24"/>
        </w:rPr>
        <w:t>Research on motivation in education: Student motivation</w:t>
      </w:r>
      <w:r w:rsidRPr="0032506F">
        <w:rPr>
          <w:rFonts w:ascii="Times New Roman" w:eastAsia="Times New Roman" w:hAnsi="Times New Roman" w:cs="Times New Roman"/>
          <w:bCs/>
          <w:sz w:val="24"/>
          <w:szCs w:val="24"/>
        </w:rPr>
        <w:t xml:space="preserve"> (Vol. 1, pp. 115–144). Academic Press.</w:t>
      </w:r>
    </w:p>
    <w:p w14:paraId="33B96A40" w14:textId="77777777" w:rsidR="00BB25B8" w:rsidRDefault="00BB25B8" w:rsidP="006B3259">
      <w:pPr>
        <w:spacing w:after="0" w:line="480" w:lineRule="auto"/>
        <w:ind w:left="720" w:hanging="720"/>
        <w:rPr>
          <w:rFonts w:ascii="Times New Roman" w:eastAsia="Times New Roman" w:hAnsi="Times New Roman" w:cs="Times New Roman"/>
          <w:bCs/>
          <w:sz w:val="24"/>
          <w:szCs w:val="24"/>
        </w:rPr>
      </w:pPr>
    </w:p>
    <w:p w14:paraId="5DFE7D93" w14:textId="77777777" w:rsidR="00BB25B8" w:rsidRDefault="00BB25B8" w:rsidP="006B3259">
      <w:pPr>
        <w:spacing w:after="0" w:line="480" w:lineRule="auto"/>
        <w:ind w:left="720" w:hanging="720"/>
        <w:rPr>
          <w:rFonts w:ascii="Times New Roman" w:eastAsia="Times New Roman" w:hAnsi="Times New Roman" w:cs="Times New Roman"/>
          <w:bCs/>
          <w:sz w:val="24"/>
          <w:szCs w:val="24"/>
        </w:rPr>
      </w:pPr>
    </w:p>
    <w:p w14:paraId="30F3662E" w14:textId="6B2DFAE1"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Manwaring, K. C., Larsen, R., Graham, C. R., Henrie, C. R., &amp; Halverson, L. R. (2017). Investigating student engagement in blended learning settings using experience sampling and structural equation modeling. </w:t>
      </w:r>
      <w:r w:rsidRPr="0032506F">
        <w:rPr>
          <w:rFonts w:ascii="Times New Roman" w:eastAsia="Times New Roman" w:hAnsi="Times New Roman" w:cs="Times New Roman"/>
          <w:bCs/>
          <w:i/>
          <w:iCs/>
          <w:sz w:val="24"/>
          <w:szCs w:val="24"/>
        </w:rPr>
        <w:t>The 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35</w:t>
      </w:r>
      <w:r w:rsidRPr="0032506F">
        <w:rPr>
          <w:rFonts w:ascii="Times New Roman" w:eastAsia="Times New Roman" w:hAnsi="Times New Roman" w:cs="Times New Roman"/>
          <w:bCs/>
          <w:sz w:val="24"/>
          <w:szCs w:val="24"/>
        </w:rPr>
        <w:t xml:space="preserve">, 21–33. </w:t>
      </w:r>
      <w:hyperlink r:id="rId104" w:history="1">
        <w:r w:rsidRPr="0032506F">
          <w:rPr>
            <w:rStyle w:val="Hyperlink"/>
            <w:rFonts w:ascii="Times New Roman" w:eastAsia="Times New Roman" w:hAnsi="Times New Roman" w:cs="Times New Roman"/>
            <w:bCs/>
            <w:color w:val="auto"/>
            <w:sz w:val="24"/>
            <w:szCs w:val="24"/>
          </w:rPr>
          <w:t>https://doi.org/10.1016/j.iheduc.2017.06.002</w:t>
        </w:r>
      </w:hyperlink>
    </w:p>
    <w:p w14:paraId="556F40D2" w14:textId="77777777" w:rsidR="00792935" w:rsidRPr="0032506F" w:rsidRDefault="00792935" w:rsidP="00792935">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Mardia, K. V. (1970). Measures of multivariate skewness and kurtosis with applications.</w:t>
      </w:r>
    </w:p>
    <w:p w14:paraId="281698F0" w14:textId="1DFC0B0E" w:rsidR="00792935" w:rsidRPr="0032506F" w:rsidRDefault="00792935" w:rsidP="00792935">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i/>
          <w:iCs/>
          <w:sz w:val="24"/>
          <w:szCs w:val="24"/>
        </w:rPr>
        <w:tab/>
        <w:t>Biometrika</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57</w:t>
      </w:r>
      <w:r w:rsidRPr="0032506F">
        <w:rPr>
          <w:rFonts w:ascii="Times New Roman" w:eastAsia="Times New Roman" w:hAnsi="Times New Roman" w:cs="Times New Roman"/>
          <w:bCs/>
          <w:sz w:val="24"/>
          <w:szCs w:val="24"/>
        </w:rPr>
        <w:t>, 519</w:t>
      </w:r>
      <w:r w:rsidRPr="0032506F">
        <w:rPr>
          <w:rFonts w:ascii="Times New Roman" w:eastAsia="Times New Roman" w:hAnsi="Times New Roman" w:cs="Times New Roman" w:hint="eastAsia"/>
          <w:bCs/>
          <w:sz w:val="24"/>
          <w:szCs w:val="24"/>
        </w:rPr>
        <w:t>–</w:t>
      </w:r>
      <w:r w:rsidRPr="0032506F">
        <w:rPr>
          <w:rFonts w:ascii="Times New Roman" w:eastAsia="Times New Roman" w:hAnsi="Times New Roman" w:cs="Times New Roman"/>
          <w:bCs/>
          <w:sz w:val="24"/>
          <w:szCs w:val="24"/>
        </w:rPr>
        <w:t>530.</w:t>
      </w:r>
    </w:p>
    <w:p w14:paraId="05F605E2" w14:textId="77777777" w:rsidR="00792935" w:rsidRPr="0032506F" w:rsidRDefault="00792935" w:rsidP="00792935">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Mardia, K. V. (1974). Applications of some measures of multivariate skewness and</w:t>
      </w:r>
    </w:p>
    <w:p w14:paraId="567DB02A" w14:textId="6940D17B" w:rsidR="00792935" w:rsidRPr="0032506F" w:rsidRDefault="00792935" w:rsidP="00792935">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ab/>
        <w:t xml:space="preserve">kurtosis in testing normality and robustness studies. </w:t>
      </w:r>
      <w:r w:rsidRPr="0032506F">
        <w:rPr>
          <w:rFonts w:ascii="Times New Roman" w:eastAsia="Times New Roman" w:hAnsi="Times New Roman" w:cs="Times New Roman"/>
          <w:bCs/>
          <w:i/>
          <w:iCs/>
          <w:sz w:val="24"/>
          <w:szCs w:val="24"/>
        </w:rPr>
        <w:t>Sankhya</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B36</w:t>
      </w:r>
      <w:r w:rsidRPr="0032506F">
        <w:rPr>
          <w:rFonts w:ascii="Times New Roman" w:eastAsia="Times New Roman" w:hAnsi="Times New Roman" w:cs="Times New Roman"/>
          <w:bCs/>
          <w:sz w:val="24"/>
          <w:szCs w:val="24"/>
        </w:rPr>
        <w:t>, 115</w:t>
      </w:r>
      <w:r w:rsidRPr="0032506F">
        <w:rPr>
          <w:rFonts w:ascii="Times New Roman" w:eastAsia="Times New Roman" w:hAnsi="Times New Roman" w:cs="Times New Roman" w:hint="eastAsia"/>
          <w:bCs/>
          <w:sz w:val="24"/>
          <w:szCs w:val="24"/>
        </w:rPr>
        <w:t>–</w:t>
      </w:r>
      <w:r w:rsidRPr="0032506F">
        <w:rPr>
          <w:rFonts w:ascii="Times New Roman" w:eastAsia="Times New Roman" w:hAnsi="Times New Roman" w:cs="Times New Roman"/>
          <w:bCs/>
          <w:sz w:val="24"/>
          <w:szCs w:val="24"/>
        </w:rPr>
        <w:t>128.</w:t>
      </w:r>
    </w:p>
    <w:p w14:paraId="1758F806" w14:textId="2EDC1C3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Marks, H. M. (2000). Student engagement in instructional activity: Patterns in the elementary, middle, and high school years. </w:t>
      </w:r>
      <w:r w:rsidRPr="0032506F">
        <w:rPr>
          <w:rFonts w:ascii="Times New Roman" w:eastAsia="Times New Roman" w:hAnsi="Times New Roman" w:cs="Times New Roman"/>
          <w:bCs/>
          <w:i/>
          <w:iCs/>
          <w:sz w:val="24"/>
          <w:szCs w:val="24"/>
        </w:rPr>
        <w:t>American Educational Research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37</w:t>
      </w:r>
      <w:r w:rsidRPr="0032506F">
        <w:rPr>
          <w:rFonts w:ascii="Times New Roman" w:eastAsia="Times New Roman" w:hAnsi="Times New Roman" w:cs="Times New Roman"/>
          <w:bCs/>
          <w:sz w:val="24"/>
          <w:szCs w:val="24"/>
        </w:rPr>
        <w:t xml:space="preserve">(1), 153–184. </w:t>
      </w:r>
      <w:hyperlink r:id="rId105" w:history="1">
        <w:r w:rsidRPr="0032506F">
          <w:rPr>
            <w:rStyle w:val="Hyperlink"/>
            <w:rFonts w:ascii="Times New Roman" w:eastAsia="Times New Roman" w:hAnsi="Times New Roman" w:cs="Times New Roman"/>
            <w:bCs/>
            <w:color w:val="auto"/>
            <w:sz w:val="24"/>
            <w:szCs w:val="24"/>
          </w:rPr>
          <w:t>https://doi.org/10.2307/1163475</w:t>
        </w:r>
      </w:hyperlink>
    </w:p>
    <w:p w14:paraId="0099C1E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Martin, F., &amp; Bolliger, D. U. (2018). Engagement matters: Student perceptions on the importance of engagement strategies in the online learning environment.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22</w:t>
      </w:r>
      <w:r w:rsidRPr="0032506F">
        <w:rPr>
          <w:rFonts w:ascii="Times New Roman" w:eastAsia="Times New Roman" w:hAnsi="Times New Roman" w:cs="Times New Roman"/>
          <w:bCs/>
          <w:sz w:val="24"/>
          <w:szCs w:val="24"/>
        </w:rPr>
        <w:t>(1), 205–222.</w:t>
      </w:r>
    </w:p>
    <w:p w14:paraId="5906C34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Martin, F., Stamper, B., &amp; Flowers, C. (2020). Examining student perception of readiness for online learning: Importance and confidence.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(2), 38–58. ERIC. </w:t>
      </w:r>
      <w:hyperlink r:id="rId106" w:history="1">
        <w:r w:rsidRPr="0032506F">
          <w:rPr>
            <w:rStyle w:val="Hyperlink"/>
            <w:rFonts w:ascii="Times New Roman" w:eastAsia="Times New Roman" w:hAnsi="Times New Roman" w:cs="Times New Roman"/>
            <w:bCs/>
            <w:color w:val="auto"/>
            <w:sz w:val="24"/>
            <w:szCs w:val="24"/>
          </w:rPr>
          <w:t>https://doi.org/10.24059/olj.v24i2.2053</w:t>
        </w:r>
      </w:hyperlink>
    </w:p>
    <w:p w14:paraId="673FE69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Martin, F., Bolliger, D. U., &amp; Flowers, C. (2021). Design matters: Development and validation of the Online Course Design Elements (OCDE) instrument. </w:t>
      </w:r>
      <w:r w:rsidRPr="0032506F">
        <w:rPr>
          <w:rFonts w:ascii="Times New Roman" w:eastAsia="Times New Roman" w:hAnsi="Times New Roman" w:cs="Times New Roman"/>
          <w:bCs/>
          <w:i/>
          <w:iCs/>
          <w:sz w:val="24"/>
          <w:szCs w:val="24"/>
        </w:rPr>
        <w:t>The International Review of Research in Open and Distributed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22</w:t>
      </w:r>
      <w:r w:rsidRPr="0032506F">
        <w:rPr>
          <w:rFonts w:ascii="Times New Roman" w:eastAsia="Times New Roman" w:hAnsi="Times New Roman" w:cs="Times New Roman"/>
          <w:bCs/>
          <w:sz w:val="24"/>
          <w:szCs w:val="24"/>
        </w:rPr>
        <w:t xml:space="preserve">(2), 46–71. </w:t>
      </w:r>
      <w:hyperlink r:id="rId107" w:history="1">
        <w:r w:rsidRPr="0032506F">
          <w:rPr>
            <w:rStyle w:val="Hyperlink"/>
            <w:rFonts w:ascii="Times New Roman" w:eastAsia="Times New Roman" w:hAnsi="Times New Roman" w:cs="Times New Roman"/>
            <w:bCs/>
            <w:color w:val="auto"/>
            <w:sz w:val="24"/>
            <w:szCs w:val="24"/>
          </w:rPr>
          <w:t>https://doi.org/10.19173/irrodl.v22i2.5187</w:t>
        </w:r>
      </w:hyperlink>
    </w:p>
    <w:p w14:paraId="32BEFA2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Martin, F., Budhrani, K., Kumar, S., &amp; Ritzhaupt, A. (2019). Award-winning faculty online teaching practices: Roles and competencies.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23</w:t>
      </w:r>
      <w:r w:rsidRPr="0032506F">
        <w:rPr>
          <w:rFonts w:ascii="Times New Roman" w:eastAsia="Times New Roman" w:hAnsi="Times New Roman" w:cs="Times New Roman"/>
          <w:bCs/>
          <w:sz w:val="24"/>
          <w:szCs w:val="24"/>
        </w:rPr>
        <w:t xml:space="preserve">(1), 184–205. </w:t>
      </w:r>
      <w:hyperlink r:id="rId108" w:history="1">
        <w:r w:rsidRPr="0032506F">
          <w:rPr>
            <w:rStyle w:val="Hyperlink"/>
            <w:rFonts w:ascii="Times New Roman" w:eastAsia="Times New Roman" w:hAnsi="Times New Roman" w:cs="Times New Roman"/>
            <w:bCs/>
            <w:color w:val="auto"/>
            <w:sz w:val="24"/>
            <w:szCs w:val="24"/>
          </w:rPr>
          <w:t>https://doi.org/10.24059/olj.v23i1.1329</w:t>
        </w:r>
      </w:hyperlink>
    </w:p>
    <w:p w14:paraId="1696B21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Martin, F., Sun, T., &amp; Westine, C. D. (2020). A systematic review of research on online teaching and learning from 2009 to 2018.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159</w:t>
      </w:r>
      <w:r w:rsidRPr="0032506F">
        <w:rPr>
          <w:rFonts w:ascii="Times New Roman" w:eastAsia="Times New Roman" w:hAnsi="Times New Roman" w:cs="Times New Roman"/>
          <w:bCs/>
          <w:sz w:val="24"/>
          <w:szCs w:val="24"/>
        </w:rPr>
        <w:t xml:space="preserve">, 104009. </w:t>
      </w:r>
      <w:hyperlink r:id="rId109" w:history="1">
        <w:r w:rsidRPr="0032506F">
          <w:rPr>
            <w:rStyle w:val="Hyperlink"/>
            <w:rFonts w:ascii="Times New Roman" w:eastAsia="Times New Roman" w:hAnsi="Times New Roman" w:cs="Times New Roman"/>
            <w:bCs/>
            <w:color w:val="auto"/>
            <w:sz w:val="24"/>
            <w:szCs w:val="24"/>
          </w:rPr>
          <w:t>https://doi.org/10.1016/j.compedu.2020.104009</w:t>
        </w:r>
      </w:hyperlink>
    </w:p>
    <w:p w14:paraId="0548B25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Messick, S. (1989). </w:t>
      </w:r>
      <w:r w:rsidRPr="0032506F">
        <w:rPr>
          <w:rFonts w:ascii="Times New Roman" w:eastAsia="Times New Roman" w:hAnsi="Times New Roman" w:cs="Times New Roman"/>
          <w:bCs/>
          <w:i/>
          <w:iCs/>
          <w:sz w:val="24"/>
          <w:szCs w:val="24"/>
        </w:rPr>
        <w:t>Validity.</w:t>
      </w:r>
      <w:r w:rsidRPr="0032506F">
        <w:rPr>
          <w:rFonts w:ascii="Times New Roman" w:eastAsia="Times New Roman" w:hAnsi="Times New Roman" w:cs="Times New Roman"/>
          <w:bCs/>
          <w:sz w:val="24"/>
          <w:szCs w:val="24"/>
        </w:rPr>
        <w:t> In R. L. Linn (Ed.), </w:t>
      </w:r>
      <w:r w:rsidRPr="0032506F">
        <w:rPr>
          <w:rFonts w:ascii="Times New Roman" w:eastAsia="Times New Roman" w:hAnsi="Times New Roman" w:cs="Times New Roman"/>
          <w:bCs/>
          <w:i/>
          <w:iCs/>
          <w:sz w:val="24"/>
          <w:szCs w:val="24"/>
        </w:rPr>
        <w:t>The American Council on Education/Macmillan series on higher education. Educational measurement</w:t>
      </w:r>
      <w:r w:rsidRPr="0032506F">
        <w:rPr>
          <w:rFonts w:ascii="Times New Roman" w:eastAsia="Times New Roman" w:hAnsi="Times New Roman" w:cs="Times New Roman"/>
          <w:bCs/>
          <w:sz w:val="24"/>
          <w:szCs w:val="24"/>
        </w:rPr>
        <w:t> (p. 13–103). Macmillan Publishing Co, Inc; American Council on Education.</w:t>
      </w:r>
    </w:p>
    <w:p w14:paraId="5D63F97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Messick, S. (1995a). Validity of psychological assessment: Validation of inferences from persons’ responses and performances as scientific inquiry into score meaning. </w:t>
      </w:r>
      <w:r w:rsidRPr="0032506F">
        <w:rPr>
          <w:rFonts w:ascii="Times New Roman" w:eastAsia="Times New Roman" w:hAnsi="Times New Roman" w:cs="Times New Roman"/>
          <w:bCs/>
          <w:i/>
          <w:iCs/>
          <w:sz w:val="24"/>
          <w:szCs w:val="24"/>
        </w:rPr>
        <w:t>American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50</w:t>
      </w:r>
      <w:r w:rsidRPr="0032506F">
        <w:rPr>
          <w:rFonts w:ascii="Times New Roman" w:eastAsia="Times New Roman" w:hAnsi="Times New Roman" w:cs="Times New Roman"/>
          <w:bCs/>
          <w:sz w:val="24"/>
          <w:szCs w:val="24"/>
        </w:rPr>
        <w:t xml:space="preserve">(9), 741–749. </w:t>
      </w:r>
      <w:hyperlink r:id="rId110" w:history="1">
        <w:r w:rsidRPr="0032506F">
          <w:rPr>
            <w:rStyle w:val="Hyperlink"/>
            <w:rFonts w:ascii="Times New Roman" w:eastAsia="Times New Roman" w:hAnsi="Times New Roman" w:cs="Times New Roman"/>
            <w:bCs/>
            <w:color w:val="auto"/>
            <w:sz w:val="24"/>
            <w:szCs w:val="24"/>
          </w:rPr>
          <w:t>https://doi.org/10.1037/0003-066X.50.9.741</w:t>
        </w:r>
      </w:hyperlink>
    </w:p>
    <w:p w14:paraId="6EC17E5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Messick, S. (1995b). Standards of validity and the validity of standards in performance assessment. </w:t>
      </w:r>
      <w:r w:rsidRPr="0032506F">
        <w:rPr>
          <w:rFonts w:ascii="Times New Roman" w:eastAsia="Times New Roman" w:hAnsi="Times New Roman" w:cs="Times New Roman"/>
          <w:bCs/>
          <w:i/>
          <w:iCs/>
          <w:sz w:val="24"/>
          <w:szCs w:val="24"/>
        </w:rPr>
        <w:t>Educational Measurement: Issues and Practice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14</w:t>
      </w:r>
      <w:r w:rsidRPr="0032506F">
        <w:rPr>
          <w:rFonts w:ascii="Times New Roman" w:eastAsia="Times New Roman" w:hAnsi="Times New Roman" w:cs="Times New Roman"/>
          <w:bCs/>
          <w:sz w:val="24"/>
          <w:szCs w:val="24"/>
        </w:rPr>
        <w:t xml:space="preserve">(4), 5–8. </w:t>
      </w:r>
      <w:hyperlink r:id="rId111" w:history="1">
        <w:r w:rsidRPr="0032506F">
          <w:rPr>
            <w:rStyle w:val="Hyperlink"/>
            <w:rFonts w:ascii="Times New Roman" w:eastAsia="Times New Roman" w:hAnsi="Times New Roman" w:cs="Times New Roman"/>
            <w:bCs/>
            <w:color w:val="auto"/>
            <w:sz w:val="24"/>
            <w:szCs w:val="24"/>
          </w:rPr>
          <w:t>https://doi.org/10.1111/j.1745-3992.1995.tb00881.x</w:t>
        </w:r>
      </w:hyperlink>
    </w:p>
    <w:p w14:paraId="25CEA89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Meyer, K. A. (2014). Student Engagement in Online Learning: What Works and Why. </w:t>
      </w:r>
      <w:r w:rsidRPr="0032506F">
        <w:rPr>
          <w:rFonts w:ascii="Times New Roman" w:eastAsia="Times New Roman" w:hAnsi="Times New Roman" w:cs="Times New Roman"/>
          <w:bCs/>
          <w:i/>
          <w:iCs/>
          <w:sz w:val="24"/>
          <w:szCs w:val="24"/>
        </w:rPr>
        <w:t>ASHE Higher Education Report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40</w:t>
      </w:r>
      <w:r w:rsidRPr="0032506F">
        <w:rPr>
          <w:rFonts w:ascii="Times New Roman" w:eastAsia="Times New Roman" w:hAnsi="Times New Roman" w:cs="Times New Roman"/>
          <w:bCs/>
          <w:sz w:val="24"/>
          <w:szCs w:val="24"/>
        </w:rPr>
        <w:t xml:space="preserve">(6), 1–114. </w:t>
      </w:r>
      <w:hyperlink r:id="rId112" w:history="1">
        <w:r w:rsidRPr="0032506F">
          <w:rPr>
            <w:rStyle w:val="Hyperlink"/>
            <w:rFonts w:ascii="Times New Roman" w:eastAsia="Times New Roman" w:hAnsi="Times New Roman" w:cs="Times New Roman"/>
            <w:bCs/>
            <w:color w:val="auto"/>
            <w:sz w:val="24"/>
            <w:szCs w:val="24"/>
          </w:rPr>
          <w:t>https://doi.org/10.1002/aehe.20018</w:t>
        </w:r>
      </w:hyperlink>
    </w:p>
    <w:p w14:paraId="45CF40D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Miller, R. B., Greene, B. A., Montalvo, G. P., Ravindran, B., &amp; Nichols, J. D. (1996). Engagement in academic work: The role of learning goals, future consequences, pleasing others, and perceived ability.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 xml:space="preserve">(4), 388–422. </w:t>
      </w:r>
      <w:hyperlink r:id="rId113" w:history="1">
        <w:r w:rsidRPr="0032506F">
          <w:rPr>
            <w:rStyle w:val="Hyperlink"/>
            <w:rFonts w:ascii="Times New Roman" w:eastAsia="Times New Roman" w:hAnsi="Times New Roman" w:cs="Times New Roman"/>
            <w:bCs/>
            <w:color w:val="auto"/>
            <w:sz w:val="24"/>
            <w:szCs w:val="24"/>
          </w:rPr>
          <w:t>https://doi.org/10.1006/ceps.1996.0028</w:t>
        </w:r>
      </w:hyperlink>
    </w:p>
    <w:p w14:paraId="4852A0D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Miserandino, M. (1996). Children who do well in school: Individual differences in perceived competence and autonomy in above-average children.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88</w:t>
      </w:r>
      <w:r w:rsidRPr="0032506F">
        <w:rPr>
          <w:rFonts w:ascii="Times New Roman" w:eastAsia="Times New Roman" w:hAnsi="Times New Roman" w:cs="Times New Roman"/>
          <w:bCs/>
          <w:sz w:val="24"/>
          <w:szCs w:val="24"/>
        </w:rPr>
        <w:t>(2), 203–214.</w:t>
      </w:r>
    </w:p>
    <w:p w14:paraId="53EE162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Mulaik, S. A., James, L. R., Van Alstine, J., Bennett, N., Lind, S., &amp; Stilwell, C. D. (1989). Evaluation of goodness-of-fit indices for structural equation models. </w:t>
      </w:r>
      <w:r w:rsidRPr="0032506F">
        <w:rPr>
          <w:rFonts w:ascii="Times New Roman" w:eastAsia="Times New Roman" w:hAnsi="Times New Roman" w:cs="Times New Roman"/>
          <w:bCs/>
          <w:i/>
          <w:iCs/>
          <w:sz w:val="24"/>
          <w:szCs w:val="24"/>
        </w:rPr>
        <w:t>Psychological Bulletin, 105</w:t>
      </w:r>
      <w:r w:rsidRPr="0032506F">
        <w:rPr>
          <w:rFonts w:ascii="Times New Roman" w:eastAsia="Times New Roman" w:hAnsi="Times New Roman" w:cs="Times New Roman"/>
          <w:bCs/>
          <w:sz w:val="24"/>
          <w:szCs w:val="24"/>
        </w:rPr>
        <w:t>(3), 430–445. </w:t>
      </w:r>
      <w:hyperlink r:id="rId114" w:tgtFrame="_blank" w:history="1">
        <w:r w:rsidRPr="0032506F">
          <w:rPr>
            <w:rStyle w:val="Hyperlink"/>
            <w:rFonts w:ascii="Times New Roman" w:eastAsia="Times New Roman" w:hAnsi="Times New Roman" w:cs="Times New Roman"/>
            <w:bCs/>
            <w:color w:val="auto"/>
            <w:sz w:val="24"/>
            <w:szCs w:val="24"/>
          </w:rPr>
          <w:t>https://doi.org/10.1037/0033-2909.105.3.430</w:t>
        </w:r>
      </w:hyperlink>
    </w:p>
    <w:p w14:paraId="2C9928A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Murillo-Zamorano, L. R., López Sánchez, J. Á., &amp; Godoy-Caballero, A. L. (2019). How the flipped classroom affects knowledge, skills, and engagement in higher education: Effects on students’ satisfaction.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141</w:t>
      </w:r>
      <w:r w:rsidRPr="0032506F">
        <w:rPr>
          <w:rFonts w:ascii="Times New Roman" w:eastAsia="Times New Roman" w:hAnsi="Times New Roman" w:cs="Times New Roman"/>
          <w:bCs/>
          <w:sz w:val="24"/>
          <w:szCs w:val="24"/>
        </w:rPr>
        <w:t xml:space="preserve">, 103608. </w:t>
      </w:r>
      <w:hyperlink r:id="rId115" w:history="1">
        <w:r w:rsidRPr="0032506F">
          <w:rPr>
            <w:rStyle w:val="Hyperlink"/>
            <w:rFonts w:ascii="Times New Roman" w:eastAsia="Times New Roman" w:hAnsi="Times New Roman" w:cs="Times New Roman"/>
            <w:bCs/>
            <w:color w:val="auto"/>
            <w:sz w:val="24"/>
            <w:szCs w:val="24"/>
          </w:rPr>
          <w:t>https://doi.org/10.1016/j.compedu.2019.103608</w:t>
        </w:r>
      </w:hyperlink>
    </w:p>
    <w:p w14:paraId="29BFD80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Natriello, G. (1984). Problems in the evaluation of students and student disengagement from secondary schools. </w:t>
      </w:r>
      <w:r w:rsidRPr="0032506F">
        <w:rPr>
          <w:rFonts w:ascii="Times New Roman" w:eastAsia="Times New Roman" w:hAnsi="Times New Roman" w:cs="Times New Roman"/>
          <w:bCs/>
          <w:i/>
          <w:iCs/>
          <w:sz w:val="24"/>
          <w:szCs w:val="24"/>
        </w:rPr>
        <w:t>Journal of Research and Development in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17</w:t>
      </w:r>
      <w:r w:rsidRPr="0032506F">
        <w:rPr>
          <w:rFonts w:ascii="Times New Roman" w:eastAsia="Times New Roman" w:hAnsi="Times New Roman" w:cs="Times New Roman"/>
          <w:bCs/>
          <w:sz w:val="24"/>
          <w:szCs w:val="24"/>
        </w:rPr>
        <w:t xml:space="preserve">(4), 14–24. </w:t>
      </w:r>
    </w:p>
    <w:p w14:paraId="68F2B91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Newmann, F., Wehlage, G. G., &amp; Lamborn, S. D. (1992). The significance and sources of student engagement. In F. Newmann (Ed.), </w:t>
      </w:r>
      <w:r w:rsidRPr="0032506F">
        <w:rPr>
          <w:rFonts w:ascii="Times New Roman" w:eastAsia="Times New Roman" w:hAnsi="Times New Roman" w:cs="Times New Roman"/>
          <w:bCs/>
          <w:i/>
          <w:iCs/>
          <w:sz w:val="24"/>
          <w:szCs w:val="24"/>
        </w:rPr>
        <w:t>Student engagement and achievement in American secondary schools</w:t>
      </w:r>
      <w:r w:rsidRPr="0032506F">
        <w:rPr>
          <w:rFonts w:ascii="Times New Roman" w:eastAsia="Times New Roman" w:hAnsi="Times New Roman" w:cs="Times New Roman"/>
          <w:bCs/>
          <w:sz w:val="24"/>
          <w:szCs w:val="24"/>
        </w:rPr>
        <w:t xml:space="preserve"> (pp. 11–39). Teachers College Press.</w:t>
      </w:r>
    </w:p>
    <w:p w14:paraId="11FC292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Nguyen, T. D., Cannata, M., &amp; Miller, J. (2018). Understanding student behavioral engagement: Importance of student interaction with peers and teachers. </w:t>
      </w:r>
      <w:r w:rsidRPr="0032506F">
        <w:rPr>
          <w:rFonts w:ascii="Times New Roman" w:eastAsia="Times New Roman" w:hAnsi="Times New Roman" w:cs="Times New Roman"/>
          <w:bCs/>
          <w:i/>
          <w:iCs/>
          <w:sz w:val="24"/>
          <w:szCs w:val="24"/>
        </w:rPr>
        <w:t>Journal of Educational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111</w:t>
      </w:r>
      <w:r w:rsidRPr="0032506F">
        <w:rPr>
          <w:rFonts w:ascii="Times New Roman" w:eastAsia="Times New Roman" w:hAnsi="Times New Roman" w:cs="Times New Roman"/>
          <w:bCs/>
          <w:sz w:val="24"/>
          <w:szCs w:val="24"/>
        </w:rPr>
        <w:t xml:space="preserve">(2), 163–174. </w:t>
      </w:r>
      <w:hyperlink r:id="rId116" w:history="1">
        <w:r w:rsidRPr="0032506F">
          <w:rPr>
            <w:rStyle w:val="Hyperlink"/>
            <w:rFonts w:ascii="Times New Roman" w:eastAsia="Times New Roman" w:hAnsi="Times New Roman" w:cs="Times New Roman"/>
            <w:bCs/>
            <w:color w:val="auto"/>
            <w:sz w:val="24"/>
            <w:szCs w:val="24"/>
          </w:rPr>
          <w:t>https://doi.org/10.1080/00220671.2016.1220359</w:t>
        </w:r>
      </w:hyperlink>
    </w:p>
    <w:p w14:paraId="157C921A" w14:textId="3EF5652E"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Olivier, E., Galand, B., Hospel, V., &amp; Dellisse, S. (2020). Understanding behavioral engagement and achievement: The roles of teaching practices and student sense of competence and task value. </w:t>
      </w:r>
      <w:r w:rsidRPr="0032506F">
        <w:rPr>
          <w:rFonts w:ascii="Times New Roman" w:eastAsia="Times New Roman" w:hAnsi="Times New Roman" w:cs="Times New Roman"/>
          <w:bCs/>
          <w:i/>
          <w:iCs/>
          <w:sz w:val="24"/>
          <w:szCs w:val="24"/>
        </w:rPr>
        <w:t>British 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90</w:t>
      </w:r>
      <w:r w:rsidRPr="0032506F">
        <w:rPr>
          <w:rFonts w:ascii="Times New Roman" w:eastAsia="Times New Roman" w:hAnsi="Times New Roman" w:cs="Times New Roman"/>
          <w:bCs/>
          <w:sz w:val="24"/>
          <w:szCs w:val="24"/>
        </w:rPr>
        <w:t xml:space="preserve">(4), 887–909. </w:t>
      </w:r>
      <w:hyperlink r:id="rId117" w:history="1">
        <w:r w:rsidRPr="0032506F">
          <w:rPr>
            <w:rStyle w:val="Hyperlink"/>
            <w:rFonts w:ascii="Times New Roman" w:eastAsia="Times New Roman" w:hAnsi="Times New Roman" w:cs="Times New Roman"/>
            <w:bCs/>
            <w:color w:val="auto"/>
            <w:sz w:val="24"/>
            <w:szCs w:val="24"/>
          </w:rPr>
          <w:t>https://doi.org/10.1111/bjep.12342</w:t>
        </w:r>
      </w:hyperlink>
    </w:p>
    <w:p w14:paraId="2D2BF4B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Oncu, S., &amp; Cakir, H. (2011). Research in online learning environments: Priorities and methodologies.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57</w:t>
      </w:r>
      <w:r w:rsidRPr="0032506F">
        <w:rPr>
          <w:rFonts w:ascii="Times New Roman" w:eastAsia="Times New Roman" w:hAnsi="Times New Roman" w:cs="Times New Roman"/>
          <w:bCs/>
          <w:sz w:val="24"/>
          <w:szCs w:val="24"/>
        </w:rPr>
        <w:t xml:space="preserve">(1), 1098–1108. </w:t>
      </w:r>
      <w:hyperlink r:id="rId118" w:history="1">
        <w:r w:rsidRPr="0032506F">
          <w:rPr>
            <w:rStyle w:val="Hyperlink"/>
            <w:rFonts w:ascii="Times New Roman" w:eastAsia="Times New Roman" w:hAnsi="Times New Roman" w:cs="Times New Roman"/>
            <w:bCs/>
            <w:color w:val="auto"/>
            <w:sz w:val="24"/>
            <w:szCs w:val="24"/>
          </w:rPr>
          <w:t>https://doi.org/10.1016/j.compedu.2010.12.009</w:t>
        </w:r>
      </w:hyperlink>
    </w:p>
    <w:p w14:paraId="689FEAA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Ozan, O., &amp; Ozarslan, Y. (2016). Video lecture watching behaviors of learners in online courses. </w:t>
      </w:r>
      <w:r w:rsidRPr="0032506F">
        <w:rPr>
          <w:rFonts w:ascii="Times New Roman" w:eastAsia="Times New Roman" w:hAnsi="Times New Roman" w:cs="Times New Roman"/>
          <w:bCs/>
          <w:i/>
          <w:iCs/>
          <w:sz w:val="24"/>
          <w:szCs w:val="24"/>
        </w:rPr>
        <w:t>Educational Media International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53</w:t>
      </w:r>
      <w:r w:rsidRPr="0032506F">
        <w:rPr>
          <w:rFonts w:ascii="Times New Roman" w:eastAsia="Times New Roman" w:hAnsi="Times New Roman" w:cs="Times New Roman"/>
          <w:bCs/>
          <w:sz w:val="24"/>
          <w:szCs w:val="24"/>
        </w:rPr>
        <w:t xml:space="preserve">(1), 27–41. </w:t>
      </w:r>
      <w:hyperlink r:id="rId119" w:history="1">
        <w:r w:rsidRPr="0032506F">
          <w:rPr>
            <w:rStyle w:val="Hyperlink"/>
            <w:rFonts w:ascii="Times New Roman" w:eastAsia="Times New Roman" w:hAnsi="Times New Roman" w:cs="Times New Roman"/>
            <w:bCs/>
            <w:color w:val="auto"/>
            <w:sz w:val="24"/>
            <w:szCs w:val="24"/>
          </w:rPr>
          <w:t>https://doi.org/10.1080/09523987.2016.1189255</w:t>
        </w:r>
      </w:hyperlink>
    </w:p>
    <w:p w14:paraId="6222EA8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Pallant, J. (2020). </w:t>
      </w:r>
      <w:r w:rsidRPr="0032506F">
        <w:rPr>
          <w:rFonts w:ascii="Times New Roman" w:eastAsia="Times New Roman" w:hAnsi="Times New Roman" w:cs="Times New Roman"/>
          <w:bCs/>
          <w:i/>
          <w:iCs/>
          <w:sz w:val="24"/>
          <w:szCs w:val="24"/>
        </w:rPr>
        <w:t>SPSS survival manual: A step by step guide to data analysis using IBM SPSS</w:t>
      </w:r>
      <w:r w:rsidRPr="0032506F">
        <w:rPr>
          <w:rFonts w:ascii="Times New Roman" w:eastAsia="Times New Roman" w:hAnsi="Times New Roman" w:cs="Times New Roman"/>
          <w:bCs/>
          <w:sz w:val="24"/>
          <w:szCs w:val="24"/>
        </w:rPr>
        <w:t xml:space="preserve"> (7th ed.). McGraw-Hill Education.</w:t>
      </w:r>
    </w:p>
    <w:p w14:paraId="3DD1727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Park, Y., Yu, J. H., &amp; Jo, I.-H. (2016). Clustering blended learning courses by online behavior data: A case study in a Korean higher education institute. </w:t>
      </w:r>
      <w:r w:rsidRPr="0032506F">
        <w:rPr>
          <w:rFonts w:ascii="Times New Roman" w:eastAsia="Times New Roman" w:hAnsi="Times New Roman" w:cs="Times New Roman"/>
          <w:bCs/>
          <w:i/>
          <w:iCs/>
          <w:sz w:val="24"/>
          <w:szCs w:val="24"/>
        </w:rPr>
        <w:t>The 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29</w:t>
      </w:r>
      <w:r w:rsidRPr="0032506F">
        <w:rPr>
          <w:rFonts w:ascii="Times New Roman" w:eastAsia="Times New Roman" w:hAnsi="Times New Roman" w:cs="Times New Roman"/>
          <w:bCs/>
          <w:sz w:val="24"/>
          <w:szCs w:val="24"/>
        </w:rPr>
        <w:t xml:space="preserve">, 1–11. </w:t>
      </w:r>
      <w:hyperlink r:id="rId120" w:history="1">
        <w:r w:rsidRPr="0032506F">
          <w:rPr>
            <w:rStyle w:val="Hyperlink"/>
            <w:rFonts w:ascii="Times New Roman" w:eastAsia="Times New Roman" w:hAnsi="Times New Roman" w:cs="Times New Roman"/>
            <w:bCs/>
            <w:color w:val="auto"/>
            <w:sz w:val="24"/>
            <w:szCs w:val="24"/>
          </w:rPr>
          <w:t>https://doi.org/10.1016/j.iheduc.2015.11.001</w:t>
        </w:r>
      </w:hyperlink>
    </w:p>
    <w:p w14:paraId="3736CDF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Park, S., &amp; Yun, H. (2018). The influence of motivational regulation strategies on online students’ behavioral, emotional, and cognitive engagement. </w:t>
      </w:r>
      <w:r w:rsidRPr="0032506F">
        <w:rPr>
          <w:rFonts w:ascii="Times New Roman" w:eastAsia="Times New Roman" w:hAnsi="Times New Roman" w:cs="Times New Roman"/>
          <w:bCs/>
          <w:i/>
          <w:iCs/>
          <w:sz w:val="24"/>
          <w:szCs w:val="24"/>
        </w:rPr>
        <w:t>American Journal of Distance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32</w:t>
      </w:r>
      <w:r w:rsidRPr="0032506F">
        <w:rPr>
          <w:rFonts w:ascii="Times New Roman" w:eastAsia="Times New Roman" w:hAnsi="Times New Roman" w:cs="Times New Roman"/>
          <w:bCs/>
          <w:sz w:val="24"/>
          <w:szCs w:val="24"/>
        </w:rPr>
        <w:t xml:space="preserve">(1), 43–56. </w:t>
      </w:r>
      <w:hyperlink r:id="rId121" w:history="1">
        <w:r w:rsidRPr="0032506F">
          <w:rPr>
            <w:rStyle w:val="Hyperlink"/>
            <w:rFonts w:ascii="Times New Roman" w:eastAsia="Times New Roman" w:hAnsi="Times New Roman" w:cs="Times New Roman"/>
            <w:bCs/>
            <w:color w:val="auto"/>
            <w:sz w:val="24"/>
            <w:szCs w:val="24"/>
          </w:rPr>
          <w:t>https://doi.org/10.1080/08923647.2018.1412738</w:t>
        </w:r>
      </w:hyperlink>
    </w:p>
    <w:p w14:paraId="359EF63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Parnes, M. F., Suárez-Orozco, C., Osei-Twumasi, O., &amp; Schwartz, S. E. O. (2020). Academic outcomes among diverse community college students: What is the role of instructor relationships? </w:t>
      </w:r>
      <w:r w:rsidRPr="0032506F">
        <w:rPr>
          <w:rFonts w:ascii="Times New Roman" w:eastAsia="Times New Roman" w:hAnsi="Times New Roman" w:cs="Times New Roman"/>
          <w:bCs/>
          <w:i/>
          <w:iCs/>
          <w:sz w:val="24"/>
          <w:szCs w:val="24"/>
        </w:rPr>
        <w:t>Community College Review</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48</w:t>
      </w:r>
      <w:r w:rsidRPr="0032506F">
        <w:rPr>
          <w:rFonts w:ascii="Times New Roman" w:eastAsia="Times New Roman" w:hAnsi="Times New Roman" w:cs="Times New Roman"/>
          <w:bCs/>
          <w:sz w:val="24"/>
          <w:szCs w:val="24"/>
        </w:rPr>
        <w:t xml:space="preserve">(3), 277–302. </w:t>
      </w:r>
      <w:hyperlink r:id="rId122" w:history="1">
        <w:r w:rsidRPr="0032506F">
          <w:rPr>
            <w:rStyle w:val="Hyperlink"/>
            <w:rFonts w:ascii="Times New Roman" w:eastAsia="Times New Roman" w:hAnsi="Times New Roman" w:cs="Times New Roman"/>
            <w:bCs/>
            <w:color w:val="auto"/>
            <w:sz w:val="24"/>
            <w:szCs w:val="24"/>
          </w:rPr>
          <w:t>https://doi.org/10.1177/0091552120909908</w:t>
        </w:r>
      </w:hyperlink>
    </w:p>
    <w:p w14:paraId="1068314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Paulsen, J., &amp; McCormick, A. C. (2020</w:t>
      </w:r>
      <w:bookmarkEnd w:id="156"/>
      <w:r w:rsidRPr="0032506F">
        <w:rPr>
          <w:rFonts w:ascii="Times New Roman" w:eastAsia="Times New Roman" w:hAnsi="Times New Roman" w:cs="Times New Roman"/>
          <w:bCs/>
          <w:sz w:val="24"/>
          <w:szCs w:val="24"/>
        </w:rPr>
        <w:t xml:space="preserve">). Reassessing disparities in online learner student engagement in higher education. </w:t>
      </w:r>
      <w:r w:rsidRPr="0032506F">
        <w:rPr>
          <w:rFonts w:ascii="Times New Roman" w:eastAsia="Times New Roman" w:hAnsi="Times New Roman" w:cs="Times New Roman"/>
          <w:bCs/>
          <w:i/>
          <w:iCs/>
          <w:sz w:val="24"/>
          <w:szCs w:val="24"/>
        </w:rPr>
        <w:t>Educational Researcher</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49</w:t>
      </w:r>
      <w:r w:rsidRPr="0032506F">
        <w:rPr>
          <w:rFonts w:ascii="Times New Roman" w:eastAsia="Times New Roman" w:hAnsi="Times New Roman" w:cs="Times New Roman"/>
          <w:bCs/>
          <w:sz w:val="24"/>
          <w:szCs w:val="24"/>
        </w:rPr>
        <w:t xml:space="preserve">(1), 20–29. </w:t>
      </w:r>
      <w:hyperlink r:id="rId123" w:history="1">
        <w:r w:rsidRPr="0032506F">
          <w:rPr>
            <w:rStyle w:val="Hyperlink"/>
            <w:rFonts w:ascii="Times New Roman" w:eastAsia="Times New Roman" w:hAnsi="Times New Roman" w:cs="Times New Roman"/>
            <w:bCs/>
            <w:color w:val="auto"/>
            <w:sz w:val="24"/>
            <w:szCs w:val="24"/>
          </w:rPr>
          <w:t>https://doi.org/10.3102/0013189X19898690</w:t>
        </w:r>
      </w:hyperlink>
    </w:p>
    <w:p w14:paraId="1DC397F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Pekrun, R. (2006). The control-value theory of achievement emotions: Assumptions, corollaries, and implications for educational research and practice. </w:t>
      </w:r>
      <w:r w:rsidRPr="0032506F">
        <w:rPr>
          <w:rFonts w:ascii="Times New Roman" w:eastAsia="Times New Roman" w:hAnsi="Times New Roman" w:cs="Times New Roman"/>
          <w:bCs/>
          <w:i/>
          <w:iCs/>
          <w:sz w:val="24"/>
          <w:szCs w:val="24"/>
        </w:rPr>
        <w:t>Educational Psychology Review</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18</w:t>
      </w:r>
      <w:r w:rsidRPr="0032506F">
        <w:rPr>
          <w:rFonts w:ascii="Times New Roman" w:eastAsia="Times New Roman" w:hAnsi="Times New Roman" w:cs="Times New Roman"/>
          <w:bCs/>
          <w:sz w:val="24"/>
          <w:szCs w:val="24"/>
        </w:rPr>
        <w:t>(4), 315–341.</w:t>
      </w:r>
    </w:p>
    <w:p w14:paraId="40038F8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Pekrun, R., Elliot, A. J., &amp; Maier, M. A. (2009). Achievement goals and achievement emotions: Testing a model of their joint relations with academic performance.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101</w:t>
      </w:r>
      <w:r w:rsidRPr="0032506F">
        <w:rPr>
          <w:rFonts w:ascii="Times New Roman" w:eastAsia="Times New Roman" w:hAnsi="Times New Roman" w:cs="Times New Roman"/>
          <w:bCs/>
          <w:sz w:val="24"/>
          <w:szCs w:val="24"/>
        </w:rPr>
        <w:t xml:space="preserve">(1), 115–135. </w:t>
      </w:r>
    </w:p>
    <w:p w14:paraId="0D5111D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Pekrun, R., Goetz, T., Frenzel, A. C., Barchfeld, P., &amp; Perry, R. P. (2011). Measuring emotions in students’ learning and performance: The Achievement Emotions Questionnaire (AEQ). </w:t>
      </w:r>
      <w:r w:rsidRPr="0032506F">
        <w:rPr>
          <w:rFonts w:ascii="Times New Roman" w:eastAsia="Times New Roman" w:hAnsi="Times New Roman" w:cs="Times New Roman"/>
          <w:bCs/>
          <w:i/>
          <w:iCs/>
          <w:sz w:val="24"/>
          <w:szCs w:val="24"/>
        </w:rPr>
        <w:t>Students’ Emotions and Academic Engagement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36</w:t>
      </w:r>
      <w:r w:rsidRPr="0032506F">
        <w:rPr>
          <w:rFonts w:ascii="Times New Roman" w:eastAsia="Times New Roman" w:hAnsi="Times New Roman" w:cs="Times New Roman"/>
          <w:bCs/>
          <w:sz w:val="24"/>
          <w:szCs w:val="24"/>
        </w:rPr>
        <w:t xml:space="preserve">(1), 36–48. </w:t>
      </w:r>
      <w:hyperlink r:id="rId124" w:history="1">
        <w:r w:rsidRPr="0032506F">
          <w:rPr>
            <w:rStyle w:val="Hyperlink"/>
            <w:rFonts w:ascii="Times New Roman" w:eastAsia="Times New Roman" w:hAnsi="Times New Roman" w:cs="Times New Roman"/>
            <w:bCs/>
            <w:color w:val="auto"/>
            <w:sz w:val="24"/>
            <w:szCs w:val="24"/>
          </w:rPr>
          <w:t>https://doi.org/10.1016/j.cedpsych.2010.10.002</w:t>
        </w:r>
      </w:hyperlink>
    </w:p>
    <w:p w14:paraId="2A494491" w14:textId="4D517E43"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Pekrun, R., Goetz, T., &amp; Perry, R. P. (2005). </w:t>
      </w:r>
      <w:r w:rsidRPr="0032506F">
        <w:rPr>
          <w:rFonts w:ascii="Times New Roman" w:eastAsia="Times New Roman" w:hAnsi="Times New Roman" w:cs="Times New Roman"/>
          <w:bCs/>
          <w:i/>
          <w:iCs/>
          <w:sz w:val="24"/>
          <w:szCs w:val="24"/>
        </w:rPr>
        <w:t xml:space="preserve">Academic Emotions Questionnaire (AEQ): User’s manual. </w:t>
      </w:r>
      <w:r w:rsidRPr="0032506F">
        <w:rPr>
          <w:rFonts w:ascii="Times New Roman" w:eastAsia="Times New Roman" w:hAnsi="Times New Roman" w:cs="Times New Roman"/>
          <w:bCs/>
          <w:sz w:val="24"/>
          <w:szCs w:val="24"/>
        </w:rPr>
        <w:t xml:space="preserve">University of Munich, Department of Psychology. </w:t>
      </w:r>
      <w:hyperlink r:id="rId125" w:history="1">
        <w:r w:rsidRPr="0032506F">
          <w:rPr>
            <w:rStyle w:val="Hyperlink"/>
            <w:rFonts w:ascii="Times New Roman" w:eastAsia="Times New Roman" w:hAnsi="Times New Roman" w:cs="Times New Roman"/>
            <w:bCs/>
            <w:color w:val="auto"/>
            <w:sz w:val="24"/>
            <w:szCs w:val="24"/>
          </w:rPr>
          <w:t>https://www.researchgate.net/profile/Javier-Sanchez-Rosas/post/How-can-i-apply-and-access-the-Academic-Emotions-Questionnaire-by-Pekrun-et-al-2005/attachment/59d6351c79197b8077992b77/AS%3A383031052390406%401468333127197/download/2005+AEQ+Manual.pdf</w:t>
        </w:r>
      </w:hyperlink>
    </w:p>
    <w:p w14:paraId="1E9F4A6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Pekrun, R., Goetz, T., Titz, W., &amp; Perry, R. P. (2002). Academic emotions in students’ self-regulated learning and achievement: A program of qualitative and quantitative research.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37</w:t>
      </w:r>
      <w:r w:rsidRPr="0032506F">
        <w:rPr>
          <w:rFonts w:ascii="Times New Roman" w:eastAsia="Times New Roman" w:hAnsi="Times New Roman" w:cs="Times New Roman"/>
          <w:bCs/>
          <w:sz w:val="24"/>
          <w:szCs w:val="24"/>
        </w:rPr>
        <w:t xml:space="preserve">(2), 91–105. </w:t>
      </w:r>
      <w:hyperlink r:id="rId126" w:history="1">
        <w:r w:rsidRPr="0032506F">
          <w:rPr>
            <w:rStyle w:val="Hyperlink"/>
            <w:rFonts w:ascii="Times New Roman" w:eastAsia="Times New Roman" w:hAnsi="Times New Roman" w:cs="Times New Roman"/>
            <w:bCs/>
            <w:color w:val="auto"/>
            <w:sz w:val="24"/>
            <w:szCs w:val="24"/>
          </w:rPr>
          <w:t>https://doi.org/10.1207/S15326985EP3702_4</w:t>
        </w:r>
      </w:hyperlink>
    </w:p>
    <w:p w14:paraId="1A947865"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Pekrun, R., &amp; Linnenbrink-Garcia, L. (2012). Academic emotions and student engagement. In S. L. Christenson, A. L. Reschly, &amp; C. Wylie (Eds.), </w:t>
      </w:r>
      <w:r w:rsidRPr="0032506F">
        <w:rPr>
          <w:rFonts w:ascii="Times New Roman" w:eastAsia="Times New Roman" w:hAnsi="Times New Roman" w:cs="Times New Roman"/>
          <w:bCs/>
          <w:i/>
          <w:iCs/>
          <w:sz w:val="24"/>
          <w:szCs w:val="24"/>
        </w:rPr>
        <w:t>Handbook of research on student engagement</w:t>
      </w:r>
      <w:r w:rsidRPr="0032506F">
        <w:rPr>
          <w:rFonts w:ascii="Times New Roman" w:eastAsia="Times New Roman" w:hAnsi="Times New Roman" w:cs="Times New Roman"/>
          <w:bCs/>
          <w:sz w:val="24"/>
          <w:szCs w:val="24"/>
        </w:rPr>
        <w:t xml:space="preserve"> (pp. 259–282). Springer.</w:t>
      </w:r>
    </w:p>
    <w:p w14:paraId="1866419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Pekrun, R., Vogl, E., Muis, K. R., &amp; Sinatra, G. M. (2017). Measuring emotions during epistemic activities: The </w:t>
      </w:r>
      <w:proofErr w:type="gramStart"/>
      <w:r w:rsidRPr="0032506F">
        <w:rPr>
          <w:rFonts w:ascii="Times New Roman" w:eastAsia="Times New Roman" w:hAnsi="Times New Roman" w:cs="Times New Roman"/>
          <w:bCs/>
          <w:sz w:val="24"/>
          <w:szCs w:val="24"/>
        </w:rPr>
        <w:t>Epistemically-Related</w:t>
      </w:r>
      <w:proofErr w:type="gramEnd"/>
      <w:r w:rsidRPr="0032506F">
        <w:rPr>
          <w:rFonts w:ascii="Times New Roman" w:eastAsia="Times New Roman" w:hAnsi="Times New Roman" w:cs="Times New Roman"/>
          <w:bCs/>
          <w:sz w:val="24"/>
          <w:szCs w:val="24"/>
        </w:rPr>
        <w:t xml:space="preserve"> Emotion Scales. </w:t>
      </w:r>
      <w:r w:rsidRPr="0032506F">
        <w:rPr>
          <w:rFonts w:ascii="Times New Roman" w:eastAsia="Times New Roman" w:hAnsi="Times New Roman" w:cs="Times New Roman"/>
          <w:bCs/>
          <w:i/>
          <w:iCs/>
          <w:sz w:val="24"/>
          <w:szCs w:val="24"/>
        </w:rPr>
        <w:t>Cognition and Emotion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31</w:t>
      </w:r>
      <w:r w:rsidRPr="0032506F">
        <w:rPr>
          <w:rFonts w:ascii="Times New Roman" w:eastAsia="Times New Roman" w:hAnsi="Times New Roman" w:cs="Times New Roman"/>
          <w:bCs/>
          <w:sz w:val="24"/>
          <w:szCs w:val="24"/>
        </w:rPr>
        <w:t xml:space="preserve">(6), 1268–1276. </w:t>
      </w:r>
      <w:hyperlink r:id="rId127" w:history="1">
        <w:r w:rsidRPr="0032506F">
          <w:rPr>
            <w:rStyle w:val="Hyperlink"/>
            <w:rFonts w:ascii="Times New Roman" w:eastAsia="Times New Roman" w:hAnsi="Times New Roman" w:cs="Times New Roman"/>
            <w:bCs/>
            <w:color w:val="auto"/>
            <w:sz w:val="24"/>
            <w:szCs w:val="24"/>
          </w:rPr>
          <w:t>https://doi.org/10.1080/02699931.2016.1204989</w:t>
        </w:r>
      </w:hyperlink>
    </w:p>
    <w:p w14:paraId="42E4ED7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Picciano, A. G. (2019). </w:t>
      </w:r>
      <w:r w:rsidRPr="0032506F">
        <w:rPr>
          <w:rFonts w:ascii="Times New Roman" w:eastAsia="Times New Roman" w:hAnsi="Times New Roman" w:cs="Times New Roman"/>
          <w:bCs/>
          <w:i/>
          <w:iCs/>
          <w:sz w:val="24"/>
          <w:szCs w:val="24"/>
        </w:rPr>
        <w:t>Online education: Foundations, planning, and pedagogy</w:t>
      </w:r>
      <w:r w:rsidRPr="0032506F">
        <w:rPr>
          <w:rFonts w:ascii="Times New Roman" w:eastAsia="Times New Roman" w:hAnsi="Times New Roman" w:cs="Times New Roman"/>
          <w:bCs/>
          <w:sz w:val="24"/>
          <w:szCs w:val="24"/>
        </w:rPr>
        <w:t>. Routledge.</w:t>
      </w:r>
    </w:p>
    <w:p w14:paraId="5C11CCC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Pintrich, P. R., &amp; De Groot, E. V. (1990). Motivational and self-regulated learning components of classroom academic performance.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82</w:t>
      </w:r>
      <w:r w:rsidRPr="0032506F">
        <w:rPr>
          <w:rFonts w:ascii="Times New Roman" w:eastAsia="Times New Roman" w:hAnsi="Times New Roman" w:cs="Times New Roman"/>
          <w:bCs/>
          <w:sz w:val="24"/>
          <w:szCs w:val="24"/>
        </w:rPr>
        <w:t xml:space="preserve">(1), 33–40. </w:t>
      </w:r>
      <w:hyperlink r:id="rId128" w:history="1">
        <w:r w:rsidRPr="0032506F">
          <w:rPr>
            <w:rStyle w:val="Hyperlink"/>
            <w:rFonts w:ascii="Times New Roman" w:eastAsia="Times New Roman" w:hAnsi="Times New Roman" w:cs="Times New Roman"/>
            <w:bCs/>
            <w:color w:val="auto"/>
            <w:sz w:val="24"/>
            <w:szCs w:val="24"/>
          </w:rPr>
          <w:t>https://doi.org/10.1037/0022-0663.82.1.33</w:t>
        </w:r>
      </w:hyperlink>
    </w:p>
    <w:p w14:paraId="138440D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Pintrich, P. R., Smith, D. A., Garcia, T., &amp; McKeachie, W. K. (1991). </w:t>
      </w:r>
      <w:r w:rsidRPr="0032506F">
        <w:rPr>
          <w:rFonts w:ascii="Times New Roman" w:eastAsia="Times New Roman" w:hAnsi="Times New Roman" w:cs="Times New Roman"/>
          <w:bCs/>
          <w:i/>
          <w:iCs/>
          <w:sz w:val="24"/>
          <w:szCs w:val="24"/>
        </w:rPr>
        <w:t>A manual for the use of the Motivated Strategies for Learning Questionnaire (MSLQ)</w:t>
      </w:r>
      <w:r w:rsidRPr="0032506F">
        <w:rPr>
          <w:rFonts w:ascii="Times New Roman" w:eastAsia="Times New Roman" w:hAnsi="Times New Roman" w:cs="Times New Roman"/>
          <w:bCs/>
          <w:sz w:val="24"/>
          <w:szCs w:val="24"/>
        </w:rPr>
        <w:t>. University of Michigan.</w:t>
      </w:r>
    </w:p>
    <w:p w14:paraId="76D2893E" w14:textId="544C4B11"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Pintrich, P. R., Smith, D. A. F., Garcia, T., &amp; McKeachie, W. J. (1993). Reliability and predictive validity of the Motivated Strategies for Learning Questionnaire (MSLQ). </w:t>
      </w:r>
      <w:r w:rsidRPr="0032506F">
        <w:rPr>
          <w:rFonts w:ascii="Times New Roman" w:eastAsia="Times New Roman" w:hAnsi="Times New Roman" w:cs="Times New Roman"/>
          <w:bCs/>
          <w:i/>
          <w:iCs/>
          <w:sz w:val="24"/>
          <w:szCs w:val="24"/>
        </w:rPr>
        <w:t>Educational and Psychological Measurement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53</w:t>
      </w:r>
      <w:r w:rsidRPr="0032506F">
        <w:rPr>
          <w:rFonts w:ascii="Times New Roman" w:eastAsia="Times New Roman" w:hAnsi="Times New Roman" w:cs="Times New Roman"/>
          <w:bCs/>
          <w:sz w:val="24"/>
          <w:szCs w:val="24"/>
        </w:rPr>
        <w:t xml:space="preserve">(3), 801–813. </w:t>
      </w:r>
      <w:hyperlink r:id="rId129" w:history="1">
        <w:r w:rsidRPr="0032506F">
          <w:rPr>
            <w:rStyle w:val="Hyperlink"/>
            <w:rFonts w:ascii="Times New Roman" w:eastAsia="Times New Roman" w:hAnsi="Times New Roman" w:cs="Times New Roman"/>
            <w:bCs/>
            <w:color w:val="auto"/>
            <w:sz w:val="24"/>
            <w:szCs w:val="24"/>
          </w:rPr>
          <w:t>https://doi.org/10.1177/0013164493053003024</w:t>
        </w:r>
      </w:hyperlink>
    </w:p>
    <w:p w14:paraId="31FDEC5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Pituch, K. A., &amp; Stevens, J. P. (2016). Structural equation modeling. In </w:t>
      </w:r>
      <w:r w:rsidRPr="0032506F">
        <w:rPr>
          <w:rFonts w:ascii="Times New Roman" w:eastAsia="Times New Roman" w:hAnsi="Times New Roman" w:cs="Times New Roman"/>
          <w:bCs/>
          <w:i/>
          <w:iCs/>
          <w:sz w:val="24"/>
          <w:szCs w:val="24"/>
        </w:rPr>
        <w:t>Applied multivariate statistics for the social sciences</w:t>
      </w:r>
      <w:r w:rsidRPr="0032506F">
        <w:rPr>
          <w:rFonts w:ascii="Times New Roman" w:eastAsia="Times New Roman" w:hAnsi="Times New Roman" w:cs="Times New Roman"/>
          <w:bCs/>
          <w:sz w:val="24"/>
          <w:szCs w:val="24"/>
        </w:rPr>
        <w:t xml:space="preserve"> (6th ed., pp. 639–733). Routledge.</w:t>
      </w:r>
    </w:p>
    <w:p w14:paraId="1017D78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Putman, S. M., Ford, K., &amp; Tancock, S. (2012). Redefining online discussions: Using participant stances to promote collaboration and cognitive engagement. </w:t>
      </w:r>
      <w:r w:rsidRPr="0032506F">
        <w:rPr>
          <w:rFonts w:ascii="Times New Roman" w:eastAsia="Times New Roman" w:hAnsi="Times New Roman" w:cs="Times New Roman"/>
          <w:bCs/>
          <w:i/>
          <w:iCs/>
          <w:sz w:val="24"/>
          <w:szCs w:val="24"/>
        </w:rPr>
        <w:t>International Journal of Teaching and Learning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24</w:t>
      </w:r>
      <w:r w:rsidRPr="0032506F">
        <w:rPr>
          <w:rFonts w:ascii="Times New Roman" w:eastAsia="Times New Roman" w:hAnsi="Times New Roman" w:cs="Times New Roman"/>
          <w:bCs/>
          <w:sz w:val="24"/>
          <w:szCs w:val="24"/>
        </w:rPr>
        <w:t xml:space="preserve">(2), 151–167. </w:t>
      </w:r>
    </w:p>
    <w:p w14:paraId="290A9F3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Ramos, C., &amp; Yudko, E. (2008). “Hits” (not “Discussion Posts”) predict student success in online courses: A double cross-validation study.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50</w:t>
      </w:r>
      <w:r w:rsidRPr="0032506F">
        <w:rPr>
          <w:rFonts w:ascii="Times New Roman" w:eastAsia="Times New Roman" w:hAnsi="Times New Roman" w:cs="Times New Roman"/>
          <w:bCs/>
          <w:sz w:val="24"/>
          <w:szCs w:val="24"/>
        </w:rPr>
        <w:t xml:space="preserve">(4), 1174–1182. </w:t>
      </w:r>
      <w:hyperlink r:id="rId130" w:history="1">
        <w:r w:rsidRPr="0032506F">
          <w:rPr>
            <w:rStyle w:val="Hyperlink"/>
            <w:rFonts w:ascii="Times New Roman" w:eastAsia="Times New Roman" w:hAnsi="Times New Roman" w:cs="Times New Roman"/>
            <w:bCs/>
            <w:color w:val="auto"/>
            <w:sz w:val="24"/>
            <w:szCs w:val="24"/>
          </w:rPr>
          <w:t>https://doi.org/10.1016/j.compedu.2006.11.003</w:t>
        </w:r>
      </w:hyperlink>
    </w:p>
    <w:p w14:paraId="6A6ECC8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Redmond, P., Abawi, L.-A., Brown, A., Henderson, R., &amp; Heffernan, A. (2018). An online engagement framework for higher education.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22</w:t>
      </w:r>
      <w:r w:rsidRPr="0032506F">
        <w:rPr>
          <w:rFonts w:ascii="Times New Roman" w:eastAsia="Times New Roman" w:hAnsi="Times New Roman" w:cs="Times New Roman"/>
          <w:bCs/>
          <w:sz w:val="24"/>
          <w:szCs w:val="24"/>
        </w:rPr>
        <w:t xml:space="preserve">(1), 183–204. </w:t>
      </w:r>
      <w:hyperlink r:id="rId131" w:history="1">
        <w:r w:rsidRPr="0032506F">
          <w:rPr>
            <w:rStyle w:val="Hyperlink"/>
            <w:rFonts w:ascii="Times New Roman" w:eastAsia="Times New Roman" w:hAnsi="Times New Roman" w:cs="Times New Roman"/>
            <w:bCs/>
            <w:color w:val="auto"/>
            <w:sz w:val="24"/>
            <w:szCs w:val="24"/>
          </w:rPr>
          <w:t>https://doi.org/10.24059/olj.v22i1.1175</w:t>
        </w:r>
      </w:hyperlink>
    </w:p>
    <w:p w14:paraId="7462B62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Reeve, J. (2013). How students create motivationally supportive learning environments for themselves: The concept of agentic engagement.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105</w:t>
      </w:r>
      <w:r w:rsidRPr="0032506F">
        <w:rPr>
          <w:rFonts w:ascii="Times New Roman" w:eastAsia="Times New Roman" w:hAnsi="Times New Roman" w:cs="Times New Roman"/>
          <w:bCs/>
          <w:sz w:val="24"/>
          <w:szCs w:val="24"/>
        </w:rPr>
        <w:t xml:space="preserve">(3), 579–595. </w:t>
      </w:r>
      <w:hyperlink r:id="rId132" w:history="1">
        <w:r w:rsidRPr="0032506F">
          <w:rPr>
            <w:rStyle w:val="Hyperlink"/>
            <w:rFonts w:ascii="Times New Roman" w:eastAsia="Times New Roman" w:hAnsi="Times New Roman" w:cs="Times New Roman"/>
            <w:bCs/>
            <w:color w:val="auto"/>
            <w:sz w:val="24"/>
            <w:szCs w:val="24"/>
          </w:rPr>
          <w:t>https://doi.org/10.1037/a0032690</w:t>
        </w:r>
      </w:hyperlink>
    </w:p>
    <w:p w14:paraId="22EEA16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Reeve, J., Cheon, S. H., &amp; Jang, H. (2020). How and why students make academic progress: Reconceptualizing the student engagement construct to increase its explanatory power.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62</w:t>
      </w:r>
      <w:r w:rsidRPr="0032506F">
        <w:rPr>
          <w:rFonts w:ascii="Times New Roman" w:eastAsia="Times New Roman" w:hAnsi="Times New Roman" w:cs="Times New Roman"/>
          <w:bCs/>
          <w:sz w:val="24"/>
          <w:szCs w:val="24"/>
        </w:rPr>
        <w:t xml:space="preserve">, 101899. </w:t>
      </w:r>
      <w:hyperlink r:id="rId133" w:history="1">
        <w:r w:rsidRPr="0032506F">
          <w:rPr>
            <w:rStyle w:val="Hyperlink"/>
            <w:rFonts w:ascii="Times New Roman" w:eastAsia="Times New Roman" w:hAnsi="Times New Roman" w:cs="Times New Roman"/>
            <w:bCs/>
            <w:color w:val="auto"/>
            <w:sz w:val="24"/>
            <w:szCs w:val="24"/>
          </w:rPr>
          <w:t>https://doi.org/10.1016/j.cedpsych.2020.101899</w:t>
        </w:r>
      </w:hyperlink>
    </w:p>
    <w:p w14:paraId="3F66BFF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Reeve, J., Jang, H., Carrell, D., Jeon, S., &amp; Barch, J. (2004). Enhancing students’ engagement by increasing teachers’ autonomy support. </w:t>
      </w:r>
      <w:r w:rsidRPr="0032506F">
        <w:rPr>
          <w:rFonts w:ascii="Times New Roman" w:eastAsia="Times New Roman" w:hAnsi="Times New Roman" w:cs="Times New Roman"/>
          <w:bCs/>
          <w:i/>
          <w:iCs/>
          <w:sz w:val="24"/>
          <w:szCs w:val="24"/>
        </w:rPr>
        <w:t>Motivation &amp; Emotion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28</w:t>
      </w:r>
      <w:r w:rsidRPr="0032506F">
        <w:rPr>
          <w:rFonts w:ascii="Times New Roman" w:eastAsia="Times New Roman" w:hAnsi="Times New Roman" w:cs="Times New Roman"/>
          <w:bCs/>
          <w:sz w:val="24"/>
          <w:szCs w:val="24"/>
        </w:rPr>
        <w:t xml:space="preserve">(2), 147–169. </w:t>
      </w:r>
      <w:hyperlink r:id="rId134" w:history="1">
        <w:r w:rsidRPr="0032506F">
          <w:rPr>
            <w:rStyle w:val="Hyperlink"/>
            <w:rFonts w:ascii="Times New Roman" w:eastAsia="Times New Roman" w:hAnsi="Times New Roman" w:cs="Times New Roman"/>
            <w:bCs/>
            <w:color w:val="auto"/>
            <w:sz w:val="24"/>
            <w:szCs w:val="24"/>
          </w:rPr>
          <w:t>https://doi.org/10.1023/B:MOEM.0000032312.95499.6f</w:t>
        </w:r>
      </w:hyperlink>
    </w:p>
    <w:p w14:paraId="343F468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Reeve, J., &amp; Tseng, C.-M. (2011). Agency as a fourth aspect of students’ engagement during learning activities.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36</w:t>
      </w:r>
      <w:r w:rsidRPr="0032506F">
        <w:rPr>
          <w:rFonts w:ascii="Times New Roman" w:eastAsia="Times New Roman" w:hAnsi="Times New Roman" w:cs="Times New Roman"/>
          <w:bCs/>
          <w:sz w:val="24"/>
          <w:szCs w:val="24"/>
        </w:rPr>
        <w:t xml:space="preserve">(4), 257–267. </w:t>
      </w:r>
      <w:hyperlink r:id="rId135" w:history="1">
        <w:r w:rsidRPr="0032506F">
          <w:rPr>
            <w:rStyle w:val="Hyperlink"/>
            <w:rFonts w:ascii="Times New Roman" w:eastAsia="Times New Roman" w:hAnsi="Times New Roman" w:cs="Times New Roman"/>
            <w:bCs/>
            <w:color w:val="auto"/>
            <w:sz w:val="24"/>
            <w:szCs w:val="24"/>
          </w:rPr>
          <w:t>https://doi.org/10.1016/j.cedpsych.2011.05.002</w:t>
        </w:r>
      </w:hyperlink>
    </w:p>
    <w:p w14:paraId="7B83544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Reindl, M., Tulis, M., &amp; Dresel, M. (2018). Associations between friends, academic </w:t>
      </w:r>
      <w:proofErr w:type="gramStart"/>
      <w:r w:rsidRPr="0032506F">
        <w:rPr>
          <w:rFonts w:ascii="Times New Roman" w:eastAsia="Times New Roman" w:hAnsi="Times New Roman" w:cs="Times New Roman"/>
          <w:bCs/>
          <w:sz w:val="24"/>
          <w:szCs w:val="24"/>
        </w:rPr>
        <w:t>emotions</w:t>
      </w:r>
      <w:proofErr w:type="gramEnd"/>
      <w:r w:rsidRPr="0032506F">
        <w:rPr>
          <w:rFonts w:ascii="Times New Roman" w:eastAsia="Times New Roman" w:hAnsi="Times New Roman" w:cs="Times New Roman"/>
          <w:bCs/>
          <w:sz w:val="24"/>
          <w:szCs w:val="24"/>
        </w:rPr>
        <w:t xml:space="preserve"> and achievement: Individual differences in enjoyment and boredom. </w:t>
      </w:r>
      <w:r w:rsidRPr="0032506F">
        <w:rPr>
          <w:rFonts w:ascii="Times New Roman" w:eastAsia="Times New Roman" w:hAnsi="Times New Roman" w:cs="Times New Roman"/>
          <w:bCs/>
          <w:i/>
          <w:iCs/>
          <w:sz w:val="24"/>
          <w:szCs w:val="24"/>
        </w:rPr>
        <w:t>Learning and Individual Differences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62</w:t>
      </w:r>
      <w:r w:rsidRPr="0032506F">
        <w:rPr>
          <w:rFonts w:ascii="Times New Roman" w:eastAsia="Times New Roman" w:hAnsi="Times New Roman" w:cs="Times New Roman"/>
          <w:bCs/>
          <w:sz w:val="24"/>
          <w:szCs w:val="24"/>
        </w:rPr>
        <w:t>, 164–173</w:t>
      </w:r>
      <w:r w:rsidRPr="00BB25B8">
        <w:rPr>
          <w:rFonts w:ascii="Times New Roman" w:eastAsia="Times New Roman" w:hAnsi="Times New Roman" w:cs="Times New Roman"/>
          <w:bCs/>
          <w:sz w:val="24"/>
          <w:szCs w:val="24"/>
        </w:rPr>
        <w:t xml:space="preserve">. </w:t>
      </w:r>
      <w:hyperlink r:id="rId136" w:history="1">
        <w:r w:rsidRPr="00BB25B8">
          <w:rPr>
            <w:rStyle w:val="Hyperlink"/>
            <w:rFonts w:ascii="Times New Roman" w:eastAsia="Times New Roman" w:hAnsi="Times New Roman" w:cs="Times New Roman"/>
            <w:bCs/>
            <w:color w:val="auto"/>
            <w:sz w:val="24"/>
            <w:szCs w:val="24"/>
          </w:rPr>
          <w:t>https://doi.org/10.1016/j.lindif.2018.01.017</w:t>
        </w:r>
      </w:hyperlink>
    </w:p>
    <w:p w14:paraId="6BEFDAC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Reschly, A. L., &amp; Christenson, S. L. (2006). Prediction of dropout among students with mild disabilities: A case for the inclusion of student engagement variables. </w:t>
      </w:r>
      <w:r w:rsidRPr="0032506F">
        <w:rPr>
          <w:rFonts w:ascii="Times New Roman" w:eastAsia="Times New Roman" w:hAnsi="Times New Roman" w:cs="Times New Roman"/>
          <w:bCs/>
          <w:i/>
          <w:iCs/>
          <w:sz w:val="24"/>
          <w:szCs w:val="24"/>
        </w:rPr>
        <w:t>Remedial and Special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27</w:t>
      </w:r>
      <w:r w:rsidRPr="0032506F">
        <w:rPr>
          <w:rFonts w:ascii="Times New Roman" w:eastAsia="Times New Roman" w:hAnsi="Times New Roman" w:cs="Times New Roman"/>
          <w:bCs/>
          <w:sz w:val="24"/>
          <w:szCs w:val="24"/>
        </w:rPr>
        <w:t xml:space="preserve">(5), 276–292. </w:t>
      </w:r>
      <w:hyperlink r:id="rId137" w:history="1">
        <w:r w:rsidRPr="0032506F">
          <w:rPr>
            <w:rStyle w:val="Hyperlink"/>
            <w:rFonts w:ascii="Times New Roman" w:eastAsia="Times New Roman" w:hAnsi="Times New Roman" w:cs="Times New Roman"/>
            <w:bCs/>
            <w:color w:val="auto"/>
            <w:sz w:val="24"/>
            <w:szCs w:val="24"/>
          </w:rPr>
          <w:t>https://doi.org/10.1177/07419325060270050301</w:t>
        </w:r>
      </w:hyperlink>
    </w:p>
    <w:p w14:paraId="2DB3A32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Revere, L., &amp; Kovach, J. V. (2011). Online technologies for engaged learning: A meaningful synthesis for educators. </w:t>
      </w:r>
      <w:r w:rsidRPr="0032506F">
        <w:rPr>
          <w:rFonts w:ascii="Times New Roman" w:eastAsia="Times New Roman" w:hAnsi="Times New Roman" w:cs="Times New Roman"/>
          <w:bCs/>
          <w:i/>
          <w:iCs/>
          <w:sz w:val="24"/>
          <w:szCs w:val="24"/>
        </w:rPr>
        <w:t>Quarterly Review of Distance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12</w:t>
      </w:r>
      <w:r w:rsidRPr="0032506F">
        <w:rPr>
          <w:rFonts w:ascii="Times New Roman" w:eastAsia="Times New Roman" w:hAnsi="Times New Roman" w:cs="Times New Roman"/>
          <w:bCs/>
          <w:sz w:val="24"/>
          <w:szCs w:val="24"/>
        </w:rPr>
        <w:t xml:space="preserve">(2), 113–124. </w:t>
      </w:r>
    </w:p>
    <w:p w14:paraId="7310F09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Richardson, J. C., &amp; Newby, T. (2006). The role of students’ cognitive engagement in online learning. </w:t>
      </w:r>
      <w:r w:rsidRPr="0032506F">
        <w:rPr>
          <w:rFonts w:ascii="Times New Roman" w:eastAsia="Times New Roman" w:hAnsi="Times New Roman" w:cs="Times New Roman"/>
          <w:bCs/>
          <w:i/>
          <w:iCs/>
          <w:sz w:val="24"/>
          <w:szCs w:val="24"/>
        </w:rPr>
        <w:t>American Journal of Distance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20</w:t>
      </w:r>
      <w:r w:rsidRPr="0032506F">
        <w:rPr>
          <w:rFonts w:ascii="Times New Roman" w:eastAsia="Times New Roman" w:hAnsi="Times New Roman" w:cs="Times New Roman"/>
          <w:bCs/>
          <w:sz w:val="24"/>
          <w:szCs w:val="24"/>
        </w:rPr>
        <w:t xml:space="preserve">(1), 23–37. </w:t>
      </w:r>
      <w:hyperlink r:id="rId138" w:history="1">
        <w:r w:rsidRPr="0032506F">
          <w:rPr>
            <w:rStyle w:val="Hyperlink"/>
            <w:rFonts w:ascii="Times New Roman" w:eastAsia="Times New Roman" w:hAnsi="Times New Roman" w:cs="Times New Roman"/>
            <w:bCs/>
            <w:color w:val="auto"/>
            <w:sz w:val="24"/>
            <w:szCs w:val="24"/>
          </w:rPr>
          <w:t>https://doi.org/10.1207/s15389286ajde2001_3</w:t>
        </w:r>
      </w:hyperlink>
    </w:p>
    <w:p w14:paraId="7F842BF5" w14:textId="32B3093F"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Rimm-Kaufman, S. E., Baroody, A. E., Larsen, R. A. A., Curby, T. W., &amp; Abry, T. (2015). To what extent do teacher–student interaction quality and student gender contribute to fifth graders’ engagement in mathematics learning?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107</w:t>
      </w:r>
      <w:r w:rsidRPr="0032506F">
        <w:rPr>
          <w:rFonts w:ascii="Times New Roman" w:eastAsia="Times New Roman" w:hAnsi="Times New Roman" w:cs="Times New Roman"/>
          <w:bCs/>
          <w:sz w:val="24"/>
          <w:szCs w:val="24"/>
        </w:rPr>
        <w:t xml:space="preserve">(1), 170–185. </w:t>
      </w:r>
      <w:hyperlink r:id="rId139" w:history="1">
        <w:r w:rsidRPr="0032506F">
          <w:rPr>
            <w:rStyle w:val="Hyperlink"/>
            <w:rFonts w:ascii="Times New Roman" w:eastAsia="Times New Roman" w:hAnsi="Times New Roman" w:cs="Times New Roman"/>
            <w:bCs/>
            <w:color w:val="auto"/>
            <w:sz w:val="24"/>
            <w:szCs w:val="24"/>
          </w:rPr>
          <w:t>https://doi.org/10.1037/a0037252</w:t>
        </w:r>
      </w:hyperlink>
    </w:p>
    <w:p w14:paraId="26992C9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Robinson, C. C., &amp; Hullinger, H. (2008). New benchmarks in higher education: Student engagement in online learning. </w:t>
      </w:r>
      <w:r w:rsidRPr="0032506F">
        <w:rPr>
          <w:rFonts w:ascii="Times New Roman" w:eastAsia="Times New Roman" w:hAnsi="Times New Roman" w:cs="Times New Roman"/>
          <w:bCs/>
          <w:i/>
          <w:iCs/>
          <w:sz w:val="24"/>
          <w:szCs w:val="24"/>
        </w:rPr>
        <w:t>Journal of Education for Business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84</w:t>
      </w:r>
      <w:r w:rsidRPr="0032506F">
        <w:rPr>
          <w:rFonts w:ascii="Times New Roman" w:eastAsia="Times New Roman" w:hAnsi="Times New Roman" w:cs="Times New Roman"/>
          <w:bCs/>
          <w:sz w:val="24"/>
          <w:szCs w:val="24"/>
        </w:rPr>
        <w:t>(2), 101–109.</w:t>
      </w:r>
    </w:p>
    <w:p w14:paraId="6B89D2A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Rosseel, Y. (2012). lavaan: An R package for Structural Equation Modeling. </w:t>
      </w:r>
      <w:r w:rsidRPr="0032506F">
        <w:rPr>
          <w:rFonts w:ascii="Times New Roman" w:eastAsia="Times New Roman" w:hAnsi="Times New Roman" w:cs="Times New Roman"/>
          <w:bCs/>
          <w:i/>
          <w:iCs/>
          <w:sz w:val="24"/>
          <w:szCs w:val="24"/>
        </w:rPr>
        <w:t>Journal of Statistical Software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48</w:t>
      </w:r>
      <w:r w:rsidRPr="0032506F">
        <w:rPr>
          <w:rFonts w:ascii="Times New Roman" w:eastAsia="Times New Roman" w:hAnsi="Times New Roman" w:cs="Times New Roman"/>
          <w:bCs/>
          <w:sz w:val="24"/>
          <w:szCs w:val="24"/>
        </w:rPr>
        <w:t xml:space="preserve">(2), 1–36. </w:t>
      </w:r>
      <w:hyperlink r:id="rId140" w:history="1">
        <w:r w:rsidRPr="0032506F">
          <w:rPr>
            <w:rStyle w:val="Hyperlink"/>
            <w:rFonts w:ascii="Times New Roman" w:eastAsia="Times New Roman" w:hAnsi="Times New Roman" w:cs="Times New Roman"/>
            <w:bCs/>
            <w:color w:val="000000" w:themeColor="text1"/>
            <w:sz w:val="24"/>
            <w:szCs w:val="24"/>
          </w:rPr>
          <w:t>https://doi.org/10.18637/jss.v048.i02</w:t>
        </w:r>
      </w:hyperlink>
    </w:p>
    <w:p w14:paraId="7C3614C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Russell, D. W. (2002). In search of underlying dimensions: The use (and abuse) of factor analysis in personality and social psychology bulletin. </w:t>
      </w:r>
      <w:r w:rsidRPr="0032506F">
        <w:rPr>
          <w:rFonts w:ascii="Times New Roman" w:eastAsia="Times New Roman" w:hAnsi="Times New Roman" w:cs="Times New Roman"/>
          <w:bCs/>
          <w:i/>
          <w:iCs/>
          <w:sz w:val="24"/>
          <w:szCs w:val="24"/>
        </w:rPr>
        <w:t>Personality and Social Psychology Bulletin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28</w:t>
      </w:r>
      <w:r w:rsidRPr="0032506F">
        <w:rPr>
          <w:rFonts w:ascii="Times New Roman" w:eastAsia="Times New Roman" w:hAnsi="Times New Roman" w:cs="Times New Roman"/>
          <w:bCs/>
          <w:sz w:val="24"/>
          <w:szCs w:val="24"/>
        </w:rPr>
        <w:t xml:space="preserve">(12), 1629–1646. </w:t>
      </w:r>
      <w:hyperlink r:id="rId141" w:history="1">
        <w:r w:rsidRPr="0032506F">
          <w:rPr>
            <w:rStyle w:val="Hyperlink"/>
            <w:rFonts w:ascii="Times New Roman" w:eastAsia="Times New Roman" w:hAnsi="Times New Roman" w:cs="Times New Roman"/>
            <w:bCs/>
            <w:color w:val="auto"/>
            <w:sz w:val="24"/>
            <w:szCs w:val="24"/>
          </w:rPr>
          <w:t>https://doi.org/10.1177/014616702237645</w:t>
        </w:r>
      </w:hyperlink>
    </w:p>
    <w:p w14:paraId="2F20463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Ryan, R. M., &amp; Deci, E. L. (2002). An overview of self-determination theory: An organismic-dialectical perspective. In E. L. Deci &amp; R. M. Ryan (Eds.), </w:t>
      </w:r>
      <w:r w:rsidRPr="0032506F">
        <w:rPr>
          <w:rFonts w:ascii="Times New Roman" w:eastAsia="Times New Roman" w:hAnsi="Times New Roman" w:cs="Times New Roman"/>
          <w:bCs/>
          <w:i/>
          <w:iCs/>
          <w:sz w:val="24"/>
          <w:szCs w:val="24"/>
        </w:rPr>
        <w:t>Handbook of self-determination research</w:t>
      </w:r>
      <w:r w:rsidRPr="0032506F">
        <w:rPr>
          <w:rFonts w:ascii="Times New Roman" w:eastAsia="Times New Roman" w:hAnsi="Times New Roman" w:cs="Times New Roman"/>
          <w:bCs/>
          <w:sz w:val="24"/>
          <w:szCs w:val="24"/>
        </w:rPr>
        <w:t xml:space="preserve"> (pp. 3–33). University of Rochester Press.</w:t>
      </w:r>
    </w:p>
    <w:p w14:paraId="1B767DD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Ryan, K., Gannon-Slater, N., &amp; Culbertson, M. J. (2012). Improving survey methods with cognitive interviews in small- and medium-scale evaluations. </w:t>
      </w:r>
      <w:r w:rsidRPr="0032506F">
        <w:rPr>
          <w:rFonts w:ascii="Times New Roman" w:eastAsia="Times New Roman" w:hAnsi="Times New Roman" w:cs="Times New Roman"/>
          <w:bCs/>
          <w:i/>
          <w:iCs/>
          <w:sz w:val="24"/>
          <w:szCs w:val="24"/>
        </w:rPr>
        <w:t>American Journal of Evaluation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33</w:t>
      </w:r>
      <w:r w:rsidRPr="0032506F">
        <w:rPr>
          <w:rFonts w:ascii="Times New Roman" w:eastAsia="Times New Roman" w:hAnsi="Times New Roman" w:cs="Times New Roman"/>
          <w:bCs/>
          <w:sz w:val="24"/>
          <w:szCs w:val="24"/>
        </w:rPr>
        <w:t xml:space="preserve">(3), 414–430. </w:t>
      </w:r>
      <w:hyperlink r:id="rId142" w:history="1">
        <w:r w:rsidRPr="0032506F">
          <w:rPr>
            <w:rStyle w:val="Hyperlink"/>
            <w:rFonts w:ascii="Times New Roman" w:eastAsia="Times New Roman" w:hAnsi="Times New Roman" w:cs="Times New Roman"/>
            <w:bCs/>
            <w:color w:val="auto"/>
            <w:sz w:val="24"/>
            <w:szCs w:val="24"/>
          </w:rPr>
          <w:t>https://doi.org/10.1177/1098214012441499</w:t>
        </w:r>
      </w:hyperlink>
    </w:p>
    <w:p w14:paraId="5EADEFD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Salter, N. P., &amp; Conneely, M. R. (2015). Structured and unstructured discussion forums as tools for student engagement. </w:t>
      </w:r>
      <w:r w:rsidRPr="0032506F">
        <w:rPr>
          <w:rFonts w:ascii="Times New Roman" w:eastAsia="Times New Roman" w:hAnsi="Times New Roman" w:cs="Times New Roman"/>
          <w:bCs/>
          <w:i/>
          <w:iCs/>
          <w:sz w:val="24"/>
          <w:szCs w:val="24"/>
        </w:rPr>
        <w:t>Computers in Human Behavior</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46</w:t>
      </w:r>
      <w:r w:rsidRPr="0032506F">
        <w:rPr>
          <w:rFonts w:ascii="Times New Roman" w:eastAsia="Times New Roman" w:hAnsi="Times New Roman" w:cs="Times New Roman"/>
          <w:bCs/>
          <w:sz w:val="24"/>
          <w:szCs w:val="24"/>
        </w:rPr>
        <w:t xml:space="preserve">, 18–25. </w:t>
      </w:r>
      <w:hyperlink r:id="rId143" w:history="1">
        <w:r w:rsidRPr="0032506F">
          <w:rPr>
            <w:rStyle w:val="Hyperlink"/>
            <w:rFonts w:ascii="Times New Roman" w:eastAsia="Times New Roman" w:hAnsi="Times New Roman" w:cs="Times New Roman"/>
            <w:bCs/>
            <w:color w:val="auto"/>
            <w:sz w:val="24"/>
            <w:szCs w:val="24"/>
          </w:rPr>
          <w:t>https://doi.org/10.1016/j.chb.2014.12.037</w:t>
        </w:r>
      </w:hyperlink>
    </w:p>
    <w:p w14:paraId="6A9EF1C9"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Salvo, S. G., Shelton, K., &amp; Welch, B. (2019). African American males learning online: Promoting academic achievement in higher education.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23</w:t>
      </w:r>
      <w:r w:rsidRPr="0032506F">
        <w:rPr>
          <w:rFonts w:ascii="Times New Roman" w:eastAsia="Times New Roman" w:hAnsi="Times New Roman" w:cs="Times New Roman"/>
          <w:bCs/>
          <w:sz w:val="24"/>
          <w:szCs w:val="24"/>
        </w:rPr>
        <w:t>(1), 22–36.</w:t>
      </w:r>
    </w:p>
    <w:p w14:paraId="025DA86F" w14:textId="5077521D" w:rsidR="004847AE" w:rsidRPr="0032506F" w:rsidRDefault="004847AE"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Schafer, J. L., &amp; Graham, J. W. (2002). Missing data: Our view of the state of the art. </w:t>
      </w:r>
      <w:r w:rsidRPr="0032506F">
        <w:rPr>
          <w:rFonts w:ascii="Times New Roman" w:eastAsia="Times New Roman" w:hAnsi="Times New Roman" w:cs="Times New Roman"/>
          <w:bCs/>
          <w:i/>
          <w:iCs/>
          <w:sz w:val="24"/>
          <w:szCs w:val="24"/>
        </w:rPr>
        <w:t>Psychological Methods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w:t>
      </w:r>
      <w:r w:rsidRPr="0032506F">
        <w:rPr>
          <w:rFonts w:ascii="Times New Roman" w:eastAsia="Times New Roman" w:hAnsi="Times New Roman" w:cs="Times New Roman"/>
          <w:bCs/>
          <w:sz w:val="24"/>
          <w:szCs w:val="24"/>
        </w:rPr>
        <w:t>(2), 147–177.</w:t>
      </w:r>
    </w:p>
    <w:p w14:paraId="3DB8BC63" w14:textId="49093C5D"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Schermelleh-Engel, K., Moosbrugger, H., &amp; Müller, H. (2003). Evaluating the fit of structural equation models: Tests of significance and descriptive goodness-of-fit measures. </w:t>
      </w:r>
      <w:r w:rsidRPr="0032506F">
        <w:rPr>
          <w:rFonts w:ascii="Times New Roman" w:eastAsia="Times New Roman" w:hAnsi="Times New Roman" w:cs="Times New Roman"/>
          <w:bCs/>
          <w:i/>
          <w:iCs/>
          <w:sz w:val="24"/>
          <w:szCs w:val="24"/>
        </w:rPr>
        <w:t>Methods of Psychological Research, 8</w:t>
      </w:r>
      <w:r w:rsidRPr="0032506F">
        <w:rPr>
          <w:rFonts w:ascii="Times New Roman" w:eastAsia="Times New Roman" w:hAnsi="Times New Roman" w:cs="Times New Roman"/>
          <w:bCs/>
          <w:sz w:val="24"/>
          <w:szCs w:val="24"/>
        </w:rPr>
        <w:t>(2), 23–74.</w:t>
      </w:r>
    </w:p>
    <w:p w14:paraId="2EE34A4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Schmeck, R. R., Ribich, F., &amp; Ramanaiah, N. (1977). Development of a self-report inventory for assessing individual differences in learning processes. </w:t>
      </w:r>
      <w:r w:rsidRPr="0032506F">
        <w:rPr>
          <w:rFonts w:ascii="Times New Roman" w:eastAsia="Times New Roman" w:hAnsi="Times New Roman" w:cs="Times New Roman"/>
          <w:bCs/>
          <w:i/>
          <w:iCs/>
          <w:sz w:val="24"/>
          <w:szCs w:val="24"/>
        </w:rPr>
        <w:t>Applied Psychological Measurement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w:t>
      </w:r>
      <w:r w:rsidRPr="0032506F">
        <w:rPr>
          <w:rFonts w:ascii="Times New Roman" w:eastAsia="Times New Roman" w:hAnsi="Times New Roman" w:cs="Times New Roman"/>
          <w:bCs/>
          <w:sz w:val="24"/>
          <w:szCs w:val="24"/>
        </w:rPr>
        <w:t xml:space="preserve">(3), 413–431. </w:t>
      </w:r>
      <w:hyperlink r:id="rId144" w:history="1">
        <w:r w:rsidRPr="0032506F">
          <w:rPr>
            <w:rStyle w:val="Hyperlink"/>
            <w:rFonts w:ascii="Times New Roman" w:eastAsia="Times New Roman" w:hAnsi="Times New Roman" w:cs="Times New Roman"/>
            <w:bCs/>
            <w:color w:val="auto"/>
            <w:sz w:val="24"/>
            <w:szCs w:val="24"/>
          </w:rPr>
          <w:t>https://doi.org/10.1177/014662167700100310</w:t>
        </w:r>
      </w:hyperlink>
    </w:p>
    <w:p w14:paraId="6239379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Schraw, G., Bendixen, L. D., &amp; Dunkle, M. E. (2002). Development and validation of the Epistemic Belief Inventory. In B. K. Hofer &amp; P. R. Pintrich (Eds.), </w:t>
      </w:r>
      <w:r w:rsidRPr="0032506F">
        <w:rPr>
          <w:rFonts w:ascii="Times New Roman" w:eastAsia="Times New Roman" w:hAnsi="Times New Roman" w:cs="Times New Roman"/>
          <w:bCs/>
          <w:i/>
          <w:iCs/>
          <w:sz w:val="24"/>
          <w:szCs w:val="24"/>
        </w:rPr>
        <w:t>Personal epistemology: The psychology of</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 xml:space="preserve">beliefs about knowledge and knowing </w:t>
      </w:r>
      <w:r w:rsidRPr="0032506F">
        <w:rPr>
          <w:rFonts w:ascii="Times New Roman" w:eastAsia="Times New Roman" w:hAnsi="Times New Roman" w:cs="Times New Roman"/>
          <w:bCs/>
          <w:sz w:val="24"/>
          <w:szCs w:val="24"/>
        </w:rPr>
        <w:t>(pp. 103–118). Erlbaum.</w:t>
      </w:r>
    </w:p>
    <w:p w14:paraId="4B02D7C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Schraw, G., &amp; Dennison, R. S. (1994). Assessing metacognitive awareness.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19</w:t>
      </w:r>
      <w:r w:rsidRPr="0032506F">
        <w:rPr>
          <w:rFonts w:ascii="Times New Roman" w:eastAsia="Times New Roman" w:hAnsi="Times New Roman" w:cs="Times New Roman"/>
          <w:bCs/>
          <w:sz w:val="24"/>
          <w:szCs w:val="24"/>
        </w:rPr>
        <w:t xml:space="preserve">(4), 460–475. </w:t>
      </w:r>
      <w:hyperlink r:id="rId145" w:history="1">
        <w:r w:rsidRPr="0032506F">
          <w:rPr>
            <w:rStyle w:val="Hyperlink"/>
            <w:rFonts w:ascii="Times New Roman" w:eastAsia="Times New Roman" w:hAnsi="Times New Roman" w:cs="Times New Roman"/>
            <w:bCs/>
            <w:color w:val="auto"/>
            <w:sz w:val="24"/>
            <w:szCs w:val="24"/>
          </w:rPr>
          <w:t>https://doi.org/10.1006/ceps.1994.1033</w:t>
        </w:r>
      </w:hyperlink>
    </w:p>
    <w:p w14:paraId="7B86F012"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Schumacher, S.C. (2018</w:t>
      </w:r>
      <w:r w:rsidRPr="0032506F">
        <w:rPr>
          <w:rFonts w:ascii="Times New Roman" w:eastAsia="Times New Roman" w:hAnsi="Times New Roman" w:cs="Times New Roman"/>
          <w:bCs/>
          <w:i/>
          <w:iCs/>
          <w:sz w:val="24"/>
          <w:szCs w:val="24"/>
        </w:rPr>
        <w:t xml:space="preserve">). Measuring adult engagement in online education: Instrument development </w:t>
      </w:r>
      <w:r w:rsidRPr="0032506F">
        <w:rPr>
          <w:rFonts w:ascii="Times New Roman" w:eastAsia="Times New Roman" w:hAnsi="Times New Roman" w:cs="Times New Roman"/>
          <w:bCs/>
          <w:sz w:val="24"/>
          <w:szCs w:val="24"/>
        </w:rPr>
        <w:t>(Publication No. 10813177) [Doctoral dissertation, Barry University]. ProQuest Dissertations &amp; Theses Global.</w:t>
      </w:r>
    </w:p>
    <w:p w14:paraId="2E4535DB"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Schumacker, R. E., &amp; Lomax, R. G. (2016). </w:t>
      </w:r>
      <w:r w:rsidRPr="0032506F">
        <w:rPr>
          <w:rFonts w:ascii="Times New Roman" w:eastAsia="Times New Roman" w:hAnsi="Times New Roman" w:cs="Times New Roman"/>
          <w:bCs/>
          <w:i/>
          <w:iCs/>
          <w:sz w:val="24"/>
          <w:szCs w:val="24"/>
        </w:rPr>
        <w:t xml:space="preserve">A beginner’s guide to structural equation modeling </w:t>
      </w:r>
      <w:r w:rsidRPr="0032506F">
        <w:rPr>
          <w:rFonts w:ascii="Times New Roman" w:eastAsia="Times New Roman" w:hAnsi="Times New Roman" w:cs="Times New Roman"/>
          <w:bCs/>
          <w:sz w:val="24"/>
          <w:szCs w:val="24"/>
        </w:rPr>
        <w:t>(4</w:t>
      </w:r>
      <w:r w:rsidRPr="0032506F">
        <w:rPr>
          <w:rFonts w:ascii="Times New Roman" w:eastAsia="Times New Roman" w:hAnsi="Times New Roman" w:cs="Times New Roman"/>
          <w:bCs/>
          <w:sz w:val="24"/>
          <w:szCs w:val="24"/>
          <w:vertAlign w:val="superscript"/>
        </w:rPr>
        <w:t>th</w:t>
      </w:r>
      <w:r w:rsidRPr="0032506F">
        <w:rPr>
          <w:rFonts w:ascii="Times New Roman" w:eastAsia="Times New Roman" w:hAnsi="Times New Roman" w:cs="Times New Roman"/>
          <w:bCs/>
          <w:sz w:val="24"/>
          <w:szCs w:val="24"/>
        </w:rPr>
        <w:t xml:space="preserve"> ed.). New York: Routledge.</w:t>
      </w:r>
    </w:p>
    <w:p w14:paraId="09F7748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Shackelford, J. L., &amp; Maxwell, M. (2012). Sense of community in graduate online education: Contribution of </w:t>
      </w:r>
      <w:proofErr w:type="gramStart"/>
      <w:r w:rsidRPr="0032506F">
        <w:rPr>
          <w:rFonts w:ascii="Times New Roman" w:eastAsia="Times New Roman" w:hAnsi="Times New Roman" w:cs="Times New Roman"/>
          <w:bCs/>
          <w:sz w:val="24"/>
          <w:szCs w:val="24"/>
        </w:rPr>
        <w:t>learner to learner</w:t>
      </w:r>
      <w:proofErr w:type="gramEnd"/>
      <w:r w:rsidRPr="0032506F">
        <w:rPr>
          <w:rFonts w:ascii="Times New Roman" w:eastAsia="Times New Roman" w:hAnsi="Times New Roman" w:cs="Times New Roman"/>
          <w:bCs/>
          <w:sz w:val="24"/>
          <w:szCs w:val="24"/>
        </w:rPr>
        <w:t xml:space="preserve"> interaction. </w:t>
      </w:r>
      <w:r w:rsidRPr="0032506F">
        <w:rPr>
          <w:rFonts w:ascii="Times New Roman" w:eastAsia="Times New Roman" w:hAnsi="Times New Roman" w:cs="Times New Roman"/>
          <w:bCs/>
          <w:i/>
          <w:iCs/>
          <w:sz w:val="24"/>
          <w:szCs w:val="24"/>
        </w:rPr>
        <w:t>International Review of Research in Open and Distance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13</w:t>
      </w:r>
      <w:r w:rsidRPr="0032506F">
        <w:rPr>
          <w:rFonts w:ascii="Times New Roman" w:eastAsia="Times New Roman" w:hAnsi="Times New Roman" w:cs="Times New Roman"/>
          <w:bCs/>
          <w:sz w:val="24"/>
          <w:szCs w:val="24"/>
        </w:rPr>
        <w:t xml:space="preserve">(4), 228–249. </w:t>
      </w:r>
    </w:p>
    <w:p w14:paraId="043AD46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Sherblom, J. C. (2010). The computer-mediated communication (CMC) classroom: A challenge of medium, presence, interaction, identity, and relationship. </w:t>
      </w:r>
      <w:r w:rsidRPr="0032506F">
        <w:rPr>
          <w:rFonts w:ascii="Times New Roman" w:eastAsia="Times New Roman" w:hAnsi="Times New Roman" w:cs="Times New Roman"/>
          <w:bCs/>
          <w:i/>
          <w:iCs/>
          <w:sz w:val="24"/>
          <w:szCs w:val="24"/>
        </w:rPr>
        <w:t>Communication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59</w:t>
      </w:r>
      <w:r w:rsidRPr="0032506F">
        <w:rPr>
          <w:rFonts w:ascii="Times New Roman" w:eastAsia="Times New Roman" w:hAnsi="Times New Roman" w:cs="Times New Roman"/>
          <w:bCs/>
          <w:sz w:val="24"/>
          <w:szCs w:val="24"/>
        </w:rPr>
        <w:t xml:space="preserve">(4), 497–523. </w:t>
      </w:r>
      <w:hyperlink r:id="rId146" w:history="1">
        <w:r w:rsidRPr="0032506F">
          <w:rPr>
            <w:rStyle w:val="Hyperlink"/>
            <w:rFonts w:ascii="Times New Roman" w:eastAsia="Times New Roman" w:hAnsi="Times New Roman" w:cs="Times New Roman"/>
            <w:bCs/>
            <w:color w:val="auto"/>
            <w:sz w:val="24"/>
            <w:szCs w:val="24"/>
          </w:rPr>
          <w:t>https://doi.org/10.1080/03634523.2010.486440</w:t>
        </w:r>
      </w:hyperlink>
    </w:p>
    <w:p w14:paraId="7620859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Sinatra, G. M., Heddy, B. C., &amp; Lombardi, D. (2015). The challenges of defining and measuring student engagement in science.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50</w:t>
      </w:r>
      <w:r w:rsidRPr="0032506F">
        <w:rPr>
          <w:rFonts w:ascii="Times New Roman" w:eastAsia="Times New Roman" w:hAnsi="Times New Roman" w:cs="Times New Roman"/>
          <w:bCs/>
          <w:sz w:val="24"/>
          <w:szCs w:val="24"/>
        </w:rPr>
        <w:t xml:space="preserve">(1), 1–13. </w:t>
      </w:r>
      <w:hyperlink r:id="rId147" w:history="1">
        <w:r w:rsidRPr="0032506F">
          <w:rPr>
            <w:rStyle w:val="Hyperlink"/>
            <w:rFonts w:ascii="Times New Roman" w:eastAsia="Times New Roman" w:hAnsi="Times New Roman" w:cs="Times New Roman"/>
            <w:bCs/>
            <w:color w:val="auto"/>
            <w:sz w:val="24"/>
            <w:szCs w:val="24"/>
          </w:rPr>
          <w:t>https://doi.org/10.1080/00461520.2014.1002924</w:t>
        </w:r>
      </w:hyperlink>
    </w:p>
    <w:p w14:paraId="6520743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Skinner, E. A., &amp; Belmont, M. J. (1993). Motivation in the classroom: Reciprocal effects of teacher behavior and student engagement across the school year.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85</w:t>
      </w:r>
      <w:r w:rsidRPr="0032506F">
        <w:rPr>
          <w:rFonts w:ascii="Times New Roman" w:eastAsia="Times New Roman" w:hAnsi="Times New Roman" w:cs="Times New Roman"/>
          <w:bCs/>
          <w:sz w:val="24"/>
          <w:szCs w:val="24"/>
        </w:rPr>
        <w:t xml:space="preserve">(4), 571–581. </w:t>
      </w:r>
    </w:p>
    <w:p w14:paraId="70FA591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Skinner, E. A., Kindermann, T. A., &amp; Furrer, C. J. (2009). A motivational perspective on engagement and disaffection: Conceptualization and assessment of children’s behavioral and emotional participation in academic activities in the classroom. </w:t>
      </w:r>
      <w:r w:rsidRPr="0032506F">
        <w:rPr>
          <w:rFonts w:ascii="Times New Roman" w:eastAsia="Times New Roman" w:hAnsi="Times New Roman" w:cs="Times New Roman"/>
          <w:bCs/>
          <w:i/>
          <w:iCs/>
          <w:sz w:val="24"/>
          <w:szCs w:val="24"/>
        </w:rPr>
        <w:t>Educational and Psychological Measurement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69</w:t>
      </w:r>
      <w:r w:rsidRPr="0032506F">
        <w:rPr>
          <w:rFonts w:ascii="Times New Roman" w:eastAsia="Times New Roman" w:hAnsi="Times New Roman" w:cs="Times New Roman"/>
          <w:bCs/>
          <w:sz w:val="24"/>
          <w:szCs w:val="24"/>
        </w:rPr>
        <w:t xml:space="preserve">(3), 493–525. </w:t>
      </w:r>
      <w:hyperlink r:id="rId148" w:history="1">
        <w:r w:rsidRPr="0032506F">
          <w:rPr>
            <w:rStyle w:val="Hyperlink"/>
            <w:rFonts w:ascii="Times New Roman" w:eastAsia="Times New Roman" w:hAnsi="Times New Roman" w:cs="Times New Roman"/>
            <w:bCs/>
            <w:color w:val="auto"/>
            <w:sz w:val="24"/>
            <w:szCs w:val="24"/>
          </w:rPr>
          <w:t>https://doi.org/10.1177/0013164408323233</w:t>
        </w:r>
      </w:hyperlink>
    </w:p>
    <w:p w14:paraId="37612EC2" w14:textId="77777777" w:rsidR="00B97D0B" w:rsidRPr="0032506F" w:rsidRDefault="006B3259" w:rsidP="00B97D0B">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Spurgeon, S. L. (2017). Evaluating the unintended consequences of assessment practices: Construct irrelevance and construct underrepresentation. </w:t>
      </w:r>
      <w:r w:rsidRPr="0032506F">
        <w:rPr>
          <w:rFonts w:ascii="Times New Roman" w:eastAsia="Times New Roman" w:hAnsi="Times New Roman" w:cs="Times New Roman"/>
          <w:bCs/>
          <w:i/>
          <w:iCs/>
          <w:sz w:val="24"/>
          <w:szCs w:val="24"/>
        </w:rPr>
        <w:t>Measurement and Evaluation in Counseling and Development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50</w:t>
      </w:r>
      <w:r w:rsidRPr="0032506F">
        <w:rPr>
          <w:rFonts w:ascii="Times New Roman" w:eastAsia="Times New Roman" w:hAnsi="Times New Roman" w:cs="Times New Roman"/>
          <w:bCs/>
          <w:sz w:val="24"/>
          <w:szCs w:val="24"/>
        </w:rPr>
        <w:t xml:space="preserve">(4), 275–281. </w:t>
      </w:r>
      <w:hyperlink r:id="rId149" w:history="1">
        <w:r w:rsidRPr="0032506F">
          <w:rPr>
            <w:rStyle w:val="Hyperlink"/>
            <w:rFonts w:ascii="Times New Roman" w:eastAsia="Times New Roman" w:hAnsi="Times New Roman" w:cs="Times New Roman"/>
            <w:bCs/>
            <w:color w:val="auto"/>
            <w:sz w:val="24"/>
            <w:szCs w:val="24"/>
          </w:rPr>
          <w:t>https://doi.org/10.1080/07481756.2017.1339563</w:t>
        </w:r>
      </w:hyperlink>
    </w:p>
    <w:p w14:paraId="3CE1745B" w14:textId="264B90C9" w:rsidR="006B3259" w:rsidRPr="0032506F" w:rsidRDefault="006B3259" w:rsidP="00B97D0B">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Sriram, R. (2014). </w:t>
      </w:r>
      <w:r w:rsidRPr="0032506F">
        <w:rPr>
          <w:rFonts w:ascii="Times New Roman" w:eastAsia="Times New Roman" w:hAnsi="Times New Roman" w:cs="Times New Roman"/>
          <w:bCs/>
          <w:i/>
          <w:iCs/>
          <w:sz w:val="24"/>
          <w:szCs w:val="24"/>
        </w:rPr>
        <w:t>Five things not to do in developing surveys for assessment in students</w:t>
      </w:r>
      <w:r w:rsidR="00B97D0B" w:rsidRPr="0032506F">
        <w:rPr>
          <w:rFonts w:ascii="Times New Roman" w:eastAsia="Times New Roman" w:hAnsi="Times New Roman" w:cs="Times New Roman"/>
          <w:bCs/>
          <w:i/>
          <w:iCs/>
          <w:sz w:val="24"/>
          <w:szCs w:val="24"/>
        </w:rPr>
        <w:t xml:space="preserve"> </w:t>
      </w:r>
      <w:r w:rsidRPr="0032506F">
        <w:rPr>
          <w:rFonts w:ascii="Times New Roman" w:eastAsia="Times New Roman" w:hAnsi="Times New Roman" w:cs="Times New Roman"/>
          <w:bCs/>
          <w:i/>
          <w:iCs/>
          <w:sz w:val="24"/>
          <w:szCs w:val="24"/>
        </w:rPr>
        <w:t>affairs</w:t>
      </w:r>
      <w:r w:rsidRPr="0032506F">
        <w:rPr>
          <w:rFonts w:ascii="Times New Roman" w:eastAsia="Times New Roman" w:hAnsi="Times New Roman" w:cs="Times New Roman"/>
          <w:bCs/>
          <w:sz w:val="24"/>
          <w:szCs w:val="24"/>
        </w:rPr>
        <w:t xml:space="preserve">. </w:t>
      </w:r>
      <w:hyperlink r:id="rId150" w:history="1">
        <w:r w:rsidRPr="0032506F">
          <w:rPr>
            <w:rStyle w:val="Hyperlink"/>
            <w:rFonts w:ascii="Times New Roman" w:eastAsia="Times New Roman" w:hAnsi="Times New Roman" w:cs="Times New Roman"/>
            <w:bCs/>
            <w:color w:val="auto"/>
            <w:sz w:val="24"/>
            <w:szCs w:val="24"/>
          </w:rPr>
          <w:t>https://www.naspa.org/images/uploads/main/5things-surveys_feb2014_web.pdf</w:t>
        </w:r>
      </w:hyperlink>
    </w:p>
    <w:p w14:paraId="2E0F470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Stone, C., Freeman, E., Dyment, J., Muir, T., &amp; Milthorpe, N. (2019). Equal or equitable? The role of flexibility within online education. </w:t>
      </w:r>
      <w:r w:rsidRPr="0032506F">
        <w:rPr>
          <w:rFonts w:ascii="Times New Roman" w:eastAsia="Times New Roman" w:hAnsi="Times New Roman" w:cs="Times New Roman"/>
          <w:bCs/>
          <w:i/>
          <w:iCs/>
          <w:sz w:val="24"/>
          <w:szCs w:val="24"/>
        </w:rPr>
        <w:t>Australian and International Journal of Rural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29</w:t>
      </w:r>
      <w:r w:rsidRPr="0032506F">
        <w:rPr>
          <w:rFonts w:ascii="Times New Roman" w:eastAsia="Times New Roman" w:hAnsi="Times New Roman" w:cs="Times New Roman"/>
          <w:bCs/>
          <w:sz w:val="24"/>
          <w:szCs w:val="24"/>
        </w:rPr>
        <w:t xml:space="preserve">(2), 26–40. </w:t>
      </w:r>
    </w:p>
    <w:p w14:paraId="65FD4358" w14:textId="70755248"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Sun, J. C.-Y., &amp; Rueda, R. (2012). Situational interest, computer self-efficacy and self-regulation: Their impact on student engagement in distance education. </w:t>
      </w:r>
      <w:r w:rsidRPr="0032506F">
        <w:rPr>
          <w:rFonts w:ascii="Times New Roman" w:eastAsia="Times New Roman" w:hAnsi="Times New Roman" w:cs="Times New Roman"/>
          <w:bCs/>
          <w:i/>
          <w:iCs/>
          <w:sz w:val="24"/>
          <w:szCs w:val="24"/>
        </w:rPr>
        <w:t>British Journal of Educational Technology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43</w:t>
      </w:r>
      <w:r w:rsidRPr="0032506F">
        <w:rPr>
          <w:rFonts w:ascii="Times New Roman" w:eastAsia="Times New Roman" w:hAnsi="Times New Roman" w:cs="Times New Roman"/>
          <w:bCs/>
          <w:sz w:val="24"/>
          <w:szCs w:val="24"/>
        </w:rPr>
        <w:t xml:space="preserve">(2), 191–204. </w:t>
      </w:r>
      <w:hyperlink r:id="rId151" w:history="1">
        <w:r w:rsidRPr="0032506F">
          <w:rPr>
            <w:rStyle w:val="Hyperlink"/>
            <w:rFonts w:ascii="Times New Roman" w:eastAsia="Times New Roman" w:hAnsi="Times New Roman" w:cs="Times New Roman"/>
            <w:bCs/>
            <w:color w:val="auto"/>
            <w:sz w:val="24"/>
            <w:szCs w:val="24"/>
          </w:rPr>
          <w:t>https://doi.org/10.1111/j.1467-8535.2010.01157.x</w:t>
        </w:r>
      </w:hyperlink>
    </w:p>
    <w:p w14:paraId="1FC5091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Tabachnick, B.G., &amp; Fidell, L.S. (2013). </w:t>
      </w:r>
      <w:r w:rsidRPr="0032506F">
        <w:rPr>
          <w:rFonts w:ascii="Times New Roman" w:eastAsia="Times New Roman" w:hAnsi="Times New Roman" w:cs="Times New Roman"/>
          <w:bCs/>
          <w:i/>
          <w:iCs/>
          <w:sz w:val="24"/>
          <w:szCs w:val="24"/>
        </w:rPr>
        <w:t xml:space="preserve">Using multivariate statistics </w:t>
      </w:r>
      <w:r w:rsidRPr="0032506F">
        <w:rPr>
          <w:rFonts w:ascii="Times New Roman" w:eastAsia="Times New Roman" w:hAnsi="Times New Roman" w:cs="Times New Roman"/>
          <w:bCs/>
          <w:sz w:val="24"/>
          <w:szCs w:val="24"/>
        </w:rPr>
        <w:t>(6</w:t>
      </w:r>
      <w:r w:rsidRPr="0032506F">
        <w:rPr>
          <w:rFonts w:ascii="Times New Roman" w:eastAsia="Times New Roman" w:hAnsi="Times New Roman" w:cs="Times New Roman"/>
          <w:bCs/>
          <w:sz w:val="24"/>
          <w:szCs w:val="24"/>
          <w:vertAlign w:val="superscript"/>
        </w:rPr>
        <w:t>th</w:t>
      </w:r>
      <w:r w:rsidRPr="0032506F">
        <w:rPr>
          <w:rFonts w:ascii="Times New Roman" w:eastAsia="Times New Roman" w:hAnsi="Times New Roman" w:cs="Times New Roman"/>
          <w:bCs/>
          <w:sz w:val="24"/>
          <w:szCs w:val="24"/>
        </w:rPr>
        <w:t xml:space="preserve"> ed). Pearson.</w:t>
      </w:r>
    </w:p>
    <w:p w14:paraId="64F98446" w14:textId="7A37C72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Tempelaar, D. T., Niculescu, A., Rienties, B., Gijselaers, W. H., &amp; Giesbers, B. (2012). How achievement emotions impact students’ decisions for online learning, and what precedes those emotions. </w:t>
      </w:r>
      <w:r w:rsidRPr="0032506F">
        <w:rPr>
          <w:rFonts w:ascii="Times New Roman" w:eastAsia="Times New Roman" w:hAnsi="Times New Roman" w:cs="Times New Roman"/>
          <w:bCs/>
          <w:i/>
          <w:iCs/>
          <w:sz w:val="24"/>
          <w:szCs w:val="24"/>
        </w:rPr>
        <w:t>Internet and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w:t>
      </w:r>
      <w:r w:rsidRPr="0032506F">
        <w:rPr>
          <w:rFonts w:ascii="Times New Roman" w:eastAsia="Times New Roman" w:hAnsi="Times New Roman" w:cs="Times New Roman"/>
          <w:bCs/>
          <w:sz w:val="24"/>
          <w:szCs w:val="24"/>
        </w:rPr>
        <w:t xml:space="preserve">(3), 161–169. </w:t>
      </w:r>
      <w:hyperlink r:id="rId152" w:history="1">
        <w:r w:rsidRPr="0032506F">
          <w:rPr>
            <w:rStyle w:val="Hyperlink"/>
            <w:rFonts w:ascii="Times New Roman" w:eastAsia="Times New Roman" w:hAnsi="Times New Roman" w:cs="Times New Roman"/>
            <w:bCs/>
            <w:color w:val="auto"/>
            <w:sz w:val="24"/>
            <w:szCs w:val="24"/>
          </w:rPr>
          <w:t>https://doi.org/10.1016/j.iheduc.2011.10.003</w:t>
        </w:r>
      </w:hyperlink>
    </w:p>
    <w:p w14:paraId="4ED943D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van de Sande, C., Abramson, J., &amp; Judson-Garcia, J. (2017). An exploration of </w:t>
      </w:r>
      <w:proofErr w:type="gramStart"/>
      <w:r w:rsidRPr="0032506F">
        <w:rPr>
          <w:rFonts w:ascii="Times New Roman" w:eastAsia="Times New Roman" w:hAnsi="Times New Roman" w:cs="Times New Roman"/>
          <w:bCs/>
          <w:sz w:val="24"/>
          <w:szCs w:val="24"/>
        </w:rPr>
        <w:t>note-taking</w:t>
      </w:r>
      <w:proofErr w:type="gramEnd"/>
      <w:r w:rsidRPr="0032506F">
        <w:rPr>
          <w:rFonts w:ascii="Times New Roman" w:eastAsia="Times New Roman" w:hAnsi="Times New Roman" w:cs="Times New Roman"/>
          <w:bCs/>
          <w:sz w:val="24"/>
          <w:szCs w:val="24"/>
        </w:rPr>
        <w:t xml:space="preserve"> in an online calculus course. </w:t>
      </w:r>
      <w:r w:rsidRPr="0032506F">
        <w:rPr>
          <w:rFonts w:ascii="Times New Roman" w:eastAsia="Times New Roman" w:hAnsi="Times New Roman" w:cs="Times New Roman"/>
          <w:bCs/>
          <w:i/>
          <w:iCs/>
          <w:sz w:val="24"/>
          <w:szCs w:val="24"/>
        </w:rPr>
        <w:t>Journal of Computers in Mathematics and Science Teaching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36</w:t>
      </w:r>
      <w:r w:rsidRPr="0032506F">
        <w:rPr>
          <w:rFonts w:ascii="Times New Roman" w:eastAsia="Times New Roman" w:hAnsi="Times New Roman" w:cs="Times New Roman"/>
          <w:bCs/>
          <w:sz w:val="24"/>
          <w:szCs w:val="24"/>
        </w:rPr>
        <w:t xml:space="preserve">(1), 75–99. </w:t>
      </w:r>
    </w:p>
    <w:p w14:paraId="79E31DE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Vayre, E., &amp; Vonthron, A.-M. (2017). Psychological engagement of students in distance and online learning: Effects of self-efficacy and psychosocial processes. </w:t>
      </w:r>
      <w:r w:rsidRPr="0032506F">
        <w:rPr>
          <w:rFonts w:ascii="Times New Roman" w:eastAsia="Times New Roman" w:hAnsi="Times New Roman" w:cs="Times New Roman"/>
          <w:bCs/>
          <w:i/>
          <w:iCs/>
          <w:sz w:val="24"/>
          <w:szCs w:val="24"/>
        </w:rPr>
        <w:t>Journal of Educational Computing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55</w:t>
      </w:r>
      <w:r w:rsidRPr="0032506F">
        <w:rPr>
          <w:rFonts w:ascii="Times New Roman" w:eastAsia="Times New Roman" w:hAnsi="Times New Roman" w:cs="Times New Roman"/>
          <w:bCs/>
          <w:sz w:val="24"/>
          <w:szCs w:val="24"/>
        </w:rPr>
        <w:t xml:space="preserve">(2), 197–218. </w:t>
      </w:r>
      <w:hyperlink r:id="rId153" w:history="1">
        <w:r w:rsidRPr="0032506F">
          <w:rPr>
            <w:rStyle w:val="Hyperlink"/>
            <w:rFonts w:ascii="Times New Roman" w:eastAsia="Times New Roman" w:hAnsi="Times New Roman" w:cs="Times New Roman"/>
            <w:bCs/>
            <w:color w:val="auto"/>
            <w:sz w:val="24"/>
            <w:szCs w:val="24"/>
          </w:rPr>
          <w:t>https://doi.org/10.1177/0735633116656849</w:t>
        </w:r>
      </w:hyperlink>
    </w:p>
    <w:p w14:paraId="07E727C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Veiga, F. H., Reeve, J., Wenthzel, K., &amp; Robu, V. (2014). </w:t>
      </w:r>
      <w:r w:rsidRPr="0032506F">
        <w:rPr>
          <w:rFonts w:ascii="Times New Roman" w:eastAsia="Times New Roman" w:hAnsi="Times New Roman" w:cs="Times New Roman"/>
          <w:bCs/>
          <w:i/>
          <w:iCs/>
          <w:sz w:val="24"/>
          <w:szCs w:val="24"/>
        </w:rPr>
        <w:t>Assessing students’ engagement: A review of instruments with psychometric qualities</w:t>
      </w:r>
      <w:r w:rsidRPr="0032506F">
        <w:rPr>
          <w:rFonts w:ascii="Times New Roman" w:eastAsia="Times New Roman" w:hAnsi="Times New Roman" w:cs="Times New Roman"/>
          <w:bCs/>
          <w:sz w:val="24"/>
          <w:szCs w:val="24"/>
        </w:rPr>
        <w:t xml:space="preserve">. Repositório da Universidade de Lisboa. </w:t>
      </w:r>
      <w:hyperlink r:id="rId154" w:history="1">
        <w:r w:rsidRPr="0032506F">
          <w:rPr>
            <w:rStyle w:val="Hyperlink"/>
            <w:rFonts w:ascii="Times New Roman" w:eastAsia="Times New Roman" w:hAnsi="Times New Roman" w:cs="Times New Roman"/>
            <w:bCs/>
            <w:color w:val="auto"/>
            <w:sz w:val="24"/>
            <w:szCs w:val="24"/>
          </w:rPr>
          <w:t>https://repositorio.ul.pt/handle/10451/18036</w:t>
        </w:r>
      </w:hyperlink>
    </w:p>
    <w:p w14:paraId="03F2C151"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Voelkl, K. E. (1997). Identification with school. </w:t>
      </w:r>
      <w:r w:rsidRPr="0032506F">
        <w:rPr>
          <w:rFonts w:ascii="Times New Roman" w:eastAsia="Times New Roman" w:hAnsi="Times New Roman" w:cs="Times New Roman"/>
          <w:bCs/>
          <w:i/>
          <w:iCs/>
          <w:sz w:val="24"/>
          <w:szCs w:val="24"/>
        </w:rPr>
        <w:t>American Journal of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105</w:t>
      </w:r>
      <w:r w:rsidRPr="0032506F">
        <w:rPr>
          <w:rFonts w:ascii="Times New Roman" w:eastAsia="Times New Roman" w:hAnsi="Times New Roman" w:cs="Times New Roman"/>
          <w:bCs/>
          <w:sz w:val="24"/>
          <w:szCs w:val="24"/>
        </w:rPr>
        <w:t>(3), 294–318.</w:t>
      </w:r>
    </w:p>
    <w:p w14:paraId="74A80FBC"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Wandler, J., &amp; Imbriale, W. J. (2017). Promoting college student self-regulation in online learning environments.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21</w:t>
      </w:r>
      <w:r w:rsidRPr="0032506F">
        <w:rPr>
          <w:rFonts w:ascii="Times New Roman" w:eastAsia="Times New Roman" w:hAnsi="Times New Roman" w:cs="Times New Roman"/>
          <w:bCs/>
          <w:sz w:val="24"/>
          <w:szCs w:val="24"/>
        </w:rPr>
        <w:t>(2), 1–16.</w:t>
      </w:r>
    </w:p>
    <w:p w14:paraId="6E708473"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ab/>
      </w:r>
      <w:hyperlink r:id="rId155" w:history="1">
        <w:r w:rsidRPr="0032506F">
          <w:rPr>
            <w:rStyle w:val="Hyperlink"/>
            <w:rFonts w:ascii="Times New Roman" w:eastAsia="Times New Roman" w:hAnsi="Times New Roman" w:cs="Times New Roman"/>
            <w:bCs/>
            <w:color w:val="auto"/>
            <w:sz w:val="24"/>
            <w:szCs w:val="24"/>
          </w:rPr>
          <w:t>https://doi.org/10.24059/olj.v21i2.881</w:t>
        </w:r>
      </w:hyperlink>
    </w:p>
    <w:p w14:paraId="388723F2" w14:textId="1D3125AD" w:rsidR="002F7DAB" w:rsidRPr="0032506F" w:rsidRDefault="002F7DAB"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Wang, M.</w:t>
      </w:r>
      <w:r w:rsidR="000B0387"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sz w:val="24"/>
          <w:szCs w:val="24"/>
        </w:rPr>
        <w:t>(2010). Online collaboration and offline interaction between students using asynchronous tools in blended learning. </w:t>
      </w:r>
      <w:r w:rsidRPr="0032506F">
        <w:rPr>
          <w:rFonts w:ascii="Times New Roman" w:eastAsia="Times New Roman" w:hAnsi="Times New Roman" w:cs="Times New Roman"/>
          <w:bCs/>
          <w:i/>
          <w:iCs/>
          <w:sz w:val="24"/>
          <w:szCs w:val="24"/>
        </w:rPr>
        <w:t>Australasian Journal of Educational Technology</w:t>
      </w:r>
      <w:r w:rsidRPr="0032506F">
        <w:rPr>
          <w:rFonts w:ascii="Times New Roman" w:eastAsia="Times New Roman" w:hAnsi="Times New Roman" w:cs="Times New Roman"/>
          <w:bCs/>
          <w:sz w:val="24"/>
          <w:szCs w:val="24"/>
        </w:rPr>
        <w:t>, </w:t>
      </w:r>
      <w:r w:rsidRPr="0032506F">
        <w:rPr>
          <w:rFonts w:ascii="Times New Roman" w:eastAsia="Times New Roman" w:hAnsi="Times New Roman" w:cs="Times New Roman"/>
          <w:bCs/>
          <w:i/>
          <w:iCs/>
          <w:sz w:val="24"/>
          <w:szCs w:val="24"/>
        </w:rPr>
        <w:t>26</w:t>
      </w:r>
      <w:r w:rsidRPr="0032506F">
        <w:rPr>
          <w:rFonts w:ascii="Times New Roman" w:eastAsia="Times New Roman" w:hAnsi="Times New Roman" w:cs="Times New Roman"/>
          <w:bCs/>
          <w:sz w:val="24"/>
          <w:szCs w:val="24"/>
        </w:rPr>
        <w:t xml:space="preserve">(6). </w:t>
      </w:r>
      <w:hyperlink r:id="rId156" w:history="1">
        <w:r w:rsidRPr="0032506F">
          <w:rPr>
            <w:rStyle w:val="Hyperlink"/>
            <w:rFonts w:ascii="Times New Roman" w:eastAsia="Times New Roman" w:hAnsi="Times New Roman" w:cs="Times New Roman"/>
            <w:bCs/>
            <w:color w:val="auto"/>
            <w:sz w:val="24"/>
            <w:szCs w:val="24"/>
          </w:rPr>
          <w:t>https://doi.org/10.14742/ajet.1045</w:t>
        </w:r>
      </w:hyperlink>
    </w:p>
    <w:p w14:paraId="313DB5A9" w14:textId="337AD5CE"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Wang, M., &amp; Fredricks, J. A. (2014). The reciprocal links between school engagement, youth problem behaviors, and school dropout during adolescence. </w:t>
      </w:r>
      <w:r w:rsidRPr="0032506F">
        <w:rPr>
          <w:rFonts w:ascii="Times New Roman" w:eastAsia="Times New Roman" w:hAnsi="Times New Roman" w:cs="Times New Roman"/>
          <w:bCs/>
          <w:i/>
          <w:iCs/>
          <w:sz w:val="24"/>
          <w:szCs w:val="24"/>
        </w:rPr>
        <w:t>Child Development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85</w:t>
      </w:r>
      <w:r w:rsidRPr="0032506F">
        <w:rPr>
          <w:rFonts w:ascii="Times New Roman" w:eastAsia="Times New Roman" w:hAnsi="Times New Roman" w:cs="Times New Roman"/>
          <w:bCs/>
          <w:sz w:val="24"/>
          <w:szCs w:val="24"/>
        </w:rPr>
        <w:t xml:space="preserve">(2), 722–737. </w:t>
      </w:r>
      <w:hyperlink r:id="rId157" w:history="1">
        <w:r w:rsidRPr="0032506F">
          <w:rPr>
            <w:rStyle w:val="Hyperlink"/>
            <w:rFonts w:ascii="Times New Roman" w:eastAsia="Times New Roman" w:hAnsi="Times New Roman" w:cs="Times New Roman"/>
            <w:bCs/>
            <w:color w:val="auto"/>
            <w:sz w:val="24"/>
            <w:szCs w:val="24"/>
          </w:rPr>
          <w:t>https://doi.org/10.1111/cdev.12138</w:t>
        </w:r>
      </w:hyperlink>
    </w:p>
    <w:p w14:paraId="66853C2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Wang, M.-T., Fredricks, J. A., Ye, F., Hofkens, T. L., &amp; Linn, J. S. (2016). The Math and Science Engagement Scales: Scale development, validation, and psychometric properties. </w:t>
      </w:r>
      <w:r w:rsidRPr="0032506F">
        <w:rPr>
          <w:rFonts w:ascii="Times New Roman" w:eastAsia="Times New Roman" w:hAnsi="Times New Roman" w:cs="Times New Roman"/>
          <w:bCs/>
          <w:i/>
          <w:iCs/>
          <w:sz w:val="24"/>
          <w:szCs w:val="24"/>
        </w:rPr>
        <w:t>Learning and Instruction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43</w:t>
      </w:r>
      <w:r w:rsidRPr="0032506F">
        <w:rPr>
          <w:rFonts w:ascii="Times New Roman" w:eastAsia="Times New Roman" w:hAnsi="Times New Roman" w:cs="Times New Roman"/>
          <w:bCs/>
          <w:sz w:val="24"/>
          <w:szCs w:val="24"/>
        </w:rPr>
        <w:t xml:space="preserve">, 16–26. </w:t>
      </w:r>
      <w:hyperlink r:id="rId158" w:history="1">
        <w:r w:rsidRPr="0032506F">
          <w:rPr>
            <w:rStyle w:val="Hyperlink"/>
            <w:rFonts w:ascii="Times New Roman" w:eastAsia="Times New Roman" w:hAnsi="Times New Roman" w:cs="Times New Roman"/>
            <w:bCs/>
            <w:color w:val="auto"/>
            <w:sz w:val="24"/>
            <w:szCs w:val="24"/>
          </w:rPr>
          <w:t>https://doi.org/10.1016/j.learninstruc.2016.01.008</w:t>
        </w:r>
      </w:hyperlink>
    </w:p>
    <w:p w14:paraId="5E61515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Wang, M.-T., &amp; Holcombe, R. (2010). Adolescents’ perceptions of school environment, engagement, and academic achievement in middle school. </w:t>
      </w:r>
      <w:r w:rsidRPr="0032506F">
        <w:rPr>
          <w:rFonts w:ascii="Times New Roman" w:eastAsia="Times New Roman" w:hAnsi="Times New Roman" w:cs="Times New Roman"/>
          <w:bCs/>
          <w:i/>
          <w:iCs/>
          <w:sz w:val="24"/>
          <w:szCs w:val="24"/>
        </w:rPr>
        <w:t>American Educational Research Journal</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47</w:t>
      </w:r>
      <w:r w:rsidRPr="0032506F">
        <w:rPr>
          <w:rFonts w:ascii="Times New Roman" w:eastAsia="Times New Roman" w:hAnsi="Times New Roman" w:cs="Times New Roman"/>
          <w:bCs/>
          <w:sz w:val="24"/>
          <w:szCs w:val="24"/>
        </w:rPr>
        <w:t xml:space="preserve">(3), 633–662. </w:t>
      </w:r>
      <w:hyperlink r:id="rId159" w:history="1">
        <w:r w:rsidRPr="0032506F">
          <w:rPr>
            <w:rStyle w:val="Hyperlink"/>
            <w:rFonts w:ascii="Times New Roman" w:eastAsia="Times New Roman" w:hAnsi="Times New Roman" w:cs="Times New Roman"/>
            <w:bCs/>
            <w:color w:val="auto"/>
            <w:sz w:val="24"/>
            <w:szCs w:val="24"/>
          </w:rPr>
          <w:t>https://doi.org/10.3102/0002831209361209</w:t>
        </w:r>
      </w:hyperlink>
    </w:p>
    <w:p w14:paraId="38B0DC9F" w14:textId="77777777" w:rsidR="00BB25B8" w:rsidRDefault="00BB25B8" w:rsidP="006B3259">
      <w:pPr>
        <w:spacing w:after="0" w:line="480" w:lineRule="auto"/>
        <w:ind w:left="720" w:hanging="720"/>
        <w:rPr>
          <w:rFonts w:ascii="Times New Roman" w:eastAsia="Times New Roman" w:hAnsi="Times New Roman" w:cs="Times New Roman"/>
          <w:bCs/>
          <w:sz w:val="24"/>
          <w:szCs w:val="24"/>
          <w:lang w:val="en"/>
        </w:rPr>
      </w:pPr>
    </w:p>
    <w:p w14:paraId="2336B191" w14:textId="77777777" w:rsidR="00BB25B8" w:rsidRDefault="00BB25B8" w:rsidP="006B3259">
      <w:pPr>
        <w:spacing w:after="0" w:line="480" w:lineRule="auto"/>
        <w:ind w:left="720" w:hanging="720"/>
        <w:rPr>
          <w:rFonts w:ascii="Times New Roman" w:eastAsia="Times New Roman" w:hAnsi="Times New Roman" w:cs="Times New Roman"/>
          <w:bCs/>
          <w:sz w:val="24"/>
          <w:szCs w:val="24"/>
          <w:lang w:val="en"/>
        </w:rPr>
      </w:pPr>
    </w:p>
    <w:p w14:paraId="27F6DECB" w14:textId="740C9ED8" w:rsidR="006B3259" w:rsidRPr="0032506F" w:rsidRDefault="006B3259" w:rsidP="006B3259">
      <w:pPr>
        <w:spacing w:after="0" w:line="480" w:lineRule="auto"/>
        <w:ind w:left="720" w:hanging="720"/>
        <w:rPr>
          <w:rFonts w:ascii="Times New Roman" w:eastAsia="Times New Roman" w:hAnsi="Times New Roman" w:cs="Times New Roman"/>
          <w:bCs/>
          <w:sz w:val="24"/>
          <w:szCs w:val="24"/>
          <w:lang w:val="en"/>
        </w:rPr>
      </w:pPr>
      <w:r w:rsidRPr="0032506F">
        <w:rPr>
          <w:rFonts w:ascii="Times New Roman" w:eastAsia="Times New Roman" w:hAnsi="Times New Roman" w:cs="Times New Roman"/>
          <w:bCs/>
          <w:sz w:val="24"/>
          <w:szCs w:val="24"/>
          <w:lang w:val="en"/>
        </w:rPr>
        <w:lastRenderedPageBreak/>
        <w:t xml:space="preserve">Wang, C., Hsu, H.-C. K., Bonem, E. M., Moss, J. D., Yu, S., Nelson, D. B., &amp; Levesque-Bristol, C. (2019). Need satisfaction and need dissatisfaction: A comparative study of online and face-to-face learning contexts. </w:t>
      </w:r>
      <w:r w:rsidRPr="0032506F">
        <w:rPr>
          <w:rFonts w:ascii="Times New Roman" w:eastAsia="Times New Roman" w:hAnsi="Times New Roman" w:cs="Times New Roman"/>
          <w:bCs/>
          <w:i/>
          <w:sz w:val="24"/>
          <w:szCs w:val="24"/>
          <w:lang w:val="en"/>
        </w:rPr>
        <w:t>Computers in Human Behavior</w:t>
      </w:r>
      <w:r w:rsidRPr="0032506F">
        <w:rPr>
          <w:rFonts w:ascii="Times New Roman" w:eastAsia="Times New Roman" w:hAnsi="Times New Roman" w:cs="Times New Roman"/>
          <w:bCs/>
          <w:sz w:val="24"/>
          <w:szCs w:val="24"/>
          <w:lang w:val="en"/>
        </w:rPr>
        <w:t xml:space="preserve">, </w:t>
      </w:r>
      <w:r w:rsidRPr="0032506F">
        <w:rPr>
          <w:rFonts w:ascii="Times New Roman" w:eastAsia="Times New Roman" w:hAnsi="Times New Roman" w:cs="Times New Roman"/>
          <w:bCs/>
          <w:i/>
          <w:sz w:val="24"/>
          <w:szCs w:val="24"/>
          <w:lang w:val="en"/>
        </w:rPr>
        <w:t>95</w:t>
      </w:r>
      <w:r w:rsidRPr="0032506F">
        <w:rPr>
          <w:rFonts w:ascii="Times New Roman" w:eastAsia="Times New Roman" w:hAnsi="Times New Roman" w:cs="Times New Roman"/>
          <w:bCs/>
          <w:sz w:val="24"/>
          <w:szCs w:val="24"/>
          <w:lang w:val="en"/>
        </w:rPr>
        <w:t xml:space="preserve">, 114–125. </w:t>
      </w:r>
      <w:hyperlink r:id="rId160" w:history="1">
        <w:r w:rsidRPr="0032506F">
          <w:rPr>
            <w:rStyle w:val="Hyperlink"/>
            <w:rFonts w:ascii="Times New Roman" w:eastAsia="Times New Roman" w:hAnsi="Times New Roman" w:cs="Times New Roman"/>
            <w:bCs/>
            <w:color w:val="auto"/>
            <w:sz w:val="24"/>
            <w:szCs w:val="24"/>
            <w:lang w:val="en"/>
          </w:rPr>
          <w:t>https://doi.org/10.1016/j.chb.2019.01.034</w:t>
        </w:r>
      </w:hyperlink>
    </w:p>
    <w:p w14:paraId="2B56D4D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Warner, R. M. (2008). </w:t>
      </w:r>
      <w:r w:rsidRPr="0032506F">
        <w:rPr>
          <w:rFonts w:ascii="Times New Roman" w:eastAsia="Times New Roman" w:hAnsi="Times New Roman" w:cs="Times New Roman"/>
          <w:bCs/>
          <w:i/>
          <w:iCs/>
          <w:sz w:val="24"/>
          <w:szCs w:val="24"/>
        </w:rPr>
        <w:t>Applied statistics: From bivariate through multivariate techniques</w:t>
      </w:r>
      <w:r w:rsidRPr="0032506F">
        <w:rPr>
          <w:rFonts w:ascii="Times New Roman" w:eastAsia="Times New Roman" w:hAnsi="Times New Roman" w:cs="Times New Roman"/>
          <w:bCs/>
          <w:sz w:val="24"/>
          <w:szCs w:val="24"/>
        </w:rPr>
        <w:t>. Sage Publications.</w:t>
      </w:r>
    </w:p>
    <w:p w14:paraId="1F167D5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Warner, R. M. (2013). </w:t>
      </w:r>
      <w:r w:rsidRPr="0032506F">
        <w:rPr>
          <w:rFonts w:ascii="Times New Roman" w:eastAsia="Times New Roman" w:hAnsi="Times New Roman" w:cs="Times New Roman"/>
          <w:bCs/>
          <w:i/>
          <w:iCs/>
          <w:sz w:val="24"/>
          <w:szCs w:val="24"/>
        </w:rPr>
        <w:t>Applied statistics: From bivariate through multivariate techniques (2nd ed.)</w:t>
      </w:r>
      <w:r w:rsidRPr="0032506F">
        <w:rPr>
          <w:rFonts w:ascii="Times New Roman" w:eastAsia="Times New Roman" w:hAnsi="Times New Roman" w:cs="Times New Roman"/>
          <w:bCs/>
          <w:sz w:val="24"/>
          <w:szCs w:val="24"/>
        </w:rPr>
        <w:t>. Sage Publications.</w:t>
      </w:r>
    </w:p>
    <w:p w14:paraId="7CD5AD2A"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Warren, A. N. (2018). Navigating assigned roles for asynchronous online discussions: Examining participants’ orientation using conversation analysis.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22</w:t>
      </w:r>
      <w:r w:rsidRPr="0032506F">
        <w:rPr>
          <w:rFonts w:ascii="Times New Roman" w:eastAsia="Times New Roman" w:hAnsi="Times New Roman" w:cs="Times New Roman"/>
          <w:bCs/>
          <w:sz w:val="24"/>
          <w:szCs w:val="24"/>
        </w:rPr>
        <w:t xml:space="preserve">(4), 27–45. </w:t>
      </w:r>
      <w:hyperlink r:id="rId161" w:history="1">
        <w:r w:rsidRPr="0032506F">
          <w:rPr>
            <w:rStyle w:val="Hyperlink"/>
            <w:rFonts w:ascii="Times New Roman" w:eastAsia="Times New Roman" w:hAnsi="Times New Roman" w:cs="Times New Roman"/>
            <w:bCs/>
            <w:color w:val="auto"/>
            <w:sz w:val="24"/>
            <w:szCs w:val="24"/>
          </w:rPr>
          <w:t>https://doi.org/10.24059/olj.v22i4.1512</w:t>
        </w:r>
      </w:hyperlink>
    </w:p>
    <w:p w14:paraId="226DBAE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Watkins, R., Corry, M., Dardick, W., &amp; Stella, J. (2015). Note-taking habits of online students: Value, quality, and support. </w:t>
      </w:r>
      <w:r w:rsidRPr="0032506F">
        <w:rPr>
          <w:rFonts w:ascii="Times New Roman" w:eastAsia="Times New Roman" w:hAnsi="Times New Roman" w:cs="Times New Roman"/>
          <w:bCs/>
          <w:i/>
          <w:iCs/>
          <w:sz w:val="24"/>
          <w:szCs w:val="24"/>
        </w:rPr>
        <w:t>Quarterly Review of Distance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16</w:t>
      </w:r>
      <w:r w:rsidRPr="0032506F">
        <w:rPr>
          <w:rFonts w:ascii="Times New Roman" w:eastAsia="Times New Roman" w:hAnsi="Times New Roman" w:cs="Times New Roman"/>
          <w:bCs/>
          <w:sz w:val="24"/>
          <w:szCs w:val="24"/>
        </w:rPr>
        <w:t xml:space="preserve">(3), 1–12. </w:t>
      </w:r>
    </w:p>
    <w:p w14:paraId="4BDACFC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Watson, F. F., Castano Bishop, M., &amp; Ferdinand-James, D. (2017). Instructional strategies to help online students learn: Feedback from online students. </w:t>
      </w:r>
      <w:r w:rsidRPr="0032506F">
        <w:rPr>
          <w:rFonts w:ascii="Times New Roman" w:eastAsia="Times New Roman" w:hAnsi="Times New Roman" w:cs="Times New Roman"/>
          <w:bCs/>
          <w:i/>
          <w:iCs/>
          <w:sz w:val="24"/>
          <w:szCs w:val="24"/>
        </w:rPr>
        <w:t>TechTrends</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61</w:t>
      </w:r>
      <w:r w:rsidRPr="0032506F">
        <w:rPr>
          <w:rFonts w:ascii="Times New Roman" w:eastAsia="Times New Roman" w:hAnsi="Times New Roman" w:cs="Times New Roman"/>
          <w:bCs/>
          <w:sz w:val="24"/>
          <w:szCs w:val="24"/>
        </w:rPr>
        <w:t xml:space="preserve">(5), 420–427. </w:t>
      </w:r>
      <w:hyperlink r:id="rId162" w:history="1">
        <w:r w:rsidRPr="0032506F">
          <w:rPr>
            <w:rStyle w:val="Hyperlink"/>
            <w:rFonts w:ascii="Times New Roman" w:eastAsia="Times New Roman" w:hAnsi="Times New Roman" w:cs="Times New Roman"/>
            <w:bCs/>
            <w:color w:val="auto"/>
            <w:sz w:val="24"/>
            <w:szCs w:val="24"/>
          </w:rPr>
          <w:t>https://doi.org/10.1007/s11528-017-0216-y</w:t>
        </w:r>
      </w:hyperlink>
    </w:p>
    <w:p w14:paraId="58A8D94F"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Weinstein, C. E., Acee, T. W., &amp; Jung, J. (2011). Self-regulation and learning strategies. </w:t>
      </w:r>
      <w:r w:rsidRPr="0032506F">
        <w:rPr>
          <w:rFonts w:ascii="Times New Roman" w:eastAsia="Times New Roman" w:hAnsi="Times New Roman" w:cs="Times New Roman"/>
          <w:bCs/>
          <w:i/>
          <w:iCs/>
          <w:sz w:val="24"/>
          <w:szCs w:val="24"/>
        </w:rPr>
        <w:t>New Directions for Teaching and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2011</w:t>
      </w:r>
      <w:r w:rsidRPr="0032506F">
        <w:rPr>
          <w:rFonts w:ascii="Times New Roman" w:eastAsia="Times New Roman" w:hAnsi="Times New Roman" w:cs="Times New Roman"/>
          <w:bCs/>
          <w:sz w:val="24"/>
          <w:szCs w:val="24"/>
        </w:rPr>
        <w:t xml:space="preserve">(126), 45–53. </w:t>
      </w:r>
      <w:hyperlink r:id="rId163" w:history="1">
        <w:r w:rsidRPr="0032506F">
          <w:rPr>
            <w:rStyle w:val="Hyperlink"/>
            <w:rFonts w:ascii="Times New Roman" w:eastAsia="Times New Roman" w:hAnsi="Times New Roman" w:cs="Times New Roman"/>
            <w:bCs/>
            <w:color w:val="auto"/>
            <w:sz w:val="24"/>
            <w:szCs w:val="24"/>
          </w:rPr>
          <w:t>https://doi.org/10.1002/tl.443</w:t>
        </w:r>
      </w:hyperlink>
    </w:p>
    <w:p w14:paraId="4A1D640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Weinstein, C. E., &amp; Mayer, R. E. (1986). The teaching of learning strategies. In </w:t>
      </w:r>
      <w:r w:rsidRPr="0032506F">
        <w:rPr>
          <w:rFonts w:ascii="Times New Roman" w:eastAsia="Times New Roman" w:hAnsi="Times New Roman" w:cs="Times New Roman"/>
          <w:bCs/>
          <w:i/>
          <w:iCs/>
          <w:sz w:val="24"/>
          <w:szCs w:val="24"/>
        </w:rPr>
        <w:t>Handbook of research on teaching</w:t>
      </w:r>
      <w:r w:rsidRPr="0032506F">
        <w:rPr>
          <w:rFonts w:ascii="Times New Roman" w:eastAsia="Times New Roman" w:hAnsi="Times New Roman" w:cs="Times New Roman"/>
          <w:bCs/>
          <w:sz w:val="24"/>
          <w:szCs w:val="24"/>
        </w:rPr>
        <w:t xml:space="preserve"> (3rd ed., pp. 315–327). Macmillan.</w:t>
      </w:r>
    </w:p>
    <w:p w14:paraId="58FDAB5E"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Wellborn, J. G., &amp; Connell, J. P. (1987). </w:t>
      </w:r>
      <w:r w:rsidRPr="0032506F">
        <w:rPr>
          <w:rFonts w:ascii="Times New Roman" w:eastAsia="Times New Roman" w:hAnsi="Times New Roman" w:cs="Times New Roman"/>
          <w:bCs/>
          <w:i/>
          <w:iCs/>
          <w:sz w:val="24"/>
          <w:szCs w:val="24"/>
        </w:rPr>
        <w:t>Manual for the Rochester Assessment Package for Schools</w:t>
      </w:r>
      <w:r w:rsidRPr="0032506F">
        <w:rPr>
          <w:rFonts w:ascii="Times New Roman" w:eastAsia="Times New Roman" w:hAnsi="Times New Roman" w:cs="Times New Roman"/>
          <w:bCs/>
          <w:sz w:val="24"/>
          <w:szCs w:val="24"/>
        </w:rPr>
        <w:t>. University of Rochester.</w:t>
      </w:r>
    </w:p>
    <w:p w14:paraId="3201CD8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Whittaker, T. A. (2016). Structural equation modeling. In K. A. Pituch &amp; J. P. Stevens, </w:t>
      </w:r>
      <w:r w:rsidRPr="0032506F">
        <w:rPr>
          <w:rFonts w:ascii="Times New Roman" w:eastAsia="Times New Roman" w:hAnsi="Times New Roman" w:cs="Times New Roman"/>
          <w:bCs/>
          <w:i/>
          <w:iCs/>
          <w:sz w:val="24"/>
          <w:szCs w:val="24"/>
        </w:rPr>
        <w:t>Applied multivariate statistics for the social sciences: Analyses with SAS and IBM‘s SPSS</w:t>
      </w:r>
      <w:r w:rsidRPr="0032506F">
        <w:rPr>
          <w:rFonts w:ascii="Times New Roman" w:eastAsia="Times New Roman" w:hAnsi="Times New Roman" w:cs="Times New Roman"/>
          <w:bCs/>
          <w:sz w:val="24"/>
          <w:szCs w:val="24"/>
        </w:rPr>
        <w:t xml:space="preserve"> (6th ed., pp. 639–733). Routledge.</w:t>
      </w:r>
    </w:p>
    <w:p w14:paraId="22A88C2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Wigfield, A., &amp; Eccles, J. S. (2000). Expectancy–Value theory of achievement motivation. </w:t>
      </w:r>
      <w:r w:rsidRPr="0032506F">
        <w:rPr>
          <w:rFonts w:ascii="Times New Roman" w:eastAsia="Times New Roman" w:hAnsi="Times New Roman" w:cs="Times New Roman"/>
          <w:bCs/>
          <w:i/>
          <w:iCs/>
          <w:sz w:val="24"/>
          <w:szCs w:val="24"/>
        </w:rPr>
        <w:t>Contemporary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25</w:t>
      </w:r>
      <w:r w:rsidRPr="0032506F">
        <w:rPr>
          <w:rFonts w:ascii="Times New Roman" w:eastAsia="Times New Roman" w:hAnsi="Times New Roman" w:cs="Times New Roman"/>
          <w:bCs/>
          <w:sz w:val="24"/>
          <w:szCs w:val="24"/>
        </w:rPr>
        <w:t xml:space="preserve">(1), 68–81. </w:t>
      </w:r>
      <w:hyperlink r:id="rId164" w:history="1">
        <w:r w:rsidRPr="0032506F">
          <w:rPr>
            <w:rStyle w:val="Hyperlink"/>
            <w:rFonts w:ascii="Times New Roman" w:eastAsia="Times New Roman" w:hAnsi="Times New Roman" w:cs="Times New Roman"/>
            <w:bCs/>
            <w:color w:val="auto"/>
            <w:sz w:val="24"/>
            <w:szCs w:val="24"/>
          </w:rPr>
          <w:t>https://doi.org/10.1006/ceps.1999.1015</w:t>
        </w:r>
      </w:hyperlink>
    </w:p>
    <w:p w14:paraId="279DD094"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bookmarkStart w:id="159" w:name="_Hlk59020466"/>
      <w:r w:rsidRPr="0032506F">
        <w:rPr>
          <w:rFonts w:ascii="Times New Roman" w:eastAsia="Times New Roman" w:hAnsi="Times New Roman" w:cs="Times New Roman"/>
          <w:bCs/>
          <w:sz w:val="24"/>
          <w:szCs w:val="24"/>
        </w:rPr>
        <w:t xml:space="preserve">Wolters, C. A. (2004). Advancing achievement goal theory: Using goal structures and goal orientations to predict students’ motivation, cognition, and achievement.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96</w:t>
      </w:r>
      <w:r w:rsidRPr="0032506F">
        <w:rPr>
          <w:rFonts w:ascii="Times New Roman" w:eastAsia="Times New Roman" w:hAnsi="Times New Roman" w:cs="Times New Roman"/>
          <w:bCs/>
          <w:sz w:val="24"/>
          <w:szCs w:val="24"/>
        </w:rPr>
        <w:t>(2), 236–250.</w:t>
      </w:r>
    </w:p>
    <w:bookmarkEnd w:id="159"/>
    <w:p w14:paraId="7497070D"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Worthington, R. L., &amp; Whittaker, T. A. (2006). Scale development research: A content analysis and recommendations for best practices. </w:t>
      </w:r>
      <w:r w:rsidRPr="0032506F">
        <w:rPr>
          <w:rFonts w:ascii="Times New Roman" w:eastAsia="Times New Roman" w:hAnsi="Times New Roman" w:cs="Times New Roman"/>
          <w:bCs/>
          <w:i/>
          <w:iCs/>
          <w:sz w:val="24"/>
          <w:szCs w:val="24"/>
        </w:rPr>
        <w:t>The Counseling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34</w:t>
      </w:r>
      <w:r w:rsidRPr="0032506F">
        <w:rPr>
          <w:rFonts w:ascii="Times New Roman" w:eastAsia="Times New Roman" w:hAnsi="Times New Roman" w:cs="Times New Roman"/>
          <w:bCs/>
          <w:sz w:val="24"/>
          <w:szCs w:val="24"/>
        </w:rPr>
        <w:t xml:space="preserve">(6), 806–838. </w:t>
      </w:r>
      <w:hyperlink r:id="rId165" w:history="1">
        <w:r w:rsidRPr="0032506F">
          <w:rPr>
            <w:rStyle w:val="Hyperlink"/>
            <w:rFonts w:ascii="Times New Roman" w:eastAsia="Times New Roman" w:hAnsi="Times New Roman" w:cs="Times New Roman"/>
            <w:bCs/>
            <w:color w:val="auto"/>
            <w:sz w:val="24"/>
            <w:szCs w:val="24"/>
          </w:rPr>
          <w:t>https://doi.org/10.1177/0011000006288127</w:t>
        </w:r>
      </w:hyperlink>
    </w:p>
    <w:p w14:paraId="692D572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Wu, H., &amp; Leung, S.-O. (2017). Can Likert scales be treated as interval scales?—A simulation study. </w:t>
      </w:r>
      <w:r w:rsidRPr="0032506F">
        <w:rPr>
          <w:rFonts w:ascii="Times New Roman" w:eastAsia="Times New Roman" w:hAnsi="Times New Roman" w:cs="Times New Roman"/>
          <w:bCs/>
          <w:i/>
          <w:iCs/>
          <w:sz w:val="24"/>
          <w:szCs w:val="24"/>
        </w:rPr>
        <w:t>Journal of Social Service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43</w:t>
      </w:r>
      <w:r w:rsidRPr="0032506F">
        <w:rPr>
          <w:rFonts w:ascii="Times New Roman" w:eastAsia="Times New Roman" w:hAnsi="Times New Roman" w:cs="Times New Roman"/>
          <w:bCs/>
          <w:sz w:val="24"/>
          <w:szCs w:val="24"/>
        </w:rPr>
        <w:t xml:space="preserve">(4), 527–532. </w:t>
      </w:r>
      <w:hyperlink r:id="rId166" w:history="1">
        <w:r w:rsidRPr="0032506F">
          <w:rPr>
            <w:rStyle w:val="Hyperlink"/>
            <w:rFonts w:ascii="Times New Roman" w:eastAsia="Times New Roman" w:hAnsi="Times New Roman" w:cs="Times New Roman"/>
            <w:bCs/>
            <w:color w:val="000000" w:themeColor="text1"/>
            <w:sz w:val="24"/>
            <w:szCs w:val="24"/>
          </w:rPr>
          <w:t>https://doi.org/10.1080/01488376.2017.1329775</w:t>
        </w:r>
      </w:hyperlink>
    </w:p>
    <w:p w14:paraId="35F15D00"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Xie, K., DeBacker, T. K., &amp; Ferguson, C. (2006). Extending the traditional classroom through online discussion: The role of student motivation. </w:t>
      </w:r>
      <w:r w:rsidRPr="0032506F">
        <w:rPr>
          <w:rFonts w:ascii="Times New Roman" w:eastAsia="Times New Roman" w:hAnsi="Times New Roman" w:cs="Times New Roman"/>
          <w:bCs/>
          <w:i/>
          <w:iCs/>
          <w:sz w:val="24"/>
          <w:szCs w:val="24"/>
        </w:rPr>
        <w:t>Journal of Educational Computing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34</w:t>
      </w:r>
      <w:r w:rsidRPr="0032506F">
        <w:rPr>
          <w:rFonts w:ascii="Times New Roman" w:eastAsia="Times New Roman" w:hAnsi="Times New Roman" w:cs="Times New Roman"/>
          <w:bCs/>
          <w:sz w:val="24"/>
          <w:szCs w:val="24"/>
        </w:rPr>
        <w:t xml:space="preserve">(1), 67–89. </w:t>
      </w:r>
      <w:hyperlink r:id="rId167" w:history="1">
        <w:r w:rsidRPr="0032506F">
          <w:rPr>
            <w:rStyle w:val="Hyperlink"/>
            <w:rFonts w:ascii="Times New Roman" w:eastAsia="Times New Roman" w:hAnsi="Times New Roman" w:cs="Times New Roman"/>
            <w:bCs/>
            <w:color w:val="auto"/>
            <w:sz w:val="24"/>
            <w:szCs w:val="24"/>
          </w:rPr>
          <w:t>https://doi.org/10.2190/7BAK-EGAH-3MH1-K7C6</w:t>
        </w:r>
      </w:hyperlink>
    </w:p>
    <w:p w14:paraId="45A64A5F" w14:textId="77777777" w:rsidR="006B3259" w:rsidRPr="0032506F" w:rsidRDefault="006B3259" w:rsidP="006B3259">
      <w:pPr>
        <w:spacing w:after="0" w:line="480" w:lineRule="auto"/>
        <w:ind w:left="720" w:hanging="720"/>
        <w:rPr>
          <w:rStyle w:val="Hyperlink"/>
          <w:rFonts w:ascii="Times New Roman" w:eastAsia="Times New Roman" w:hAnsi="Times New Roman" w:cs="Times New Roman"/>
          <w:bCs/>
          <w:color w:val="auto"/>
          <w:sz w:val="24"/>
          <w:szCs w:val="24"/>
        </w:rPr>
      </w:pPr>
      <w:r w:rsidRPr="0032506F">
        <w:rPr>
          <w:rFonts w:ascii="Times New Roman" w:eastAsia="Times New Roman" w:hAnsi="Times New Roman" w:cs="Times New Roman"/>
          <w:bCs/>
          <w:sz w:val="24"/>
          <w:szCs w:val="24"/>
        </w:rPr>
        <w:t xml:space="preserve">Xie, K., Heddy, B. C., &amp; Greene, B. A. (2019). Affordances of using mobile technology to support experience-sampling method in examining college students’ engagement.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128</w:t>
      </w:r>
      <w:r w:rsidRPr="0032506F">
        <w:rPr>
          <w:rFonts w:ascii="Times New Roman" w:eastAsia="Times New Roman" w:hAnsi="Times New Roman" w:cs="Times New Roman"/>
          <w:bCs/>
          <w:sz w:val="24"/>
          <w:szCs w:val="24"/>
        </w:rPr>
        <w:t xml:space="preserve">, 183–198. </w:t>
      </w:r>
      <w:hyperlink r:id="rId168" w:history="1">
        <w:r w:rsidRPr="0032506F">
          <w:rPr>
            <w:rStyle w:val="Hyperlink"/>
            <w:rFonts w:ascii="Times New Roman" w:eastAsia="Times New Roman" w:hAnsi="Times New Roman" w:cs="Times New Roman"/>
            <w:bCs/>
            <w:color w:val="auto"/>
            <w:sz w:val="24"/>
            <w:szCs w:val="24"/>
          </w:rPr>
          <w:t>https://doi.org/10.1016/j.compedu.2018.09.020</w:t>
        </w:r>
      </w:hyperlink>
    </w:p>
    <w:p w14:paraId="2616677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 xml:space="preserve">Xu, B., Chen, N.-S., &amp; Chen, G. (2020). Effects of teacher role on student engagement in WeChat-based online discussion learning. </w:t>
      </w:r>
      <w:r w:rsidRPr="0032506F">
        <w:rPr>
          <w:rFonts w:ascii="Times New Roman" w:eastAsia="Times New Roman" w:hAnsi="Times New Roman" w:cs="Times New Roman"/>
          <w:bCs/>
          <w:i/>
          <w:iCs/>
          <w:sz w:val="24"/>
          <w:szCs w:val="24"/>
        </w:rPr>
        <w:t>Computers &amp;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157</w:t>
      </w:r>
      <w:r w:rsidRPr="0032506F">
        <w:rPr>
          <w:rFonts w:ascii="Times New Roman" w:eastAsia="Times New Roman" w:hAnsi="Times New Roman" w:cs="Times New Roman"/>
          <w:bCs/>
          <w:sz w:val="24"/>
          <w:szCs w:val="24"/>
        </w:rPr>
        <w:t xml:space="preserve">, 1–11. </w:t>
      </w:r>
      <w:hyperlink r:id="rId169" w:history="1">
        <w:r w:rsidRPr="0032506F">
          <w:rPr>
            <w:rStyle w:val="Hyperlink"/>
            <w:rFonts w:ascii="Times New Roman" w:eastAsia="Times New Roman" w:hAnsi="Times New Roman" w:cs="Times New Roman"/>
            <w:bCs/>
            <w:color w:val="auto"/>
            <w:sz w:val="24"/>
            <w:szCs w:val="24"/>
          </w:rPr>
          <w:t>https://doi.org/10.1016/j.compedu.2020.103956</w:t>
        </w:r>
      </w:hyperlink>
    </w:p>
    <w:p w14:paraId="57DB6EF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Yeh, Y.-C., Kwok, O.-M., Chien, H.-Y., Sweany, N. W., Baek, E., &amp; McIntosh, W. (2019). How college students’ achievement goal orientations predict their expected online learning outcome: The mediation roles of self-regulated learning strategies and supportive online learning behaviors. </w:t>
      </w:r>
      <w:r w:rsidRPr="0032506F">
        <w:rPr>
          <w:rFonts w:ascii="Times New Roman" w:eastAsia="Times New Roman" w:hAnsi="Times New Roman" w:cs="Times New Roman"/>
          <w:bCs/>
          <w:i/>
          <w:iCs/>
          <w:sz w:val="24"/>
          <w:szCs w:val="24"/>
        </w:rPr>
        <w:t>Online Learning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23</w:t>
      </w:r>
      <w:r w:rsidRPr="0032506F">
        <w:rPr>
          <w:rFonts w:ascii="Times New Roman" w:eastAsia="Times New Roman" w:hAnsi="Times New Roman" w:cs="Times New Roman"/>
          <w:bCs/>
          <w:sz w:val="24"/>
          <w:szCs w:val="24"/>
        </w:rPr>
        <w:t xml:space="preserve">(4), 23–41. </w:t>
      </w:r>
      <w:hyperlink r:id="rId170" w:history="1">
        <w:r w:rsidRPr="0032506F">
          <w:rPr>
            <w:rStyle w:val="Hyperlink"/>
            <w:rFonts w:ascii="Times New Roman" w:eastAsia="Times New Roman" w:hAnsi="Times New Roman" w:cs="Times New Roman"/>
            <w:bCs/>
            <w:color w:val="auto"/>
            <w:sz w:val="24"/>
            <w:szCs w:val="24"/>
          </w:rPr>
          <w:t>https://doi.org/10.24059/olj.v23i4.2076.</w:t>
        </w:r>
      </w:hyperlink>
    </w:p>
    <w:p w14:paraId="6FB5C368"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Yilmaz, R., &amp; Karaoglan Yilmaz, F. G. (2019). Assigned roles as a structuring tool in online discussion groups: Comparison of transactional distance and knowledge sharing behaviors. </w:t>
      </w:r>
      <w:r w:rsidRPr="0032506F">
        <w:rPr>
          <w:rFonts w:ascii="Times New Roman" w:eastAsia="Times New Roman" w:hAnsi="Times New Roman" w:cs="Times New Roman"/>
          <w:bCs/>
          <w:i/>
          <w:iCs/>
          <w:sz w:val="24"/>
          <w:szCs w:val="24"/>
        </w:rPr>
        <w:t>Journal of Educational Computing Research</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57</w:t>
      </w:r>
      <w:r w:rsidRPr="0032506F">
        <w:rPr>
          <w:rFonts w:ascii="Times New Roman" w:eastAsia="Times New Roman" w:hAnsi="Times New Roman" w:cs="Times New Roman"/>
          <w:bCs/>
          <w:sz w:val="24"/>
          <w:szCs w:val="24"/>
        </w:rPr>
        <w:t xml:space="preserve">(5), 1303–1325. </w:t>
      </w:r>
      <w:hyperlink r:id="rId171" w:history="1">
        <w:r w:rsidRPr="0032506F">
          <w:rPr>
            <w:rStyle w:val="Hyperlink"/>
            <w:rFonts w:ascii="Times New Roman" w:eastAsia="Times New Roman" w:hAnsi="Times New Roman" w:cs="Times New Roman"/>
            <w:bCs/>
            <w:color w:val="auto"/>
            <w:sz w:val="24"/>
            <w:szCs w:val="24"/>
          </w:rPr>
          <w:t>https://doi.org/10.1177/0735633118786855</w:t>
        </w:r>
      </w:hyperlink>
    </w:p>
    <w:p w14:paraId="16A1EE66"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Young, S., &amp; Bruce, M. A. (2011). Classroom community and student engagement in online courses. </w:t>
      </w:r>
      <w:r w:rsidRPr="0032506F">
        <w:rPr>
          <w:rFonts w:ascii="Times New Roman" w:eastAsia="Times New Roman" w:hAnsi="Times New Roman" w:cs="Times New Roman"/>
          <w:bCs/>
          <w:i/>
          <w:iCs/>
          <w:sz w:val="24"/>
          <w:szCs w:val="24"/>
        </w:rPr>
        <w:t>MERLOT Journal of Online Learning and Teaching</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7</w:t>
      </w:r>
      <w:r w:rsidRPr="0032506F">
        <w:rPr>
          <w:rFonts w:ascii="Times New Roman" w:eastAsia="Times New Roman" w:hAnsi="Times New Roman" w:cs="Times New Roman"/>
          <w:bCs/>
          <w:sz w:val="24"/>
          <w:szCs w:val="24"/>
        </w:rPr>
        <w:t xml:space="preserve">(2), 219–230. </w:t>
      </w:r>
      <w:hyperlink r:id="rId172" w:history="1">
        <w:r w:rsidRPr="0032506F">
          <w:rPr>
            <w:rStyle w:val="Hyperlink"/>
            <w:rFonts w:ascii="Times New Roman" w:eastAsia="Times New Roman" w:hAnsi="Times New Roman" w:cs="Times New Roman"/>
            <w:bCs/>
            <w:color w:val="auto"/>
            <w:sz w:val="24"/>
            <w:szCs w:val="24"/>
          </w:rPr>
          <w:t>https://jolt.merlot.org/vol7no2/young_0611.pdf</w:t>
        </w:r>
      </w:hyperlink>
    </w:p>
    <w:p w14:paraId="7EDE44F7" w14:textId="77777777"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Zhoc, K. C. H., Webster, B. J., King, R. B., Li, J. C. H., &amp; Chung, T. S. H. (2019). Higher Education Student Engagement Scale (HESES): Development and psychometric evidence. </w:t>
      </w:r>
      <w:r w:rsidRPr="0032506F">
        <w:rPr>
          <w:rFonts w:ascii="Times New Roman" w:eastAsia="Times New Roman" w:hAnsi="Times New Roman" w:cs="Times New Roman"/>
          <w:bCs/>
          <w:i/>
          <w:iCs/>
          <w:sz w:val="24"/>
          <w:szCs w:val="24"/>
        </w:rPr>
        <w:t>Research in Higher Education</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60</w:t>
      </w:r>
      <w:r w:rsidRPr="0032506F">
        <w:rPr>
          <w:rFonts w:ascii="Times New Roman" w:eastAsia="Times New Roman" w:hAnsi="Times New Roman" w:cs="Times New Roman"/>
          <w:bCs/>
          <w:sz w:val="24"/>
          <w:szCs w:val="24"/>
        </w:rPr>
        <w:t xml:space="preserve">(2), 219–244. </w:t>
      </w:r>
    </w:p>
    <w:p w14:paraId="48EEEB99" w14:textId="40EB91C3" w:rsidR="00EA58D6" w:rsidRPr="0032506F" w:rsidRDefault="005B3908"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Zhu, E. (2006). Interaction and cognitive engagement: An analysis of four asynchronous online discussions. </w:t>
      </w:r>
      <w:r w:rsidRPr="0032506F">
        <w:rPr>
          <w:rFonts w:ascii="Times New Roman" w:eastAsia="Times New Roman" w:hAnsi="Times New Roman" w:cs="Times New Roman"/>
          <w:bCs/>
          <w:i/>
          <w:iCs/>
          <w:sz w:val="24"/>
          <w:szCs w:val="24"/>
        </w:rPr>
        <w:t>Instructional Science</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34</w:t>
      </w:r>
      <w:r w:rsidRPr="0032506F">
        <w:rPr>
          <w:rFonts w:ascii="Times New Roman" w:eastAsia="Times New Roman" w:hAnsi="Times New Roman" w:cs="Times New Roman"/>
          <w:bCs/>
          <w:sz w:val="24"/>
          <w:szCs w:val="24"/>
        </w:rPr>
        <w:t xml:space="preserve">(6), 451–480. </w:t>
      </w:r>
      <w:hyperlink r:id="rId173" w:history="1">
        <w:r w:rsidRPr="0032506F">
          <w:rPr>
            <w:rStyle w:val="Hyperlink"/>
            <w:rFonts w:ascii="Times New Roman" w:eastAsia="Times New Roman" w:hAnsi="Times New Roman" w:cs="Times New Roman"/>
            <w:bCs/>
            <w:color w:val="auto"/>
            <w:sz w:val="24"/>
            <w:szCs w:val="24"/>
          </w:rPr>
          <w:t>https://doi.org/10.1007/s11251-006-0004-0</w:t>
        </w:r>
      </w:hyperlink>
    </w:p>
    <w:p w14:paraId="56E19BE3" w14:textId="7C2595C0"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t xml:space="preserve">Zimmerman, B. J. (1990). Self-regulated learning and academic achievement: An overview. </w:t>
      </w:r>
      <w:r w:rsidRPr="0032506F">
        <w:rPr>
          <w:rFonts w:ascii="Times New Roman" w:eastAsia="Times New Roman" w:hAnsi="Times New Roman" w:cs="Times New Roman"/>
          <w:bCs/>
          <w:i/>
          <w:iCs/>
          <w:sz w:val="24"/>
          <w:szCs w:val="24"/>
        </w:rPr>
        <w:t>Educational Psychologist</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25</w:t>
      </w:r>
      <w:r w:rsidRPr="0032506F">
        <w:rPr>
          <w:rFonts w:ascii="Times New Roman" w:eastAsia="Times New Roman" w:hAnsi="Times New Roman" w:cs="Times New Roman"/>
          <w:bCs/>
          <w:sz w:val="24"/>
          <w:szCs w:val="24"/>
        </w:rPr>
        <w:t xml:space="preserve">(1), 3–17. </w:t>
      </w:r>
      <w:hyperlink r:id="rId174" w:history="1">
        <w:r w:rsidRPr="0032506F">
          <w:rPr>
            <w:rStyle w:val="Hyperlink"/>
            <w:rFonts w:ascii="Times New Roman" w:eastAsia="Times New Roman" w:hAnsi="Times New Roman" w:cs="Times New Roman"/>
            <w:bCs/>
            <w:color w:val="auto"/>
            <w:sz w:val="24"/>
            <w:szCs w:val="24"/>
          </w:rPr>
          <w:t>https://doi.org/10.1207/s15326985ep2501_2</w:t>
        </w:r>
      </w:hyperlink>
    </w:p>
    <w:p w14:paraId="5CFAEB9E" w14:textId="0135B13F" w:rsidR="006B3259" w:rsidRPr="0032506F" w:rsidRDefault="006B3259" w:rsidP="006B3259">
      <w:pPr>
        <w:spacing w:after="0" w:line="480" w:lineRule="auto"/>
        <w:ind w:left="720" w:hanging="720"/>
        <w:rPr>
          <w:rFonts w:ascii="Times New Roman" w:eastAsia="Times New Roman" w:hAnsi="Times New Roman" w:cs="Times New Roman"/>
          <w:bCs/>
          <w:sz w:val="24"/>
          <w:szCs w:val="24"/>
        </w:rPr>
      </w:pPr>
      <w:r w:rsidRPr="0032506F">
        <w:rPr>
          <w:rFonts w:ascii="Times New Roman" w:eastAsia="Times New Roman" w:hAnsi="Times New Roman" w:cs="Times New Roman"/>
          <w:bCs/>
          <w:sz w:val="24"/>
          <w:szCs w:val="24"/>
        </w:rPr>
        <w:lastRenderedPageBreak/>
        <w:t>Zimmerman, B. J., &amp; Martinez-Pons, M. (1990). Student differen</w:t>
      </w:r>
      <w:r w:rsidR="00B97D0B" w:rsidRPr="0032506F">
        <w:rPr>
          <w:rFonts w:ascii="Times New Roman" w:eastAsia="Times New Roman" w:hAnsi="Times New Roman" w:cs="Times New Roman"/>
          <w:bCs/>
          <w:sz w:val="24"/>
          <w:szCs w:val="24"/>
        </w:rPr>
        <w:t xml:space="preserve">ces in self-regulated learning: </w:t>
      </w:r>
      <w:r w:rsidRPr="0032506F">
        <w:rPr>
          <w:rFonts w:ascii="Times New Roman" w:eastAsia="Times New Roman" w:hAnsi="Times New Roman" w:cs="Times New Roman"/>
          <w:bCs/>
          <w:sz w:val="24"/>
          <w:szCs w:val="24"/>
        </w:rPr>
        <w:t xml:space="preserve">Relating grade, sex, and giftedness to self-efficacy and strategy use. </w:t>
      </w:r>
      <w:r w:rsidRPr="0032506F">
        <w:rPr>
          <w:rFonts w:ascii="Times New Roman" w:eastAsia="Times New Roman" w:hAnsi="Times New Roman" w:cs="Times New Roman"/>
          <w:bCs/>
          <w:i/>
          <w:iCs/>
          <w:sz w:val="24"/>
          <w:szCs w:val="24"/>
        </w:rPr>
        <w:t>Journal of Educational Psychology</w:t>
      </w:r>
      <w:r w:rsidRPr="0032506F">
        <w:rPr>
          <w:rFonts w:ascii="Times New Roman" w:eastAsia="Times New Roman" w:hAnsi="Times New Roman" w:cs="Times New Roman"/>
          <w:bCs/>
          <w:sz w:val="24"/>
          <w:szCs w:val="24"/>
        </w:rPr>
        <w:t xml:space="preserve">, </w:t>
      </w:r>
      <w:r w:rsidRPr="0032506F">
        <w:rPr>
          <w:rFonts w:ascii="Times New Roman" w:eastAsia="Times New Roman" w:hAnsi="Times New Roman" w:cs="Times New Roman"/>
          <w:bCs/>
          <w:i/>
          <w:iCs/>
          <w:sz w:val="24"/>
          <w:szCs w:val="24"/>
        </w:rPr>
        <w:t>82</w:t>
      </w:r>
      <w:r w:rsidRPr="0032506F">
        <w:rPr>
          <w:rFonts w:ascii="Times New Roman" w:eastAsia="Times New Roman" w:hAnsi="Times New Roman" w:cs="Times New Roman"/>
          <w:bCs/>
          <w:sz w:val="24"/>
          <w:szCs w:val="24"/>
        </w:rPr>
        <w:t xml:space="preserve">(1), 51–59. </w:t>
      </w:r>
    </w:p>
    <w:p w14:paraId="212DEE1B" w14:textId="77777777" w:rsidR="006B3259" w:rsidRPr="0032506F" w:rsidRDefault="006B3259" w:rsidP="006B3259">
      <w:pPr>
        <w:spacing w:after="0" w:line="240" w:lineRule="auto"/>
        <w:ind w:left="720" w:hanging="720"/>
        <w:rPr>
          <w:rFonts w:ascii="Times New Roman" w:eastAsia="Times New Roman" w:hAnsi="Times New Roman" w:cs="Times New Roman"/>
          <w:bCs/>
          <w:sz w:val="24"/>
          <w:szCs w:val="24"/>
        </w:rPr>
      </w:pPr>
    </w:p>
    <w:p w14:paraId="7A145640" w14:textId="77777777" w:rsidR="006B3259" w:rsidRPr="0032506F" w:rsidRDefault="006B3259" w:rsidP="006B3259">
      <w:pPr>
        <w:spacing w:after="0" w:line="240" w:lineRule="auto"/>
        <w:ind w:left="720" w:hanging="720"/>
        <w:jc w:val="center"/>
        <w:rPr>
          <w:rFonts w:ascii="Times New Roman" w:eastAsia="Times New Roman" w:hAnsi="Times New Roman" w:cs="Times New Roman"/>
          <w:sz w:val="24"/>
          <w:szCs w:val="24"/>
        </w:rPr>
      </w:pPr>
    </w:p>
    <w:p w14:paraId="793DCA49" w14:textId="77777777" w:rsidR="006B3259" w:rsidRPr="0032506F" w:rsidRDefault="006B3259" w:rsidP="006B3259">
      <w:pPr>
        <w:spacing w:after="0" w:line="240" w:lineRule="auto"/>
        <w:ind w:left="720" w:hanging="720"/>
        <w:jc w:val="center"/>
        <w:rPr>
          <w:rFonts w:ascii="Times New Roman" w:eastAsia="Times New Roman" w:hAnsi="Times New Roman" w:cs="Times New Roman"/>
          <w:sz w:val="24"/>
          <w:szCs w:val="24"/>
        </w:rPr>
      </w:pPr>
    </w:p>
    <w:p w14:paraId="5286483B" w14:textId="77777777" w:rsidR="006B3259" w:rsidRPr="0032506F" w:rsidRDefault="006B3259" w:rsidP="006B3259">
      <w:pPr>
        <w:spacing w:after="0" w:line="240" w:lineRule="auto"/>
        <w:ind w:left="720" w:hanging="720"/>
        <w:jc w:val="center"/>
        <w:rPr>
          <w:rFonts w:ascii="Times New Roman" w:eastAsia="Times New Roman" w:hAnsi="Times New Roman" w:cs="Times New Roman"/>
          <w:sz w:val="24"/>
          <w:szCs w:val="24"/>
        </w:rPr>
      </w:pPr>
    </w:p>
    <w:p w14:paraId="048DE710" w14:textId="77777777" w:rsidR="006B3259" w:rsidRPr="0032506F" w:rsidRDefault="006B3259" w:rsidP="006B3259">
      <w:pPr>
        <w:rPr>
          <w:rFonts w:ascii="Times New Roman" w:hAnsi="Times New Roman" w:cs="Times New Roman"/>
          <w:sz w:val="24"/>
          <w:szCs w:val="24"/>
        </w:rPr>
      </w:pPr>
    </w:p>
    <w:p w14:paraId="73F38113" w14:textId="77777777" w:rsidR="003F7AC0" w:rsidRPr="0032506F" w:rsidRDefault="003F7AC0" w:rsidP="00024D93">
      <w:pPr>
        <w:rPr>
          <w:rFonts w:ascii="Times New Roman" w:hAnsi="Times New Roman" w:cs="Times New Roman"/>
          <w:sz w:val="24"/>
          <w:szCs w:val="24"/>
        </w:rPr>
        <w:sectPr w:rsidR="003F7AC0" w:rsidRPr="0032506F">
          <w:pgSz w:w="12240" w:h="15840"/>
          <w:pgMar w:top="1440" w:right="1440" w:bottom="1440" w:left="1440" w:header="720" w:footer="720" w:gutter="0"/>
          <w:cols w:space="720"/>
          <w:docGrid w:linePitch="360"/>
        </w:sectPr>
      </w:pPr>
    </w:p>
    <w:p w14:paraId="53AE335B" w14:textId="77777777" w:rsidR="003F7AC0" w:rsidRPr="0032506F" w:rsidRDefault="003F7AC0" w:rsidP="00286737">
      <w:pPr>
        <w:pStyle w:val="Heading1"/>
      </w:pPr>
      <w:bookmarkStart w:id="160" w:name="_Toc102489478"/>
      <w:r w:rsidRPr="0032506F">
        <w:lastRenderedPageBreak/>
        <w:t>Appendices</w:t>
      </w:r>
      <w:bookmarkEnd w:id="160"/>
    </w:p>
    <w:p w14:paraId="0B7539C5" w14:textId="476287CC" w:rsidR="003F7AC0" w:rsidRPr="0032506F" w:rsidRDefault="003F7AC0" w:rsidP="00286737">
      <w:pPr>
        <w:pStyle w:val="Heading2"/>
      </w:pPr>
      <w:bookmarkStart w:id="161" w:name="_Appendix_A_Long"/>
      <w:bookmarkStart w:id="162" w:name="_Appendix_I_Candidate"/>
      <w:bookmarkStart w:id="163" w:name="_Appendix_A_Candidate"/>
      <w:bookmarkStart w:id="164" w:name="_Toc102489479"/>
      <w:bookmarkStart w:id="165" w:name="_Hlk78725520"/>
      <w:bookmarkStart w:id="166" w:name="_Hlk77257211"/>
      <w:bookmarkEnd w:id="161"/>
      <w:bookmarkEnd w:id="162"/>
      <w:bookmarkEnd w:id="163"/>
      <w:r w:rsidRPr="0032506F">
        <w:t xml:space="preserve">Appendix </w:t>
      </w:r>
      <w:r w:rsidR="00CA05E2">
        <w:t>A</w:t>
      </w:r>
      <w:r w:rsidR="00286737" w:rsidRPr="0032506F">
        <w:t xml:space="preserve"> </w:t>
      </w:r>
      <w:r w:rsidRPr="0032506F">
        <w:t>Candidate Items Selected from Expert Reviews for Pilot Cognitive Testing</w:t>
      </w:r>
      <w:bookmarkEnd w:id="164"/>
    </w:p>
    <w:bookmarkEnd w:id="165"/>
    <w:p w14:paraId="2B35E667" w14:textId="77777777" w:rsidR="003F7AC0" w:rsidRPr="0032506F" w:rsidRDefault="003F7AC0" w:rsidP="003F7AC0">
      <w:pPr>
        <w:spacing w:after="0" w:line="480" w:lineRule="auto"/>
        <w:ind w:left="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5-point Likert-type scale: </w:t>
      </w:r>
      <w:r w:rsidRPr="0032506F">
        <w:rPr>
          <w:rFonts w:ascii="Times New Roman" w:eastAsia="MS Mincho" w:hAnsi="Times New Roman" w:cs="Times New Roman"/>
          <w:bCs/>
          <w:color w:val="000000"/>
          <w:sz w:val="24"/>
          <w:szCs w:val="24"/>
        </w:rPr>
        <w:t>1=Never, 2=Seldom, 3=Sometimes, 4=Often, and 5=Always</w:t>
      </w:r>
    </w:p>
    <w:p w14:paraId="4DD4BADC"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Candidate Items for Online Behavioral Engagement (BE) </w:t>
      </w:r>
    </w:p>
    <w:p w14:paraId="751161A9"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36DC8522"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post to the discussion board for each online discussion.</w:t>
      </w:r>
    </w:p>
    <w:p w14:paraId="44EC4331"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read the instructor’s posts on the discussion board.</w:t>
      </w:r>
    </w:p>
    <w:p w14:paraId="36DA8079"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read my peers’ posts on the discussion board.</w:t>
      </w:r>
    </w:p>
    <w:p w14:paraId="777F7B58"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respond to the instructor’s posts on the discussion board.</w:t>
      </w:r>
      <w:r w:rsidRPr="0032506F">
        <w:rPr>
          <w:rFonts w:ascii="Times New Roman" w:eastAsia="MS Mincho" w:hAnsi="Times New Roman" w:cs="Times New Roman"/>
          <w:color w:val="000000"/>
          <w:sz w:val="24"/>
          <w:szCs w:val="24"/>
        </w:rPr>
        <w:tab/>
      </w:r>
    </w:p>
    <w:p w14:paraId="70ABD38E"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respond to my peers’ posts on the discussion board.</w:t>
      </w:r>
      <w:r w:rsidRPr="0032506F">
        <w:rPr>
          <w:rFonts w:ascii="Times New Roman" w:eastAsia="MS Mincho" w:hAnsi="Times New Roman" w:cs="Times New Roman"/>
          <w:color w:val="000000"/>
          <w:sz w:val="24"/>
          <w:szCs w:val="24"/>
        </w:rPr>
        <w:tab/>
      </w:r>
    </w:p>
    <w:p w14:paraId="0ADFE0B5"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participate in content-related dialogues with the course instructor on the discussion board.</w:t>
      </w:r>
    </w:p>
    <w:p w14:paraId="49BC2571"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participate in content-related dialogues with my peers on the discussion board.</w:t>
      </w:r>
    </w:p>
    <w:p w14:paraId="51F547E7"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ask my peers and/or my instructor for help in this online course.</w:t>
      </w:r>
    </w:p>
    <w:p w14:paraId="49D43951"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study the course materials assigned to me by my online course instructor.    </w:t>
      </w:r>
    </w:p>
    <w:p w14:paraId="6DA7AE71"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complete the learning tasks assigned in this online course.</w:t>
      </w:r>
    </w:p>
    <w:p w14:paraId="54DC12F8"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complete the assignments in this online course.</w:t>
      </w:r>
    </w:p>
    <w:p w14:paraId="19D09FEB"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submit my assignments by due dates.</w:t>
      </w:r>
      <w:r w:rsidRPr="0032506F">
        <w:rPr>
          <w:rFonts w:ascii="Times New Roman" w:eastAsia="MS Mincho" w:hAnsi="Times New Roman" w:cs="Times New Roman"/>
          <w:color w:val="000000"/>
          <w:sz w:val="24"/>
          <w:szCs w:val="24"/>
        </w:rPr>
        <w:tab/>
      </w:r>
    </w:p>
    <w:p w14:paraId="7393BC74"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incorporate the feedback I get into my course work. </w:t>
      </w:r>
    </w:p>
    <w:p w14:paraId="05B1B64A"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visit the online course site to access the course materials.</w:t>
      </w:r>
    </w:p>
    <w:p w14:paraId="0DAAEA03"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participate in learning activities in this online course. </w:t>
      </w:r>
    </w:p>
    <w:p w14:paraId="70E0203F"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miss assignment deadlines in this online course. (R)</w:t>
      </w:r>
    </w:p>
    <w:p w14:paraId="614202B3"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take notes while reviewing the course materials provided by my online course instructor.</w:t>
      </w:r>
      <w:r w:rsidRPr="0032506F">
        <w:rPr>
          <w:rFonts w:ascii="Times New Roman" w:eastAsia="MS Mincho" w:hAnsi="Times New Roman" w:cs="Times New Roman"/>
          <w:color w:val="000000"/>
          <w:sz w:val="24"/>
          <w:szCs w:val="24"/>
        </w:rPr>
        <w:tab/>
      </w:r>
    </w:p>
    <w:p w14:paraId="3C6E89EF" w14:textId="77777777" w:rsidR="003F7AC0" w:rsidRPr="0032506F" w:rsidRDefault="003F7AC0" w:rsidP="003F7AC0">
      <w:pPr>
        <w:numPr>
          <w:ilvl w:val="0"/>
          <w:numId w:val="45"/>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share resources with my peers in this online course.</w:t>
      </w:r>
    </w:p>
    <w:p w14:paraId="77AE67CB"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78D0CC01"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Candidate Items for Online Emotional Engagement (EE)</w:t>
      </w:r>
    </w:p>
    <w:p w14:paraId="7D2F4CE7"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1AA63494"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participating in conversations with others in online discussions.</w:t>
      </w:r>
    </w:p>
    <w:p w14:paraId="753BD293"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reading others’ posts on the discussion board.</w:t>
      </w:r>
      <w:r w:rsidRPr="0032506F">
        <w:rPr>
          <w:rFonts w:ascii="Times New Roman" w:eastAsia="MS Mincho" w:hAnsi="Times New Roman" w:cs="Times New Roman"/>
          <w:color w:val="000000"/>
          <w:sz w:val="24"/>
          <w:szCs w:val="24"/>
        </w:rPr>
        <w:tab/>
      </w:r>
    </w:p>
    <w:p w14:paraId="130A562E"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feel curious about the instructor's perspectives/opinions in each online discussion.</w:t>
      </w:r>
    </w:p>
    <w:p w14:paraId="0E98D118"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contributing to the development of ideas in online discussions.</w:t>
      </w:r>
      <w:r w:rsidRPr="0032506F">
        <w:rPr>
          <w:rFonts w:ascii="Times New Roman" w:eastAsia="MS Mincho" w:hAnsi="Times New Roman" w:cs="Times New Roman"/>
          <w:color w:val="000000"/>
          <w:sz w:val="24"/>
          <w:szCs w:val="24"/>
        </w:rPr>
        <w:tab/>
      </w:r>
    </w:p>
    <w:p w14:paraId="179A49E8"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feel curious about my peers' perspectives/opinions in each online discussion.</w:t>
      </w:r>
      <w:r w:rsidRPr="0032506F">
        <w:rPr>
          <w:rFonts w:ascii="Times New Roman" w:eastAsia="MS Mincho" w:hAnsi="Times New Roman" w:cs="Times New Roman"/>
          <w:color w:val="000000"/>
          <w:sz w:val="24"/>
          <w:szCs w:val="24"/>
        </w:rPr>
        <w:tab/>
      </w:r>
    </w:p>
    <w:p w14:paraId="15120800"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sharing my responses to the prompts/questions on the discussion board.</w:t>
      </w:r>
      <w:r w:rsidRPr="0032506F">
        <w:rPr>
          <w:rFonts w:ascii="Times New Roman" w:eastAsia="MS Mincho" w:hAnsi="Times New Roman" w:cs="Times New Roman"/>
          <w:color w:val="000000"/>
          <w:sz w:val="24"/>
          <w:szCs w:val="24"/>
        </w:rPr>
        <w:tab/>
      </w:r>
    </w:p>
    <w:p w14:paraId="6FC99CBF"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sharing my perspectives with others in online discussions.</w:t>
      </w:r>
      <w:r w:rsidRPr="0032506F">
        <w:rPr>
          <w:rFonts w:ascii="Times New Roman" w:eastAsia="MS Mincho" w:hAnsi="Times New Roman" w:cs="Times New Roman"/>
          <w:color w:val="000000"/>
          <w:sz w:val="24"/>
          <w:szCs w:val="24"/>
        </w:rPr>
        <w:tab/>
      </w:r>
    </w:p>
    <w:p w14:paraId="248F46CC"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feel a sense of pride when I contribute to my peers’ learning in online discussions.</w:t>
      </w:r>
      <w:r w:rsidRPr="0032506F">
        <w:rPr>
          <w:rFonts w:ascii="Times New Roman" w:eastAsia="MS Mincho" w:hAnsi="Times New Roman" w:cs="Times New Roman"/>
          <w:color w:val="000000"/>
          <w:sz w:val="24"/>
          <w:szCs w:val="24"/>
        </w:rPr>
        <w:tab/>
      </w:r>
    </w:p>
    <w:p w14:paraId="279BB9E2"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feel a sense of pride when I contribute to the development of ideas in online discussions.</w:t>
      </w:r>
      <w:r w:rsidRPr="0032506F">
        <w:rPr>
          <w:rFonts w:ascii="Times New Roman" w:eastAsia="MS Mincho" w:hAnsi="Times New Roman" w:cs="Times New Roman"/>
          <w:color w:val="000000"/>
          <w:sz w:val="24"/>
          <w:szCs w:val="24"/>
        </w:rPr>
        <w:tab/>
      </w:r>
    </w:p>
    <w:p w14:paraId="1C36C84E"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enjoy studying the learning materials assigned to me by my online course instructor.   </w:t>
      </w:r>
    </w:p>
    <w:p w14:paraId="7CAF0A76"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completing the learning tasks assigned in this online course.</w:t>
      </w:r>
    </w:p>
    <w:p w14:paraId="62313E8F"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getting feedback about my work in this online course.</w:t>
      </w:r>
    </w:p>
    <w:p w14:paraId="1639F128"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enjoy completing the assignments in this online course.</w:t>
      </w:r>
    </w:p>
    <w:p w14:paraId="47E55303"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enjoy participating in learning activities in this online course. </w:t>
      </w:r>
    </w:p>
    <w:p w14:paraId="43AE7EDE"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lastRenderedPageBreak/>
        <w:t>I feel curious about learning the content in this online course.</w:t>
      </w:r>
      <w:r w:rsidRPr="0032506F">
        <w:rPr>
          <w:rFonts w:ascii="Times New Roman" w:eastAsia="MS Mincho" w:hAnsi="Times New Roman" w:cs="Times New Roman"/>
          <w:color w:val="000000"/>
          <w:sz w:val="24"/>
          <w:szCs w:val="24"/>
        </w:rPr>
        <w:tab/>
      </w:r>
    </w:p>
    <w:p w14:paraId="1845F041"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Overall, being an online learner is fun to me.</w:t>
      </w:r>
      <w:r w:rsidRPr="0032506F">
        <w:rPr>
          <w:rFonts w:ascii="Times New Roman" w:eastAsia="MS Mincho" w:hAnsi="Times New Roman" w:cs="Times New Roman"/>
          <w:color w:val="000000"/>
          <w:sz w:val="24"/>
          <w:szCs w:val="24"/>
        </w:rPr>
        <w:tab/>
      </w:r>
    </w:p>
    <w:p w14:paraId="4E1EACC7"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Studying the learning materials assigned in this online course is not enjoyable to me. (R)</w:t>
      </w:r>
    </w:p>
    <w:p w14:paraId="09D72CDB"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feel curious when learning new things in this online course.</w:t>
      </w:r>
    </w:p>
    <w:p w14:paraId="1EE089E1"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feel a sense of pride when I get positive feedback about my work in this online course. </w:t>
      </w:r>
    </w:p>
    <w:p w14:paraId="271638AF"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Overall, I feel hopeful about my academic success in this online course.</w:t>
      </w:r>
      <w:r w:rsidRPr="0032506F">
        <w:rPr>
          <w:rFonts w:ascii="Times New Roman" w:eastAsia="MS Mincho" w:hAnsi="Times New Roman" w:cs="Times New Roman"/>
          <w:color w:val="000000"/>
          <w:sz w:val="24"/>
          <w:szCs w:val="24"/>
        </w:rPr>
        <w:tab/>
      </w:r>
    </w:p>
    <w:p w14:paraId="1A89510B" w14:textId="77777777" w:rsidR="003F7AC0" w:rsidRPr="0032506F" w:rsidRDefault="003F7AC0" w:rsidP="003F7AC0">
      <w:pPr>
        <w:numPr>
          <w:ilvl w:val="0"/>
          <w:numId w:val="46"/>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Overall, I feel hopeful about improving my knowledge and/or skills in this online course.</w:t>
      </w:r>
    </w:p>
    <w:p w14:paraId="20F6C0B4"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354B8B97"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Candidate Items for Online Cognitive Engagement (CE)</w:t>
      </w:r>
    </w:p>
    <w:p w14:paraId="2E36DD4C" w14:textId="77777777" w:rsidR="003F7AC0" w:rsidRPr="0032506F" w:rsidRDefault="003F7AC0" w:rsidP="003F7AC0">
      <w:pPr>
        <w:spacing w:after="200" w:line="276" w:lineRule="auto"/>
        <w:rPr>
          <w:rFonts w:ascii="Times New Roman" w:eastAsia="Calibri" w:hAnsi="Times New Roman" w:cs="Times New Roman"/>
          <w:color w:val="000000"/>
          <w:sz w:val="24"/>
          <w:szCs w:val="24"/>
        </w:rPr>
      </w:pPr>
    </w:p>
    <w:p w14:paraId="09D4845B"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create logical connections between my understanding and my peers’ understanding of course concepts/ideas/issues while composing my discussion posts.</w:t>
      </w:r>
    </w:p>
    <w:p w14:paraId="38E63F12"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create my own examples to express my understanding of the course concepts/ideas/issues during online discussions.</w:t>
      </w:r>
      <w:r w:rsidRPr="0032506F">
        <w:rPr>
          <w:rFonts w:ascii="Times New Roman" w:eastAsia="MS Mincho" w:hAnsi="Times New Roman" w:cs="Times New Roman"/>
          <w:color w:val="000000"/>
          <w:sz w:val="24"/>
          <w:szCs w:val="24"/>
        </w:rPr>
        <w:tab/>
      </w:r>
    </w:p>
    <w:p w14:paraId="740E6F3A"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reflect on others’ posts on the discussion board.</w:t>
      </w:r>
    </w:p>
    <w:p w14:paraId="68CDEE2B"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Before attempting to explain my point of view, I try to understand what others already have written or said on the discussion board.      </w:t>
      </w:r>
    </w:p>
    <w:p w14:paraId="3F36C941"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Before I post to the online discussion board, I try to understand the concepts/ideas/issues under study.</w:t>
      </w:r>
      <w:r w:rsidRPr="0032506F">
        <w:rPr>
          <w:rFonts w:ascii="Times New Roman" w:eastAsia="MS Mincho" w:hAnsi="Times New Roman" w:cs="Times New Roman"/>
          <w:color w:val="000000"/>
          <w:sz w:val="24"/>
          <w:szCs w:val="24"/>
        </w:rPr>
        <w:tab/>
      </w:r>
    </w:p>
    <w:p w14:paraId="33D39017"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put forth effort to explain the course concepts/ideas/issues in detail during online discussions.</w:t>
      </w:r>
      <w:r w:rsidRPr="0032506F">
        <w:rPr>
          <w:rFonts w:ascii="Times New Roman" w:eastAsia="MS Mincho" w:hAnsi="Times New Roman" w:cs="Times New Roman"/>
          <w:color w:val="000000"/>
          <w:sz w:val="24"/>
          <w:szCs w:val="24"/>
        </w:rPr>
        <w:tab/>
      </w:r>
    </w:p>
    <w:p w14:paraId="564B9526"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relate my prior knowledge to the content of this online course.</w:t>
      </w:r>
    </w:p>
    <w:p w14:paraId="2CA5C7FE"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relate the course content to my personal experiences.</w:t>
      </w:r>
    </w:p>
    <w:p w14:paraId="6EF63868"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plan for my next work/task/assignment in this online course.</w:t>
      </w:r>
      <w:r w:rsidRPr="0032506F">
        <w:rPr>
          <w:rFonts w:ascii="Times New Roman" w:eastAsia="MS Mincho" w:hAnsi="Times New Roman" w:cs="Times New Roman"/>
          <w:color w:val="000000"/>
          <w:sz w:val="24"/>
          <w:szCs w:val="24"/>
        </w:rPr>
        <w:tab/>
      </w:r>
    </w:p>
    <w:p w14:paraId="76DEE583"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draw conclusions from others’ posts on the discussion board.</w:t>
      </w:r>
    </w:p>
    <w:p w14:paraId="6017DCFB"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question my understanding of the concepts/issues/ideas being taught in this online course.</w:t>
      </w:r>
    </w:p>
    <w:p w14:paraId="0E8575E8"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Before I post to the online discussion board, I think about how I will express myself. </w:t>
      </w:r>
    </w:p>
    <w:p w14:paraId="31090E43"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check my own understanding of the course concepts/ideas/issues by thinking about others’ posts on the discussion board.</w:t>
      </w:r>
    </w:p>
    <w:p w14:paraId="4374F708"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Before I start studying for this online course, I plan what to do. </w:t>
      </w:r>
    </w:p>
    <w:p w14:paraId="7935CDD0"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reflect on my own understanding of the course concepts/ideas/issues during online discussions.</w:t>
      </w:r>
    </w:p>
    <w:p w14:paraId="20259196"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put forth effort to comprehend the course concepts/ideas/issues during online discussions.</w:t>
      </w:r>
    </w:p>
    <w:p w14:paraId="5C4EE60E"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I put forth effort to understand different perspectives during online discussions. </w:t>
      </w:r>
    </w:p>
    <w:p w14:paraId="59DC9AA0"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put forth no effort to make connections among the course concepts/ideas/issues during online discussions. (R)</w:t>
      </w:r>
    </w:p>
    <w:p w14:paraId="7F24C968"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make connections among the course concepts/ideas/issues.</w:t>
      </w:r>
    </w:p>
    <w:p w14:paraId="414FA074"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create my own examples to better understand the course concepts/ideas/issues.</w:t>
      </w:r>
    </w:p>
    <w:p w14:paraId="26CB5DC8"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Before I start studying for this online course, I think about what I need to learn. </w:t>
      </w:r>
    </w:p>
    <w:p w14:paraId="62D97AC0" w14:textId="77777777" w:rsidR="003F7AC0" w:rsidRPr="0032506F" w:rsidRDefault="003F7AC0" w:rsidP="003F7AC0">
      <w:pPr>
        <w:numPr>
          <w:ilvl w:val="0"/>
          <w:numId w:val="47"/>
        </w:numPr>
        <w:spacing w:after="0" w:line="240" w:lineRule="auto"/>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 reflect on the feedback I get in this online course.</w:t>
      </w:r>
    </w:p>
    <w:p w14:paraId="4C470153" w14:textId="77777777" w:rsidR="003F7AC0" w:rsidRPr="0032506F" w:rsidRDefault="003F7AC0" w:rsidP="003F7AC0">
      <w:pPr>
        <w:spacing w:after="0" w:line="480" w:lineRule="auto"/>
        <w:ind w:left="720"/>
        <w:contextualSpacing/>
        <w:jc w:val="center"/>
        <w:rPr>
          <w:rFonts w:ascii="Times New Roman" w:eastAsia="MS Mincho" w:hAnsi="Times New Roman" w:cs="Times New Roman"/>
          <w:bCs/>
          <w:color w:val="000000"/>
          <w:sz w:val="24"/>
          <w:szCs w:val="24"/>
        </w:rPr>
      </w:pPr>
      <w:bookmarkStart w:id="167" w:name="_Hlk79657595"/>
    </w:p>
    <w:p w14:paraId="5B0AA45E" w14:textId="77777777" w:rsidR="003F7AC0" w:rsidRPr="0032506F" w:rsidRDefault="003F7AC0" w:rsidP="003F7AC0">
      <w:pPr>
        <w:spacing w:after="0" w:line="480" w:lineRule="auto"/>
        <w:ind w:left="720"/>
        <w:contextualSpacing/>
        <w:jc w:val="center"/>
        <w:rPr>
          <w:rFonts w:ascii="Times New Roman" w:eastAsia="MS Mincho" w:hAnsi="Times New Roman" w:cs="Times New Roman"/>
          <w:bCs/>
          <w:color w:val="000000"/>
          <w:sz w:val="24"/>
          <w:szCs w:val="24"/>
        </w:rPr>
      </w:pPr>
    </w:p>
    <w:p w14:paraId="6323864C" w14:textId="77777777" w:rsidR="00494F1F" w:rsidRDefault="00494F1F" w:rsidP="00286737">
      <w:pPr>
        <w:pStyle w:val="Heading2"/>
        <w:sectPr w:rsidR="00494F1F" w:rsidSect="003F7AC0">
          <w:headerReference w:type="default" r:id="rId175"/>
          <w:pgSz w:w="12240" w:h="15840"/>
          <w:pgMar w:top="1440" w:right="1440" w:bottom="1440" w:left="1440" w:header="720" w:footer="720" w:gutter="0"/>
          <w:cols w:space="720"/>
          <w:docGrid w:linePitch="360"/>
        </w:sectPr>
      </w:pPr>
      <w:bookmarkStart w:id="168" w:name="_Appendix_J_Pre-Cognitive"/>
      <w:bookmarkStart w:id="169" w:name="_Appendix_K_Qualtrics"/>
      <w:bookmarkStart w:id="170" w:name="_Hlk79658700"/>
      <w:bookmarkEnd w:id="167"/>
      <w:bookmarkEnd w:id="168"/>
      <w:bookmarkEnd w:id="169"/>
    </w:p>
    <w:p w14:paraId="3892CF0A" w14:textId="77777777" w:rsidR="00B04C61" w:rsidRPr="0032506F" w:rsidRDefault="00B04C61" w:rsidP="00B04C61">
      <w:pPr>
        <w:pStyle w:val="Heading2"/>
      </w:pPr>
      <w:bookmarkStart w:id="171" w:name="_Appendix_B_Initial"/>
      <w:bookmarkStart w:id="172" w:name="_Toc102489480"/>
      <w:bookmarkStart w:id="173" w:name="_Hlk83822979"/>
      <w:bookmarkEnd w:id="171"/>
      <w:r w:rsidRPr="0032506F">
        <w:lastRenderedPageBreak/>
        <w:t xml:space="preserve">Appendix </w:t>
      </w:r>
      <w:r>
        <w:t>B</w:t>
      </w:r>
      <w:r w:rsidRPr="0032506F">
        <w:t xml:space="preserve"> Initial IRB Approval Letter Before Cognitive Interviews</w:t>
      </w:r>
      <w:bookmarkEnd w:id="172"/>
      <w:r w:rsidRPr="0032506F">
        <w:t xml:space="preserve"> </w:t>
      </w:r>
    </w:p>
    <w:p w14:paraId="731D8A72" w14:textId="77777777" w:rsidR="00B04C61" w:rsidRPr="0032506F" w:rsidRDefault="00B04C61" w:rsidP="00B04C61">
      <w:pPr>
        <w:spacing w:after="0" w:line="240" w:lineRule="auto"/>
        <w:contextualSpacing/>
        <w:jc w:val="center"/>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(July 27, 2021)</w:t>
      </w:r>
    </w:p>
    <w:bookmarkEnd w:id="173"/>
    <w:p w14:paraId="4F55331F" w14:textId="77777777" w:rsidR="00B04C61" w:rsidRPr="0032506F" w:rsidRDefault="00B04C61" w:rsidP="00B04C61">
      <w:pPr>
        <w:spacing w:after="0" w:line="240" w:lineRule="auto"/>
        <w:contextualSpacing/>
        <w:rPr>
          <w:rFonts w:ascii="Times New Roman" w:eastAsia="MS Mincho" w:hAnsi="Times New Roman" w:cs="Times New Roman"/>
          <w:color w:val="000000"/>
          <w:sz w:val="24"/>
          <w:szCs w:val="24"/>
        </w:rPr>
      </w:pPr>
      <w:r w:rsidRPr="0032506F">
        <w:rPr>
          <w:rFonts w:ascii="Times New Roman" w:hAnsi="Times New Roman" w:cs="Times New Roman"/>
          <w:noProof/>
          <w:sz w:val="24"/>
          <w:szCs w:val="24"/>
        </w:rPr>
        <w:drawing>
          <wp:inline distT="0" distB="0" distL="0" distR="0" wp14:anchorId="36A11EC1" wp14:editId="5E25A342">
            <wp:extent cx="5943600" cy="6004560"/>
            <wp:effectExtent l="0" t="0" r="0" b="0"/>
            <wp:docPr id="4" name="Picture 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 letter&#10;&#10;Description automatically generated"/>
                    <pic:cNvPicPr/>
                  </pic:nvPicPr>
                  <pic:blipFill>
                    <a:blip r:embed="rId176"/>
                    <a:stretch>
                      <a:fillRect/>
                    </a:stretch>
                  </pic:blipFill>
                  <pic:spPr>
                    <a:xfrm>
                      <a:off x="0" y="0"/>
                      <a:ext cx="5943600" cy="6004560"/>
                    </a:xfrm>
                    <a:prstGeom prst="rect">
                      <a:avLst/>
                    </a:prstGeom>
                  </pic:spPr>
                </pic:pic>
              </a:graphicData>
            </a:graphic>
          </wp:inline>
        </w:drawing>
      </w:r>
    </w:p>
    <w:p w14:paraId="129701E8" w14:textId="77777777" w:rsidR="00B04C61" w:rsidRPr="0032506F" w:rsidRDefault="00B04C61" w:rsidP="00B04C61">
      <w:pPr>
        <w:spacing w:after="0" w:line="240" w:lineRule="auto"/>
        <w:ind w:left="720"/>
        <w:contextualSpacing/>
        <w:rPr>
          <w:rFonts w:ascii="Times New Roman" w:eastAsia="MS Mincho" w:hAnsi="Times New Roman" w:cs="Times New Roman"/>
          <w:color w:val="000000"/>
          <w:sz w:val="24"/>
          <w:szCs w:val="24"/>
        </w:rPr>
      </w:pPr>
    </w:p>
    <w:p w14:paraId="4630EC5C" w14:textId="77777777" w:rsidR="00B04C61" w:rsidRPr="0032506F" w:rsidRDefault="00B04C61" w:rsidP="00B04C61">
      <w:pPr>
        <w:spacing w:after="0" w:line="240" w:lineRule="auto"/>
        <w:ind w:left="720"/>
        <w:contextualSpacing/>
        <w:rPr>
          <w:rFonts w:ascii="Times New Roman" w:eastAsia="MS Mincho" w:hAnsi="Times New Roman" w:cs="Times New Roman"/>
          <w:color w:val="000000"/>
          <w:sz w:val="24"/>
          <w:szCs w:val="24"/>
        </w:rPr>
      </w:pPr>
    </w:p>
    <w:p w14:paraId="5DE85F69" w14:textId="77777777" w:rsidR="00B04C61" w:rsidRPr="0032506F" w:rsidRDefault="00B04C61" w:rsidP="00B04C61">
      <w:pPr>
        <w:spacing w:after="0" w:line="240" w:lineRule="auto"/>
        <w:ind w:left="720"/>
        <w:contextualSpacing/>
        <w:rPr>
          <w:rFonts w:ascii="Times New Roman" w:eastAsia="MS Mincho" w:hAnsi="Times New Roman" w:cs="Times New Roman"/>
          <w:color w:val="000000"/>
          <w:sz w:val="24"/>
          <w:szCs w:val="24"/>
        </w:rPr>
      </w:pPr>
    </w:p>
    <w:p w14:paraId="360504C0" w14:textId="77777777" w:rsidR="00B04C61" w:rsidRDefault="00B04C61" w:rsidP="00286737">
      <w:pPr>
        <w:pStyle w:val="Heading2"/>
        <w:sectPr w:rsidR="00B04C61" w:rsidSect="003F7AC0">
          <w:pgSz w:w="12240" w:h="15840"/>
          <w:pgMar w:top="1440" w:right="1440" w:bottom="1440" w:left="1440" w:header="720" w:footer="720" w:gutter="0"/>
          <w:cols w:space="720"/>
          <w:docGrid w:linePitch="360"/>
        </w:sectPr>
      </w:pPr>
    </w:p>
    <w:p w14:paraId="56029C5D" w14:textId="2B0150F5" w:rsidR="003F7AC0" w:rsidRPr="0032506F" w:rsidRDefault="003F7AC0" w:rsidP="00286737">
      <w:pPr>
        <w:pStyle w:val="Heading2"/>
      </w:pPr>
      <w:bookmarkStart w:id="174" w:name="_Appendix_C_Qualtrics"/>
      <w:bookmarkStart w:id="175" w:name="_Toc102489481"/>
      <w:bookmarkEnd w:id="174"/>
      <w:r w:rsidRPr="0032506F">
        <w:lastRenderedPageBreak/>
        <w:t xml:space="preserve">Appendix </w:t>
      </w:r>
      <w:bookmarkEnd w:id="170"/>
      <w:r w:rsidR="00CA05E2">
        <w:t>C</w:t>
      </w:r>
      <w:r w:rsidR="00286737" w:rsidRPr="0032506F">
        <w:t xml:space="preserve"> </w:t>
      </w:r>
      <w:r w:rsidRPr="0032506F">
        <w:t>Qualtrics Online Survey Form for Cognitive Interviews</w:t>
      </w:r>
      <w:bookmarkEnd w:id="175"/>
    </w:p>
    <w:p w14:paraId="3D358D3A"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4A77C40F"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Introduction: Thank you again for agreeing to participate in this pilot cognitive interview. In this interview, after you respond to each of my candidate items, I will ask you a couple of questions about your understanding and interpretation of each item. As you have already provided your signed consent to participate in this interview, you can proceed to the next page to start the survey by clicking on the arrow below.</w:t>
      </w:r>
    </w:p>
    <w:p w14:paraId="6FA9530E" w14:textId="77777777" w:rsidR="003F7AC0" w:rsidRPr="0032506F" w:rsidRDefault="003F7AC0" w:rsidP="003F7AC0">
      <w:pPr>
        <w:spacing w:after="0" w:line="480" w:lineRule="auto"/>
        <w:rPr>
          <w:rFonts w:ascii="Times New Roman" w:eastAsia="Calibri" w:hAnsi="Times New Roman" w:cs="Times New Roman"/>
          <w:color w:val="000000"/>
          <w:sz w:val="24"/>
          <w:szCs w:val="24"/>
        </w:rPr>
      </w:pPr>
    </w:p>
    <w:p w14:paraId="4DE43799"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Directions: In this cognitive interview, you will see the survey directions and my candidate items that are designed to measure online behavioral engagement, online emotional engagement, and online cognitive engagement. You are asked to carefully read the survey directions for each set of items, read each item carefully, think about it, and then respond to it by choosing a response option provided. After you choose your response to an item, I will ask you a couple of questions about your understanding and interpretation of the item. You can proceed to the next page to see the survey directions and my candidate items by clicking on the arrow below.</w:t>
      </w:r>
    </w:p>
    <w:p w14:paraId="4735B7A2" w14:textId="77777777" w:rsidR="003F7AC0" w:rsidRPr="0032506F" w:rsidRDefault="003F7AC0" w:rsidP="003F7AC0">
      <w:pPr>
        <w:spacing w:after="0" w:line="480" w:lineRule="auto"/>
        <w:rPr>
          <w:rFonts w:ascii="Times New Roman" w:eastAsia="Calibri" w:hAnsi="Times New Roman" w:cs="Times New Roman"/>
          <w:color w:val="000000"/>
          <w:sz w:val="24"/>
          <w:szCs w:val="24"/>
        </w:rPr>
      </w:pPr>
    </w:p>
    <w:p w14:paraId="72D28D87"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Survey Directions for Behavioral Engagement Items and Behavioral Engagement Items</w:t>
      </w:r>
    </w:p>
    <w:p w14:paraId="128C5F6B"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Survey Directions for Emotional Engagement Items and Emotional Engagement Items</w:t>
      </w:r>
    </w:p>
    <w:p w14:paraId="2E354A96"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Survey Directions for Cognitive Engagement Items and Cognitive Engagement Items</w:t>
      </w:r>
    </w:p>
    <w:p w14:paraId="4D7B379B" w14:textId="77777777" w:rsidR="003F7AC0" w:rsidRPr="0032506F" w:rsidRDefault="003F7AC0" w:rsidP="003F7AC0">
      <w:pPr>
        <w:spacing w:after="0" w:line="480" w:lineRule="auto"/>
        <w:rPr>
          <w:rFonts w:ascii="Times New Roman" w:eastAsia="Calibri" w:hAnsi="Times New Roman" w:cs="Times New Roman"/>
          <w:color w:val="000000"/>
          <w:sz w:val="24"/>
          <w:szCs w:val="24"/>
        </w:rPr>
      </w:pPr>
    </w:p>
    <w:p w14:paraId="0B110A5B" w14:textId="77777777" w:rsidR="003F7AC0" w:rsidRPr="0032506F" w:rsidRDefault="003F7AC0" w:rsidP="003F7AC0">
      <w:pPr>
        <w:spacing w:after="200" w:line="276" w:lineRule="auto"/>
        <w:rPr>
          <w:rFonts w:ascii="Times New Roman" w:eastAsia="Calibri" w:hAnsi="Times New Roman" w:cs="Times New Roman"/>
          <w:color w:val="000000"/>
          <w:sz w:val="24"/>
          <w:szCs w:val="24"/>
        </w:rPr>
      </w:pPr>
    </w:p>
    <w:p w14:paraId="27C6FEC1" w14:textId="77777777" w:rsidR="003F7AC0" w:rsidRPr="0032506F" w:rsidRDefault="003F7AC0" w:rsidP="003F7AC0">
      <w:pPr>
        <w:spacing w:after="200" w:line="276" w:lineRule="auto"/>
        <w:rPr>
          <w:rFonts w:ascii="Times New Roman" w:eastAsia="Calibri" w:hAnsi="Times New Roman" w:cs="Times New Roman"/>
          <w:color w:val="000000"/>
          <w:sz w:val="24"/>
          <w:szCs w:val="24"/>
        </w:rPr>
      </w:pPr>
    </w:p>
    <w:p w14:paraId="182806B6"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52962A5D"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57AED669" w14:textId="41C645BD" w:rsidR="00EE296F" w:rsidRPr="0032506F" w:rsidRDefault="003F7AC0" w:rsidP="00286737">
      <w:pPr>
        <w:pStyle w:val="Heading2"/>
      </w:pPr>
      <w:bookmarkStart w:id="176" w:name="_Appendix_L_A"/>
      <w:bookmarkStart w:id="177" w:name="_Appendix_D_A"/>
      <w:bookmarkStart w:id="178" w:name="_Toc102489482"/>
      <w:bookmarkEnd w:id="176"/>
      <w:bookmarkEnd w:id="177"/>
      <w:r w:rsidRPr="0032506F">
        <w:lastRenderedPageBreak/>
        <w:t xml:space="preserve">Appendix </w:t>
      </w:r>
      <w:r w:rsidR="00CA05E2">
        <w:t>D</w:t>
      </w:r>
      <w:r w:rsidR="00286737" w:rsidRPr="0032506F">
        <w:t xml:space="preserve"> </w:t>
      </w:r>
      <w:r w:rsidR="00EE296F" w:rsidRPr="0032506F">
        <w:t>A Summary of Major Item Issues and My Responses after Pilot Cognitive Testing</w:t>
      </w:r>
      <w:bookmarkEnd w:id="178"/>
      <w:r w:rsidR="00EE296F" w:rsidRPr="0032506F">
        <w:t xml:space="preserve"> </w:t>
      </w:r>
    </w:p>
    <w:p w14:paraId="6B17EA84" w14:textId="77777777" w:rsidR="003F7AC0" w:rsidRPr="0032506F" w:rsidRDefault="003F7AC0" w:rsidP="003F7AC0">
      <w:pPr>
        <w:spacing w:after="0" w:line="240" w:lineRule="auto"/>
        <w:ind w:left="720"/>
        <w:contextualSpacing/>
        <w:jc w:val="center"/>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w:t>
      </w:r>
      <w:proofErr w:type="gramStart"/>
      <w:r w:rsidRPr="0032506F">
        <w:rPr>
          <w:rFonts w:ascii="Times New Roman" w:eastAsia="MS Mincho" w:hAnsi="Times New Roman" w:cs="Times New Roman"/>
          <w:color w:val="000000"/>
          <w:sz w:val="24"/>
          <w:szCs w:val="24"/>
        </w:rPr>
        <w:t>adapted</w:t>
      </w:r>
      <w:proofErr w:type="gramEnd"/>
      <w:r w:rsidRPr="0032506F">
        <w:rPr>
          <w:rFonts w:ascii="Times New Roman" w:eastAsia="MS Mincho" w:hAnsi="Times New Roman" w:cs="Times New Roman"/>
          <w:color w:val="000000"/>
          <w:sz w:val="24"/>
          <w:szCs w:val="24"/>
        </w:rPr>
        <w:t xml:space="preserve"> from Holmes, 2018)</w:t>
      </w:r>
    </w:p>
    <w:p w14:paraId="0F8CC836"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6552ECFE"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395AB300" w14:textId="77777777" w:rsidR="003F7AC0" w:rsidRPr="0032506F" w:rsidRDefault="003F7AC0" w:rsidP="003F7AC0">
      <w:pPr>
        <w:pBdr>
          <w:top w:val="single" w:sz="4" w:space="1" w:color="auto"/>
          <w:bottom w:val="single" w:sz="4" w:space="1" w:color="auto"/>
        </w:pBdr>
        <w:spacing w:after="0" w:line="240" w:lineRule="auto"/>
        <w:ind w:left="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Item#*</w:t>
      </w:r>
      <w:r w:rsidRPr="0032506F">
        <w:rPr>
          <w:rFonts w:ascii="Times New Roman" w:eastAsia="MS Mincho" w:hAnsi="Times New Roman" w:cs="Times New Roman"/>
          <w:color w:val="000000"/>
          <w:sz w:val="24"/>
          <w:szCs w:val="24"/>
        </w:rPr>
        <w:tab/>
        <w:t xml:space="preserve">    CIQ#</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Item Issue</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 xml:space="preserve">My Response </w:t>
      </w:r>
    </w:p>
    <w:p w14:paraId="6791E1F6" w14:textId="77777777" w:rsidR="003F7AC0" w:rsidRPr="0032506F" w:rsidRDefault="003F7AC0" w:rsidP="003F7AC0">
      <w:pPr>
        <w:pBdr>
          <w:top w:val="single" w:sz="4" w:space="1" w:color="auto"/>
          <w:bottom w:val="single" w:sz="4" w:space="1" w:color="auto"/>
        </w:pBdr>
        <w:spacing w:after="0" w:line="240" w:lineRule="auto"/>
        <w:ind w:left="720"/>
        <w:contextualSpacing/>
        <w:rPr>
          <w:rFonts w:ascii="Times New Roman" w:eastAsia="MS Mincho" w:hAnsi="Times New Roman" w:cs="Times New Roman"/>
          <w:color w:val="000000"/>
          <w:sz w:val="24"/>
          <w:szCs w:val="24"/>
        </w:rPr>
      </w:pPr>
    </w:p>
    <w:p w14:paraId="629687D6"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BE2</w:t>
      </w:r>
      <w:r w:rsidRPr="0032506F">
        <w:rPr>
          <w:rFonts w:ascii="Times New Roman" w:eastAsia="MS Mincho" w:hAnsi="Times New Roman" w:cs="Times New Roman"/>
          <w:color w:val="000000"/>
          <w:sz w:val="24"/>
          <w:szCs w:val="24"/>
        </w:rPr>
        <w:tab/>
        <w:t>CIQ2,4</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 xml:space="preserve">“instructor’s posts” phrase was </w:t>
      </w:r>
      <w:r w:rsidRPr="0032506F">
        <w:rPr>
          <w:rFonts w:ascii="Times New Roman" w:eastAsia="MS Mincho" w:hAnsi="Times New Roman" w:cs="Times New Roman"/>
          <w:color w:val="000000"/>
          <w:sz w:val="24"/>
          <w:szCs w:val="24"/>
        </w:rPr>
        <w:tab/>
        <w:t>phrase clarified as “comment/</w:t>
      </w:r>
    </w:p>
    <w:p w14:paraId="43E6050B"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 xml:space="preserve">interpreted differently by the </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question posts”</w:t>
      </w:r>
    </w:p>
    <w:p w14:paraId="6A5C4AD7" w14:textId="77777777" w:rsidR="003F7AC0" w:rsidRPr="0032506F" w:rsidRDefault="003F7AC0" w:rsidP="003F7AC0">
      <w:pPr>
        <w:spacing w:after="0" w:line="240" w:lineRule="auto"/>
        <w:ind w:left="2160" w:firstLine="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respondents</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p>
    <w:p w14:paraId="71AFFDC2"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07A6EBA6"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BE3,5</w:t>
      </w:r>
      <w:r w:rsidRPr="0032506F">
        <w:rPr>
          <w:rFonts w:ascii="Times New Roman" w:eastAsia="MS Mincho" w:hAnsi="Times New Roman" w:cs="Times New Roman"/>
          <w:color w:val="000000"/>
          <w:sz w:val="24"/>
          <w:szCs w:val="24"/>
        </w:rPr>
        <w:tab/>
        <w:t>CIQ2,4</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 xml:space="preserve">The respondents asked about </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consulted the survey expert.</w:t>
      </w:r>
      <w:r w:rsidRPr="0032506F">
        <w:rPr>
          <w:rFonts w:ascii="Times New Roman" w:eastAsia="MS Mincho" w:hAnsi="Times New Roman" w:cs="Times New Roman"/>
          <w:color w:val="000000"/>
          <w:sz w:val="24"/>
          <w:szCs w:val="24"/>
        </w:rPr>
        <w:tab/>
      </w:r>
    </w:p>
    <w:p w14:paraId="29AAEFA3" w14:textId="77777777" w:rsidR="003F7AC0" w:rsidRPr="0032506F" w:rsidRDefault="003F7AC0" w:rsidP="003F7AC0">
      <w:pPr>
        <w:spacing w:after="0" w:line="240" w:lineRule="auto"/>
        <w:ind w:left="2160" w:firstLine="720"/>
        <w:contextualSpacing/>
        <w:rPr>
          <w:rFonts w:ascii="Times New Roman" w:eastAsia="MS Mincho" w:hAnsi="Times New Roman" w:cs="Times New Roman"/>
          <w:color w:val="000000"/>
          <w:sz w:val="24"/>
          <w:szCs w:val="24"/>
        </w:rPr>
      </w:pPr>
      <w:r w:rsidRPr="0032506F">
        <w:rPr>
          <w:rFonts w:ascii="Times New Roman" w:eastAsia="MS Mincho" w:hAnsi="Times New Roman" w:cs="Times New Roman"/>
          <w:color w:val="000000"/>
          <w:sz w:val="24"/>
          <w:szCs w:val="24"/>
        </w:rPr>
        <w:t xml:space="preserve">whether the item was about “all” </w:t>
      </w:r>
      <w:r w:rsidRPr="0032506F">
        <w:rPr>
          <w:rFonts w:ascii="Times New Roman" w:eastAsia="MS Mincho" w:hAnsi="Times New Roman" w:cs="Times New Roman"/>
          <w:color w:val="000000"/>
          <w:sz w:val="24"/>
          <w:szCs w:val="24"/>
        </w:rPr>
        <w:tab/>
        <w:t>The number/amount of posts</w:t>
      </w:r>
    </w:p>
    <w:p w14:paraId="1DB7F9C3" w14:textId="77777777" w:rsidR="003F7AC0" w:rsidRPr="0032506F" w:rsidRDefault="003F7AC0" w:rsidP="003F7AC0">
      <w:pPr>
        <w:spacing w:after="0" w:line="240" w:lineRule="auto"/>
        <w:ind w:left="2160" w:firstLine="720"/>
        <w:contextualSpacing/>
        <w:rPr>
          <w:rFonts w:ascii="Times New Roman" w:eastAsia="Calibri" w:hAnsi="Times New Roman" w:cs="Times New Roman"/>
          <w:color w:val="000000"/>
          <w:sz w:val="24"/>
          <w:szCs w:val="24"/>
        </w:rPr>
      </w:pPr>
      <w:r w:rsidRPr="0032506F">
        <w:rPr>
          <w:rFonts w:ascii="Times New Roman" w:eastAsia="MS Mincho" w:hAnsi="Times New Roman" w:cs="Times New Roman"/>
          <w:color w:val="000000"/>
          <w:sz w:val="24"/>
          <w:szCs w:val="24"/>
        </w:rPr>
        <w:t>of peers’ posts, “most” or “some”</w:t>
      </w:r>
      <w:r w:rsidRPr="0032506F">
        <w:rPr>
          <w:rFonts w:ascii="Times New Roman" w:eastAsia="MS Mincho" w:hAnsi="Times New Roman" w:cs="Times New Roman"/>
          <w:color w:val="000000"/>
          <w:sz w:val="24"/>
          <w:szCs w:val="24"/>
        </w:rPr>
        <w:tab/>
        <w:t>was not the target of interest.</w:t>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r>
      <w:r w:rsidRPr="0032506F">
        <w:rPr>
          <w:rFonts w:ascii="Times New Roman" w:eastAsia="MS Mincho" w:hAnsi="Times New Roman" w:cs="Times New Roman"/>
          <w:color w:val="000000"/>
          <w:sz w:val="24"/>
          <w:szCs w:val="24"/>
        </w:rPr>
        <w:tab/>
        <w:t xml:space="preserve"> </w:t>
      </w:r>
      <w:r w:rsidRPr="0032506F">
        <w:rPr>
          <w:rFonts w:ascii="Times New Roman" w:eastAsia="Calibri" w:hAnsi="Times New Roman" w:cs="Times New Roman"/>
          <w:color w:val="000000"/>
          <w:sz w:val="24"/>
          <w:szCs w:val="24"/>
        </w:rPr>
        <w:tab/>
        <w:t xml:space="preserve">   </w:t>
      </w:r>
      <w:r w:rsidRPr="0032506F">
        <w:rPr>
          <w:rFonts w:ascii="Times New Roman" w:eastAsia="Calibri" w:hAnsi="Times New Roman" w:cs="Times New Roman"/>
          <w:color w:val="000000"/>
          <w:sz w:val="24"/>
          <w:szCs w:val="24"/>
        </w:rPr>
        <w:tab/>
        <w:t>No change was made.</w:t>
      </w:r>
    </w:p>
    <w:p w14:paraId="35F57480" w14:textId="77777777" w:rsidR="003F7AC0" w:rsidRPr="0032506F" w:rsidRDefault="003F7AC0" w:rsidP="003F7AC0">
      <w:pPr>
        <w:spacing w:after="0" w:line="240" w:lineRule="auto"/>
        <w:ind w:left="2160" w:firstLine="720"/>
        <w:contextualSpacing/>
        <w:rPr>
          <w:rFonts w:ascii="Times New Roman" w:eastAsia="Calibri" w:hAnsi="Times New Roman" w:cs="Times New Roman"/>
          <w:color w:val="000000"/>
          <w:sz w:val="24"/>
          <w:szCs w:val="24"/>
        </w:rPr>
      </w:pPr>
    </w:p>
    <w:p w14:paraId="248310FE"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ab/>
        <w:t>BE4</w:t>
      </w:r>
      <w:r w:rsidRPr="0032506F">
        <w:rPr>
          <w:rFonts w:ascii="Times New Roman" w:eastAsia="Calibri" w:hAnsi="Times New Roman" w:cs="Times New Roman"/>
          <w:color w:val="000000"/>
          <w:sz w:val="24"/>
          <w:szCs w:val="24"/>
        </w:rPr>
        <w:tab/>
        <w:t>CIQ2,4,5</w:t>
      </w:r>
      <w:r w:rsidRPr="0032506F">
        <w:rPr>
          <w:rFonts w:ascii="Times New Roman" w:eastAsia="Calibri" w:hAnsi="Times New Roman" w:cs="Times New Roman"/>
          <w:color w:val="000000"/>
          <w:sz w:val="24"/>
          <w:szCs w:val="24"/>
        </w:rPr>
        <w:tab/>
        <w:t xml:space="preserve">One respondent commented “This </w:t>
      </w:r>
      <w:r w:rsidRPr="0032506F">
        <w:rPr>
          <w:rFonts w:ascii="Times New Roman" w:eastAsia="Calibri" w:hAnsi="Times New Roman" w:cs="Times New Roman"/>
          <w:color w:val="000000"/>
          <w:sz w:val="24"/>
          <w:szCs w:val="24"/>
        </w:rPr>
        <w:tab/>
        <w:t>item revised with “if he/she</w:t>
      </w:r>
    </w:p>
    <w:p w14:paraId="532FA67B"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one is more ambiguous…because</w:t>
      </w:r>
      <w:r w:rsidRPr="0032506F">
        <w:rPr>
          <w:rFonts w:ascii="Times New Roman" w:eastAsia="Calibri" w:hAnsi="Times New Roman" w:cs="Times New Roman"/>
          <w:color w:val="000000"/>
          <w:sz w:val="24"/>
          <w:szCs w:val="24"/>
        </w:rPr>
        <w:tab/>
        <w:t>leaves a comment/question</w:t>
      </w:r>
    </w:p>
    <w:p w14:paraId="66129E17"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the instructor may not always be</w:t>
      </w:r>
      <w:r w:rsidRPr="0032506F">
        <w:rPr>
          <w:rFonts w:ascii="Times New Roman" w:eastAsia="Calibri" w:hAnsi="Times New Roman" w:cs="Times New Roman"/>
          <w:color w:val="000000"/>
          <w:sz w:val="24"/>
          <w:szCs w:val="24"/>
        </w:rPr>
        <w:tab/>
        <w:t>on my posts…”</w:t>
      </w:r>
    </w:p>
    <w:p w14:paraId="7347B749"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speaking to me directly…I only</w:t>
      </w:r>
    </w:p>
    <w:p w14:paraId="214F710B"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respond if it is relevant to me…I</w:t>
      </w:r>
    </w:p>
    <w:p w14:paraId="7FB080D8"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wouldn’t respond just for no </w:t>
      </w:r>
    </w:p>
    <w:p w14:paraId="314BD41B" w14:textId="77777777" w:rsidR="003F7AC0" w:rsidRPr="0032506F" w:rsidRDefault="003F7AC0" w:rsidP="003F7AC0">
      <w:pPr>
        <w:spacing w:after="0" w:line="240" w:lineRule="auto"/>
        <w:ind w:left="288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reason”</w:t>
      </w:r>
      <w:r w:rsidRPr="0032506F">
        <w:rPr>
          <w:rFonts w:ascii="Times New Roman" w:eastAsia="Calibri" w:hAnsi="Times New Roman" w:cs="Times New Roman"/>
          <w:color w:val="000000"/>
          <w:sz w:val="24"/>
          <w:szCs w:val="24"/>
        </w:rPr>
        <w:tab/>
      </w:r>
    </w:p>
    <w:p w14:paraId="4514F08B"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    </w:t>
      </w:r>
    </w:p>
    <w:p w14:paraId="4F5CCB14" w14:textId="77777777" w:rsidR="003F7AC0" w:rsidRPr="0032506F" w:rsidRDefault="003F7AC0" w:rsidP="003F7AC0">
      <w:pPr>
        <w:spacing w:after="0" w:line="240" w:lineRule="auto"/>
        <w:rPr>
          <w:rFonts w:ascii="Times New Roman" w:eastAsia="MS Mincho" w:hAnsi="Times New Roman" w:cs="Times New Roman"/>
          <w:color w:val="000000"/>
          <w:sz w:val="24"/>
          <w:szCs w:val="24"/>
        </w:rPr>
      </w:pPr>
      <w:r w:rsidRPr="0032506F">
        <w:rPr>
          <w:rFonts w:ascii="Times New Roman" w:eastAsia="Calibri" w:hAnsi="Times New Roman" w:cs="Times New Roman"/>
          <w:color w:val="000000"/>
          <w:sz w:val="24"/>
          <w:szCs w:val="24"/>
        </w:rPr>
        <w:t xml:space="preserve">   </w:t>
      </w:r>
      <w:r w:rsidRPr="0032506F">
        <w:rPr>
          <w:rFonts w:ascii="Times New Roman" w:eastAsia="Calibri" w:hAnsi="Times New Roman" w:cs="Times New Roman"/>
          <w:color w:val="000000"/>
          <w:sz w:val="24"/>
          <w:szCs w:val="24"/>
        </w:rPr>
        <w:tab/>
        <w:t>BE8</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The respondents made a distinction</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split into two</w:t>
      </w:r>
    </w:p>
    <w:p w14:paraId="35E79C27"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between “asking peers for help” and</w:t>
      </w:r>
      <w:r w:rsidRPr="0032506F">
        <w:rPr>
          <w:rFonts w:ascii="Times New Roman" w:eastAsia="Calibri" w:hAnsi="Times New Roman" w:cs="Times New Roman"/>
          <w:color w:val="000000"/>
          <w:sz w:val="24"/>
          <w:szCs w:val="24"/>
        </w:rPr>
        <w:tab/>
      </w:r>
    </w:p>
    <w:p w14:paraId="115E4E80"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w:t>
      </w:r>
      <w:proofErr w:type="gramStart"/>
      <w:r w:rsidRPr="0032506F">
        <w:rPr>
          <w:rFonts w:ascii="Times New Roman" w:eastAsia="Calibri" w:hAnsi="Times New Roman" w:cs="Times New Roman"/>
          <w:color w:val="000000"/>
          <w:sz w:val="24"/>
          <w:szCs w:val="24"/>
        </w:rPr>
        <w:t>asking</w:t>
      </w:r>
      <w:proofErr w:type="gramEnd"/>
      <w:r w:rsidRPr="0032506F">
        <w:rPr>
          <w:rFonts w:ascii="Times New Roman" w:eastAsia="Calibri" w:hAnsi="Times New Roman" w:cs="Times New Roman"/>
          <w:color w:val="000000"/>
          <w:sz w:val="24"/>
          <w:szCs w:val="24"/>
        </w:rPr>
        <w:t xml:space="preserve"> instructor for help” and </w:t>
      </w:r>
      <w:r w:rsidRPr="0032506F">
        <w:rPr>
          <w:rFonts w:ascii="Times New Roman" w:eastAsia="Calibri" w:hAnsi="Times New Roman" w:cs="Times New Roman"/>
          <w:color w:val="000000"/>
          <w:sz w:val="24"/>
          <w:szCs w:val="24"/>
        </w:rPr>
        <w:tab/>
      </w:r>
    </w:p>
    <w:p w14:paraId="69F63F2B"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interpreted these as two </w:t>
      </w:r>
      <w:proofErr w:type="gramStart"/>
      <w:r w:rsidRPr="0032506F">
        <w:rPr>
          <w:rFonts w:ascii="Times New Roman" w:eastAsia="Calibri" w:hAnsi="Times New Roman" w:cs="Times New Roman"/>
          <w:color w:val="000000"/>
          <w:sz w:val="24"/>
          <w:szCs w:val="24"/>
        </w:rPr>
        <w:t>separate</w:t>
      </w:r>
      <w:proofErr w:type="gramEnd"/>
    </w:p>
    <w:p w14:paraId="26E23714"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behaviors</w:t>
      </w:r>
    </w:p>
    <w:p w14:paraId="4F67C7AA"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5B63B6F2"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commented “I don’t</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revised with</w:t>
      </w:r>
    </w:p>
    <w:p w14:paraId="1B6E5B3A"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typically need assistance in my courses”</w:t>
      </w:r>
      <w:r w:rsidRPr="0032506F">
        <w:rPr>
          <w:rFonts w:ascii="Times New Roman" w:eastAsia="Calibri" w:hAnsi="Times New Roman" w:cs="Times New Roman"/>
          <w:color w:val="000000"/>
          <w:sz w:val="24"/>
          <w:szCs w:val="24"/>
        </w:rPr>
        <w:tab/>
        <w:t>“If I need it” to</w:t>
      </w:r>
    </w:p>
    <w:p w14:paraId="73AE7677"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and because of this selected “Seldom”</w:t>
      </w:r>
      <w:r w:rsidRPr="0032506F">
        <w:rPr>
          <w:rFonts w:ascii="Times New Roman" w:eastAsia="Calibri" w:hAnsi="Times New Roman" w:cs="Times New Roman"/>
          <w:color w:val="000000"/>
          <w:sz w:val="24"/>
          <w:szCs w:val="24"/>
        </w:rPr>
        <w:tab/>
        <w:t>clarify the target</w:t>
      </w:r>
      <w:r w:rsidRPr="0032506F">
        <w:rPr>
          <w:rFonts w:ascii="Times New Roman" w:eastAsia="Calibri" w:hAnsi="Times New Roman" w:cs="Times New Roman"/>
          <w:color w:val="000000"/>
          <w:sz w:val="24"/>
          <w:szCs w:val="24"/>
        </w:rPr>
        <w:tab/>
      </w:r>
    </w:p>
    <w:p w14:paraId="0703AE7E"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behavior to be rated</w:t>
      </w:r>
      <w:r w:rsidRPr="0032506F">
        <w:rPr>
          <w:rFonts w:ascii="Times New Roman" w:eastAsia="Calibri" w:hAnsi="Times New Roman" w:cs="Times New Roman"/>
          <w:color w:val="000000"/>
          <w:sz w:val="24"/>
          <w:szCs w:val="24"/>
        </w:rPr>
        <w:tab/>
      </w:r>
    </w:p>
    <w:p w14:paraId="3349C39C"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p>
    <w:p w14:paraId="2FE1F51D"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asked “what kind of</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parenthetical example</w:t>
      </w:r>
      <w:r w:rsidRPr="0032506F">
        <w:rPr>
          <w:rFonts w:ascii="Times New Roman" w:eastAsia="Calibri" w:hAnsi="Times New Roman" w:cs="Times New Roman"/>
          <w:color w:val="000000"/>
          <w:sz w:val="24"/>
          <w:szCs w:val="24"/>
        </w:rPr>
        <w:tab/>
      </w:r>
    </w:p>
    <w:p w14:paraId="0A853148"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help?”</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added </w:t>
      </w:r>
    </w:p>
    <w:p w14:paraId="32C03F2B"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14442E50" w14:textId="77777777" w:rsidR="003F7AC0" w:rsidRPr="0032506F" w:rsidRDefault="003F7AC0" w:rsidP="003F7AC0">
      <w:pPr>
        <w:spacing w:after="0" w:line="240" w:lineRule="auto"/>
        <w:ind w:firstLine="720"/>
        <w:rPr>
          <w:rFonts w:ascii="Times New Roman" w:eastAsia="Calibri" w:hAnsi="Times New Roman" w:cs="Times New Roman"/>
          <w:color w:val="000000"/>
          <w:sz w:val="24"/>
          <w:szCs w:val="24"/>
        </w:rPr>
      </w:pPr>
    </w:p>
    <w:p w14:paraId="16B176CD" w14:textId="77777777" w:rsidR="003F7AC0" w:rsidRPr="0032506F" w:rsidRDefault="003F7AC0" w:rsidP="003F7AC0">
      <w:pPr>
        <w:spacing w:after="0" w:line="24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BE10,16  CIQ2,4</w:t>
      </w:r>
      <w:r w:rsidRPr="0032506F">
        <w:rPr>
          <w:rFonts w:ascii="Times New Roman" w:eastAsia="Calibri" w:hAnsi="Times New Roman" w:cs="Times New Roman"/>
          <w:color w:val="000000"/>
          <w:sz w:val="24"/>
          <w:szCs w:val="24"/>
        </w:rPr>
        <w:tab/>
        <w:t>Two respondents interpreted “learning</w:t>
      </w:r>
      <w:r w:rsidRPr="0032506F">
        <w:rPr>
          <w:rFonts w:ascii="Times New Roman" w:eastAsia="Calibri" w:hAnsi="Times New Roman" w:cs="Times New Roman"/>
          <w:color w:val="000000"/>
          <w:sz w:val="24"/>
          <w:szCs w:val="24"/>
        </w:rPr>
        <w:tab/>
        <w:t>parenthetical</w:t>
      </w:r>
    </w:p>
    <w:p w14:paraId="312751BE"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Tasks” as “assignments” or “homework”</w:t>
      </w:r>
      <w:r w:rsidRPr="0032506F">
        <w:rPr>
          <w:rFonts w:ascii="Times New Roman" w:eastAsia="Calibri" w:hAnsi="Times New Roman" w:cs="Times New Roman"/>
          <w:color w:val="000000"/>
          <w:sz w:val="24"/>
          <w:szCs w:val="24"/>
        </w:rPr>
        <w:tab/>
        <w:t>examples added and</w:t>
      </w:r>
    </w:p>
    <w:p w14:paraId="4C77B380"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definitions provided </w:t>
      </w:r>
    </w:p>
    <w:p w14:paraId="272E084C"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in survey directions</w:t>
      </w:r>
    </w:p>
    <w:p w14:paraId="2C011A6F"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415FF176"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18BF0D3E"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746BC109" w14:textId="77777777" w:rsidR="003F7AC0" w:rsidRPr="0032506F" w:rsidRDefault="003F7AC0" w:rsidP="003F7AC0">
      <w:pPr>
        <w:spacing w:after="0" w:line="24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BE19</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commented</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revised with</w:t>
      </w:r>
      <w:r w:rsidRPr="0032506F">
        <w:rPr>
          <w:rFonts w:ascii="Times New Roman" w:eastAsia="Calibri" w:hAnsi="Times New Roman" w:cs="Times New Roman"/>
          <w:color w:val="000000"/>
          <w:sz w:val="24"/>
          <w:szCs w:val="24"/>
        </w:rPr>
        <w:tab/>
        <w:t xml:space="preserve">          </w:t>
      </w:r>
    </w:p>
    <w:p w14:paraId="64D97B57" w14:textId="77777777" w:rsidR="003F7AC0" w:rsidRPr="0032506F" w:rsidRDefault="003F7AC0" w:rsidP="003F7AC0">
      <w:pPr>
        <w:spacing w:after="0" w:line="240" w:lineRule="auto"/>
        <w:ind w:left="2160"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“Resources could mean different things     </w:t>
      </w:r>
      <w:r w:rsidRPr="0032506F">
        <w:rPr>
          <w:rFonts w:ascii="Times New Roman" w:eastAsia="Calibri" w:hAnsi="Times New Roman" w:cs="Times New Roman"/>
          <w:color w:val="000000"/>
          <w:sz w:val="24"/>
          <w:szCs w:val="24"/>
        </w:rPr>
        <w:tab/>
        <w:t xml:space="preserve">“additional </w:t>
      </w:r>
    </w:p>
    <w:p w14:paraId="065DA93A" w14:textId="77777777" w:rsidR="003F7AC0" w:rsidRPr="0032506F" w:rsidRDefault="003F7AC0" w:rsidP="003F7AC0">
      <w:pPr>
        <w:spacing w:after="0" w:line="240" w:lineRule="auto"/>
        <w:ind w:left="2160"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to different people”. Another respondent     </w:t>
      </w:r>
      <w:r w:rsidRPr="0032506F">
        <w:rPr>
          <w:rFonts w:ascii="Times New Roman" w:eastAsia="Calibri" w:hAnsi="Times New Roman" w:cs="Times New Roman"/>
          <w:color w:val="000000"/>
          <w:sz w:val="24"/>
          <w:szCs w:val="24"/>
        </w:rPr>
        <w:tab/>
        <w:t>knowledge resources”</w:t>
      </w:r>
    </w:p>
    <w:p w14:paraId="5231C9C5" w14:textId="77777777" w:rsidR="003F7AC0" w:rsidRPr="0032506F" w:rsidRDefault="003F7AC0" w:rsidP="003F7AC0">
      <w:pPr>
        <w:spacing w:after="0" w:line="240" w:lineRule="auto"/>
        <w:ind w:left="2160"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commented “It is just additional”. </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parenthetical </w:t>
      </w:r>
    </w:p>
    <w:p w14:paraId="5B16712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examples added.</w:t>
      </w:r>
    </w:p>
    <w:p w14:paraId="06FF6579"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0EE47BF2" w14:textId="77777777" w:rsidR="003F7AC0" w:rsidRPr="0032506F" w:rsidRDefault="003F7AC0" w:rsidP="003F7AC0">
      <w:pPr>
        <w:spacing w:after="0" w:line="24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EE8</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asked “how am I helping</w:t>
      </w:r>
      <w:r w:rsidRPr="0032506F">
        <w:rPr>
          <w:rFonts w:ascii="Times New Roman" w:eastAsia="Calibri" w:hAnsi="Times New Roman" w:cs="Times New Roman"/>
          <w:color w:val="000000"/>
          <w:sz w:val="24"/>
          <w:szCs w:val="24"/>
        </w:rPr>
        <w:tab/>
        <w:t>Item split into</w:t>
      </w:r>
    </w:p>
    <w:p w14:paraId="6E73B419"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them?” to contribute to peers’ learning.</w:t>
      </w:r>
      <w:r w:rsidRPr="0032506F">
        <w:rPr>
          <w:rFonts w:ascii="Times New Roman" w:eastAsia="Calibri" w:hAnsi="Times New Roman" w:cs="Times New Roman"/>
          <w:color w:val="000000"/>
          <w:sz w:val="24"/>
          <w:szCs w:val="24"/>
        </w:rPr>
        <w:tab/>
        <w:t>two as “answering</w:t>
      </w:r>
      <w:r w:rsidRPr="0032506F">
        <w:rPr>
          <w:rFonts w:ascii="Times New Roman" w:eastAsia="Calibri" w:hAnsi="Times New Roman" w:cs="Times New Roman"/>
          <w:color w:val="000000"/>
          <w:sz w:val="24"/>
          <w:szCs w:val="24"/>
        </w:rPr>
        <w:tab/>
      </w:r>
    </w:p>
    <w:p w14:paraId="67D12455"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The meaning of “contribute to peers’</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peers’ questions” and</w:t>
      </w:r>
    </w:p>
    <w:p w14:paraId="5D6BB77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learning” was not clear to the respondent.</w:t>
      </w:r>
      <w:r w:rsidRPr="0032506F">
        <w:rPr>
          <w:rFonts w:ascii="Times New Roman" w:eastAsia="Calibri" w:hAnsi="Times New Roman" w:cs="Times New Roman"/>
          <w:color w:val="000000"/>
          <w:sz w:val="24"/>
          <w:szCs w:val="24"/>
        </w:rPr>
        <w:tab/>
        <w:t>“</w:t>
      </w:r>
      <w:proofErr w:type="gramStart"/>
      <w:r w:rsidRPr="0032506F">
        <w:rPr>
          <w:rFonts w:ascii="Times New Roman" w:eastAsia="Calibri" w:hAnsi="Times New Roman" w:cs="Times New Roman"/>
          <w:color w:val="000000"/>
          <w:sz w:val="24"/>
          <w:szCs w:val="24"/>
        </w:rPr>
        <w:t>helping</w:t>
      </w:r>
      <w:proofErr w:type="gramEnd"/>
      <w:r w:rsidRPr="0032506F">
        <w:rPr>
          <w:rFonts w:ascii="Times New Roman" w:eastAsia="Calibri" w:hAnsi="Times New Roman" w:cs="Times New Roman"/>
          <w:color w:val="000000"/>
          <w:sz w:val="24"/>
          <w:szCs w:val="24"/>
        </w:rPr>
        <w:t xml:space="preserve"> peers’</w:t>
      </w:r>
    </w:p>
    <w:p w14:paraId="0869D089"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understanding with</w:t>
      </w:r>
      <w:r w:rsidRPr="0032506F">
        <w:rPr>
          <w:rFonts w:ascii="Times New Roman" w:eastAsia="Calibri" w:hAnsi="Times New Roman" w:cs="Times New Roman"/>
          <w:color w:val="000000"/>
          <w:sz w:val="24"/>
          <w:szCs w:val="24"/>
        </w:rPr>
        <w:tab/>
      </w:r>
    </w:p>
    <w:p w14:paraId="5E71C0C1"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answers or</w:t>
      </w:r>
    </w:p>
    <w:p w14:paraId="4CFC93AA"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explanations”.</w:t>
      </w:r>
    </w:p>
    <w:p w14:paraId="10B9BBA6"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40608F72" w14:textId="77777777" w:rsidR="003F7AC0" w:rsidRPr="0032506F" w:rsidRDefault="003F7AC0" w:rsidP="003F7AC0">
      <w:pPr>
        <w:spacing w:after="0" w:line="240" w:lineRule="auto"/>
        <w:ind w:firstLine="720"/>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EE16</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asked whether being</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No change. No</w:t>
      </w:r>
      <w:r w:rsidRPr="0032506F">
        <w:rPr>
          <w:rFonts w:ascii="Times New Roman" w:eastAsia="Calibri" w:hAnsi="Times New Roman" w:cs="Times New Roman"/>
          <w:color w:val="000000"/>
          <w:sz w:val="24"/>
          <w:szCs w:val="24"/>
        </w:rPr>
        <w:tab/>
      </w:r>
    </w:p>
    <w:p w14:paraId="536BCE79"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an online learner was being compared</w:t>
      </w:r>
      <w:r w:rsidRPr="0032506F">
        <w:rPr>
          <w:rFonts w:ascii="Times New Roman" w:eastAsia="Calibri" w:hAnsi="Times New Roman" w:cs="Times New Roman"/>
          <w:color w:val="000000"/>
          <w:sz w:val="24"/>
          <w:szCs w:val="24"/>
        </w:rPr>
        <w:tab/>
        <w:t>comparison was</w:t>
      </w:r>
    </w:p>
    <w:p w14:paraId="69DCCB6D"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against being an in-person learner</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intended by the item.</w:t>
      </w:r>
    </w:p>
    <w:p w14:paraId="5674FBC6"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60EBB956"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4E321359"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Two respondents interpreted the word</w:t>
      </w:r>
      <w:r w:rsidRPr="0032506F">
        <w:rPr>
          <w:rFonts w:ascii="Times New Roman" w:eastAsia="Calibri" w:hAnsi="Times New Roman" w:cs="Times New Roman"/>
          <w:color w:val="000000"/>
          <w:sz w:val="24"/>
          <w:szCs w:val="24"/>
        </w:rPr>
        <w:tab/>
        <w:t>“fun” was removed.</w:t>
      </w:r>
    </w:p>
    <w:p w14:paraId="721D27E1"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“fun” differently as “having laughter” or</w:t>
      </w:r>
      <w:r w:rsidRPr="0032506F">
        <w:rPr>
          <w:rFonts w:ascii="Times New Roman" w:eastAsia="Calibri" w:hAnsi="Times New Roman" w:cs="Times New Roman"/>
          <w:color w:val="000000"/>
          <w:sz w:val="24"/>
          <w:szCs w:val="24"/>
        </w:rPr>
        <w:tab/>
        <w:t>Item revised with</w:t>
      </w:r>
      <w:r w:rsidRPr="0032506F">
        <w:rPr>
          <w:rFonts w:ascii="Times New Roman" w:eastAsia="Calibri" w:hAnsi="Times New Roman" w:cs="Times New Roman"/>
          <w:color w:val="000000"/>
          <w:sz w:val="24"/>
          <w:szCs w:val="24"/>
        </w:rPr>
        <w:tab/>
      </w:r>
    </w:p>
    <w:p w14:paraId="638FC7D1"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w:t>
      </w:r>
      <w:proofErr w:type="gramStart"/>
      <w:r w:rsidRPr="0032506F">
        <w:rPr>
          <w:rFonts w:ascii="Times New Roman" w:eastAsia="Calibri" w:hAnsi="Times New Roman" w:cs="Times New Roman"/>
          <w:color w:val="000000"/>
          <w:sz w:val="24"/>
          <w:szCs w:val="24"/>
        </w:rPr>
        <w:t>having</w:t>
      </w:r>
      <w:proofErr w:type="gramEnd"/>
      <w:r w:rsidRPr="0032506F">
        <w:rPr>
          <w:rFonts w:ascii="Times New Roman" w:eastAsia="Calibri" w:hAnsi="Times New Roman" w:cs="Times New Roman"/>
          <w:color w:val="000000"/>
          <w:sz w:val="24"/>
          <w:szCs w:val="24"/>
        </w:rPr>
        <w:t xml:space="preserve"> fun while playing games etc.”</w:t>
      </w:r>
      <w:r w:rsidRPr="0032506F">
        <w:rPr>
          <w:rFonts w:ascii="Times New Roman" w:eastAsia="Calibri" w:hAnsi="Times New Roman" w:cs="Times New Roman"/>
          <w:color w:val="000000"/>
          <w:sz w:val="24"/>
          <w:szCs w:val="24"/>
        </w:rPr>
        <w:tab/>
        <w:t>“enjoyable”.</w:t>
      </w:r>
    </w:p>
    <w:p w14:paraId="1DF1781E"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5399CC8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4E48F2C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EE18</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commented “When I read</w:t>
      </w:r>
      <w:r w:rsidRPr="0032506F">
        <w:rPr>
          <w:rFonts w:ascii="Times New Roman" w:eastAsia="Calibri" w:hAnsi="Times New Roman" w:cs="Times New Roman"/>
          <w:color w:val="000000"/>
          <w:sz w:val="24"/>
          <w:szCs w:val="24"/>
        </w:rPr>
        <w:tab/>
        <w:t xml:space="preserve">No change. No </w:t>
      </w:r>
    </w:p>
    <w:p w14:paraId="5F97511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this, it almost makes me, like, compare it</w:t>
      </w:r>
      <w:r w:rsidRPr="0032506F">
        <w:rPr>
          <w:rFonts w:ascii="Times New Roman" w:eastAsia="Calibri" w:hAnsi="Times New Roman" w:cs="Times New Roman"/>
          <w:color w:val="000000"/>
          <w:sz w:val="24"/>
          <w:szCs w:val="24"/>
        </w:rPr>
        <w:tab/>
        <w:t>comparison was</w:t>
      </w:r>
    </w:p>
    <w:p w14:paraId="4B0E455B"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to an in-person course”</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intended at all.</w:t>
      </w:r>
    </w:p>
    <w:p w14:paraId="7D878CC5"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5430642A"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The same respondent interpreted the item</w:t>
      </w:r>
      <w:r w:rsidRPr="0032506F">
        <w:rPr>
          <w:rFonts w:ascii="Times New Roman" w:eastAsia="Calibri" w:hAnsi="Times New Roman" w:cs="Times New Roman"/>
          <w:color w:val="000000"/>
          <w:sz w:val="24"/>
          <w:szCs w:val="24"/>
        </w:rPr>
        <w:tab/>
        <w:t>item revised to</w:t>
      </w:r>
    </w:p>
    <w:p w14:paraId="5F7F902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as curiosity about instructors or </w:t>
      </w:r>
      <w:proofErr w:type="gramStart"/>
      <w:r w:rsidRPr="0032506F">
        <w:rPr>
          <w:rFonts w:ascii="Times New Roman" w:eastAsia="Calibri" w:hAnsi="Times New Roman" w:cs="Times New Roman"/>
          <w:color w:val="000000"/>
          <w:sz w:val="24"/>
          <w:szCs w:val="24"/>
        </w:rPr>
        <w:t>peers’</w:t>
      </w:r>
      <w:proofErr w:type="gramEnd"/>
      <w:r w:rsidRPr="0032506F">
        <w:rPr>
          <w:rFonts w:ascii="Times New Roman" w:eastAsia="Calibri" w:hAnsi="Times New Roman" w:cs="Times New Roman"/>
          <w:color w:val="000000"/>
          <w:sz w:val="24"/>
          <w:szCs w:val="24"/>
        </w:rPr>
        <w:tab/>
        <w:t>clarify curiosity</w:t>
      </w:r>
    </w:p>
    <w:p w14:paraId="3BCADDE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human qualities</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as learning more</w:t>
      </w:r>
      <w:r w:rsidRPr="0032506F">
        <w:rPr>
          <w:rFonts w:ascii="Times New Roman" w:eastAsia="Calibri" w:hAnsi="Times New Roman" w:cs="Times New Roman"/>
          <w:color w:val="000000"/>
          <w:sz w:val="24"/>
          <w:szCs w:val="24"/>
        </w:rPr>
        <w:tab/>
      </w:r>
    </w:p>
    <w:p w14:paraId="70B07CD3"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about the content</w:t>
      </w:r>
    </w:p>
    <w:p w14:paraId="3DB19F8A"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624258C2"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2653EC56"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EE20,21</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Three respondents asked what was meant </w:t>
      </w:r>
      <w:r w:rsidRPr="0032506F">
        <w:rPr>
          <w:rFonts w:ascii="Times New Roman" w:eastAsia="Calibri" w:hAnsi="Times New Roman" w:cs="Times New Roman"/>
          <w:color w:val="000000"/>
          <w:sz w:val="24"/>
          <w:szCs w:val="24"/>
        </w:rPr>
        <w:tab/>
        <w:t>items revised with</w:t>
      </w:r>
    </w:p>
    <w:p w14:paraId="7C9E5B42"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by the phrase “feel hopeful” and needed </w:t>
      </w:r>
      <w:r w:rsidRPr="0032506F">
        <w:rPr>
          <w:rFonts w:ascii="Times New Roman" w:eastAsia="Calibri" w:hAnsi="Times New Roman" w:cs="Times New Roman"/>
          <w:color w:val="000000"/>
          <w:sz w:val="24"/>
          <w:szCs w:val="24"/>
        </w:rPr>
        <w:tab/>
        <w:t>“have great hope that”</w:t>
      </w:r>
    </w:p>
    <w:p w14:paraId="621FDFC5"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clarifications to understand the items</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 Two new items</w:t>
      </w:r>
    </w:p>
    <w:p w14:paraId="7BD87EE0"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written up with</w:t>
      </w:r>
    </w:p>
    <w:p w14:paraId="3B88504F"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“am/feel quite</w:t>
      </w:r>
    </w:p>
    <w:p w14:paraId="777DC721"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optimistic about”</w:t>
      </w:r>
      <w:r w:rsidRPr="0032506F">
        <w:rPr>
          <w:rFonts w:ascii="Times New Roman" w:eastAsia="Calibri" w:hAnsi="Times New Roman" w:cs="Times New Roman"/>
          <w:color w:val="000000"/>
          <w:sz w:val="24"/>
          <w:szCs w:val="24"/>
        </w:rPr>
        <w:tab/>
      </w:r>
    </w:p>
    <w:p w14:paraId="2F4D346D"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3FE101C1"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CE1</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All four respondents asked if the item</w:t>
      </w:r>
      <w:r w:rsidRPr="0032506F">
        <w:rPr>
          <w:rFonts w:ascii="Times New Roman" w:eastAsia="Calibri" w:hAnsi="Times New Roman" w:cs="Times New Roman"/>
          <w:color w:val="000000"/>
          <w:sz w:val="24"/>
          <w:szCs w:val="24"/>
        </w:rPr>
        <w:tab/>
        <w:t>item revised with</w:t>
      </w:r>
    </w:p>
    <w:p w14:paraId="360D1FE2"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was about composing initial or reply </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“while replying to</w:t>
      </w:r>
    </w:p>
    <w:p w14:paraId="308CE19E"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posts, saying most students cannot see</w:t>
      </w:r>
      <w:r w:rsidRPr="0032506F">
        <w:rPr>
          <w:rFonts w:ascii="Times New Roman" w:eastAsia="Calibri" w:hAnsi="Times New Roman" w:cs="Times New Roman"/>
          <w:color w:val="000000"/>
          <w:sz w:val="24"/>
          <w:szCs w:val="24"/>
        </w:rPr>
        <w:tab/>
        <w:t>their posts”</w:t>
      </w:r>
      <w:r w:rsidRPr="0032506F">
        <w:rPr>
          <w:rFonts w:ascii="Times New Roman" w:eastAsia="Calibri" w:hAnsi="Times New Roman" w:cs="Times New Roman"/>
          <w:color w:val="000000"/>
          <w:sz w:val="24"/>
          <w:szCs w:val="24"/>
        </w:rPr>
        <w:tab/>
      </w:r>
    </w:p>
    <w:p w14:paraId="27B82CF0"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lastRenderedPageBreak/>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peers’ posts before initial postings. </w:t>
      </w:r>
    </w:p>
    <w:p w14:paraId="5FA0B20D"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32DB85C6"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CE3</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asked “why would I</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revised with</w:t>
      </w:r>
    </w:p>
    <w:p w14:paraId="2AA7C9B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reflect on others’ posts?”. The intended</w:t>
      </w:r>
      <w:r w:rsidRPr="0032506F">
        <w:rPr>
          <w:rFonts w:ascii="Times New Roman" w:eastAsia="Calibri" w:hAnsi="Times New Roman" w:cs="Times New Roman"/>
          <w:color w:val="000000"/>
          <w:sz w:val="24"/>
          <w:szCs w:val="24"/>
        </w:rPr>
        <w:tab/>
        <w:t>“reflect on my peers’</w:t>
      </w:r>
    </w:p>
    <w:p w14:paraId="01F2EBBF"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meaning was unclear to the respondent.</w:t>
      </w:r>
      <w:r w:rsidRPr="0032506F">
        <w:rPr>
          <w:rFonts w:ascii="Times New Roman" w:eastAsia="Calibri" w:hAnsi="Times New Roman" w:cs="Times New Roman"/>
          <w:color w:val="000000"/>
          <w:sz w:val="24"/>
          <w:szCs w:val="24"/>
        </w:rPr>
        <w:tab/>
        <w:t xml:space="preserve">responses to </w:t>
      </w:r>
      <w:proofErr w:type="gramStart"/>
      <w:r w:rsidRPr="0032506F">
        <w:rPr>
          <w:rFonts w:ascii="Times New Roman" w:eastAsia="Calibri" w:hAnsi="Times New Roman" w:cs="Times New Roman"/>
          <w:color w:val="000000"/>
          <w:sz w:val="24"/>
          <w:szCs w:val="24"/>
        </w:rPr>
        <w:t>my</w:t>
      </w:r>
      <w:proofErr w:type="gramEnd"/>
    </w:p>
    <w:p w14:paraId="5F4AA593"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posts”</w:t>
      </w:r>
    </w:p>
    <w:p w14:paraId="4DBED22B"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2C919D5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CE4</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The item’s context of “attempting to</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revised with</w:t>
      </w:r>
    </w:p>
    <w:p w14:paraId="694D73F5"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explain my point of view” was unclear</w:t>
      </w:r>
      <w:r w:rsidRPr="0032506F">
        <w:rPr>
          <w:rFonts w:ascii="Times New Roman" w:eastAsia="Calibri" w:hAnsi="Times New Roman" w:cs="Times New Roman"/>
          <w:color w:val="000000"/>
          <w:sz w:val="24"/>
          <w:szCs w:val="24"/>
        </w:rPr>
        <w:tab/>
        <w:t>“attempting to</w:t>
      </w:r>
    </w:p>
    <w:p w14:paraId="5B66730A"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to the respondent.</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respond to a peer’s</w:t>
      </w:r>
    </w:p>
    <w:p w14:paraId="04583C33"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post” to clarify the</w:t>
      </w:r>
    </w:p>
    <w:p w14:paraId="480A23C7"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item context</w:t>
      </w:r>
    </w:p>
    <w:p w14:paraId="480B6C6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794B50F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CE8</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misinterpreted “personal</w:t>
      </w:r>
      <w:r w:rsidRPr="0032506F">
        <w:rPr>
          <w:rFonts w:ascii="Times New Roman" w:eastAsia="Calibri" w:hAnsi="Times New Roman" w:cs="Times New Roman"/>
          <w:color w:val="000000"/>
          <w:sz w:val="24"/>
          <w:szCs w:val="24"/>
        </w:rPr>
        <w:tab/>
        <w:t>“personal” was</w:t>
      </w:r>
    </w:p>
    <w:p w14:paraId="596EC703"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experiences” as “personal or private life”</w:t>
      </w:r>
      <w:r w:rsidRPr="0032506F">
        <w:rPr>
          <w:rFonts w:ascii="Times New Roman" w:eastAsia="Calibri" w:hAnsi="Times New Roman" w:cs="Times New Roman"/>
          <w:color w:val="000000"/>
          <w:sz w:val="24"/>
          <w:szCs w:val="24"/>
        </w:rPr>
        <w:tab/>
        <w:t>replaced with “own”</w:t>
      </w:r>
    </w:p>
    <w:p w14:paraId="09D5947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p>
    <w:p w14:paraId="61AE1D1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6F9E85C5"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CE11</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Two respondents interpreted “I question</w:t>
      </w:r>
      <w:r w:rsidRPr="0032506F">
        <w:rPr>
          <w:rFonts w:ascii="Times New Roman" w:eastAsia="Calibri" w:hAnsi="Times New Roman" w:cs="Times New Roman"/>
          <w:color w:val="000000"/>
          <w:sz w:val="24"/>
          <w:szCs w:val="24"/>
        </w:rPr>
        <w:tab/>
        <w:t>item revised with “ask</w:t>
      </w:r>
    </w:p>
    <w:p w14:paraId="2F7EB9EC"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my understanding” as “doubting myself”</w:t>
      </w:r>
      <w:r w:rsidRPr="0032506F">
        <w:rPr>
          <w:rFonts w:ascii="Times New Roman" w:eastAsia="Calibri" w:hAnsi="Times New Roman" w:cs="Times New Roman"/>
          <w:color w:val="000000"/>
          <w:sz w:val="24"/>
          <w:szCs w:val="24"/>
        </w:rPr>
        <w:tab/>
        <w:t>myself questions</w:t>
      </w:r>
    </w:p>
    <w:p w14:paraId="2BAF672E"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 xml:space="preserve">about my own </w:t>
      </w:r>
    </w:p>
    <w:p w14:paraId="03161E6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understanding”</w:t>
      </w:r>
    </w:p>
    <w:p w14:paraId="02988B2B"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311FA3E0"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CE12</w:t>
      </w:r>
      <w:r w:rsidRPr="0032506F">
        <w:rPr>
          <w:rFonts w:ascii="Times New Roman" w:eastAsia="Calibri" w:hAnsi="Times New Roman" w:cs="Times New Roman"/>
          <w:color w:val="000000"/>
          <w:sz w:val="24"/>
          <w:szCs w:val="24"/>
        </w:rPr>
        <w:tab/>
        <w:t>CIQ2,4</w:t>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One respondent misinterpreted “express</w:t>
      </w:r>
      <w:r w:rsidRPr="0032506F">
        <w:rPr>
          <w:rFonts w:ascii="Times New Roman" w:eastAsia="Calibri" w:hAnsi="Times New Roman" w:cs="Times New Roman"/>
          <w:color w:val="000000"/>
          <w:sz w:val="24"/>
          <w:szCs w:val="24"/>
        </w:rPr>
        <w:tab/>
        <w:t>item revised with</w:t>
      </w:r>
      <w:r w:rsidRPr="0032506F">
        <w:rPr>
          <w:rFonts w:ascii="Times New Roman" w:eastAsia="Calibri" w:hAnsi="Times New Roman" w:cs="Times New Roman"/>
          <w:color w:val="000000"/>
          <w:sz w:val="24"/>
          <w:szCs w:val="24"/>
        </w:rPr>
        <w:tab/>
      </w:r>
    </w:p>
    <w:p w14:paraId="25DE9C24"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Myself” as “expressing one’s personality”</w:t>
      </w:r>
      <w:r w:rsidRPr="0032506F">
        <w:rPr>
          <w:rFonts w:ascii="Times New Roman" w:eastAsia="Calibri" w:hAnsi="Times New Roman" w:cs="Times New Roman"/>
          <w:color w:val="000000"/>
          <w:sz w:val="24"/>
          <w:szCs w:val="24"/>
        </w:rPr>
        <w:tab/>
        <w:t>“express what I want</w:t>
      </w:r>
    </w:p>
    <w:p w14:paraId="6818E61F"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r>
      <w:r w:rsidRPr="0032506F">
        <w:rPr>
          <w:rFonts w:ascii="Times New Roman" w:eastAsia="Calibri" w:hAnsi="Times New Roman" w:cs="Times New Roman"/>
          <w:color w:val="000000"/>
          <w:sz w:val="24"/>
          <w:szCs w:val="24"/>
        </w:rPr>
        <w:tab/>
        <w:t>to say”</w:t>
      </w:r>
    </w:p>
    <w:p w14:paraId="1E411352" w14:textId="77777777" w:rsidR="003F7AC0" w:rsidRPr="0032506F" w:rsidRDefault="003F7AC0" w:rsidP="003F7AC0">
      <w:pPr>
        <w:spacing w:after="0" w:line="240" w:lineRule="auto"/>
        <w:ind w:firstLine="432"/>
        <w:rPr>
          <w:rFonts w:ascii="Times New Roman" w:eastAsia="Calibri" w:hAnsi="Times New Roman" w:cs="Times New Roman"/>
          <w:color w:val="000000"/>
          <w:sz w:val="24"/>
          <w:szCs w:val="24"/>
        </w:rPr>
      </w:pPr>
    </w:p>
    <w:p w14:paraId="418F0562" w14:textId="77777777" w:rsidR="003F7AC0" w:rsidRPr="0032506F" w:rsidRDefault="003F7AC0" w:rsidP="003F7AC0">
      <w:pPr>
        <w:pBdr>
          <w:top w:val="single" w:sz="4" w:space="1" w:color="auto"/>
        </w:pBdr>
        <w:spacing w:after="0" w:line="240" w:lineRule="auto"/>
        <w:ind w:left="720"/>
        <w:contextualSpacing/>
        <w:rPr>
          <w:rFonts w:ascii="Times New Roman" w:eastAsia="MS Mincho" w:hAnsi="Times New Roman" w:cs="Times New Roman"/>
          <w:bCs/>
          <w:color w:val="000000"/>
          <w:sz w:val="24"/>
          <w:szCs w:val="24"/>
        </w:rPr>
      </w:pPr>
      <w:r w:rsidRPr="0032506F">
        <w:rPr>
          <w:rFonts w:ascii="Times New Roman" w:eastAsia="MS Mincho" w:hAnsi="Times New Roman" w:cs="Times New Roman"/>
          <w:color w:val="000000"/>
          <w:sz w:val="24"/>
          <w:szCs w:val="24"/>
        </w:rPr>
        <w:t>CIQ=Cognitive Interview Question. CIQ-1=</w:t>
      </w:r>
      <w:r w:rsidRPr="0032506F">
        <w:rPr>
          <w:rFonts w:ascii="Times New Roman" w:eastAsia="MS Mincho" w:hAnsi="Times New Roman" w:cs="Times New Roman"/>
          <w:bCs/>
          <w:color w:val="000000"/>
          <w:sz w:val="24"/>
          <w:szCs w:val="24"/>
        </w:rPr>
        <w:t>Do you think the survey instructions are clear and easy to understand? CIQ-2=What do you think this item is asking you about? Please explain. CIQ-3= Why did you choose the response you chose over the other response options? Please explain. CIQ4-= Do you think the item needs to be re-worded for clarity? If yes, how would you re-word it? CIQ-5 How relevant do you think this item is to you as an online student? Please explain. *See Appendix I for items submitted to pilot cognitive testing.</w:t>
      </w:r>
    </w:p>
    <w:p w14:paraId="26CE5D37"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55DACDF0"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461B4A8D"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2007DF50"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690EBC9A"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75665727"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722A72FE"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618A75FA"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17DCF3D4"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1282D719"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40828DB5"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6B83385C"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241618EF" w14:textId="77777777" w:rsidR="003F7AC0" w:rsidRPr="0032506F" w:rsidRDefault="003F7AC0" w:rsidP="003F7AC0">
      <w:pPr>
        <w:spacing w:after="0" w:line="240" w:lineRule="auto"/>
        <w:contextualSpacing/>
        <w:rPr>
          <w:rFonts w:ascii="Times New Roman" w:eastAsia="MS Mincho" w:hAnsi="Times New Roman" w:cs="Times New Roman"/>
          <w:color w:val="000000"/>
          <w:sz w:val="24"/>
          <w:szCs w:val="24"/>
        </w:rPr>
      </w:pPr>
    </w:p>
    <w:p w14:paraId="045D9B78" w14:textId="15D2ADD5" w:rsidR="003F7AC0" w:rsidRPr="0032506F" w:rsidRDefault="003F7AC0" w:rsidP="00286737">
      <w:pPr>
        <w:pStyle w:val="Heading2"/>
      </w:pPr>
      <w:bookmarkStart w:id="179" w:name="_Appendix_M_Revised"/>
      <w:bookmarkStart w:id="180" w:name="_Appendix_M_Final"/>
      <w:bookmarkStart w:id="181" w:name="_Appendix_E_Final"/>
      <w:bookmarkStart w:id="182" w:name="_Toc102489483"/>
      <w:bookmarkEnd w:id="179"/>
      <w:bookmarkEnd w:id="180"/>
      <w:bookmarkEnd w:id="181"/>
      <w:r w:rsidRPr="0032506F">
        <w:lastRenderedPageBreak/>
        <w:t xml:space="preserve">Appendix </w:t>
      </w:r>
      <w:r w:rsidR="00CA05E2">
        <w:t>E</w:t>
      </w:r>
      <w:r w:rsidR="00286737" w:rsidRPr="0032506F">
        <w:t xml:space="preserve"> </w:t>
      </w:r>
      <w:r w:rsidR="002F5557" w:rsidRPr="0032506F">
        <w:t>F</w:t>
      </w:r>
      <w:r w:rsidR="004259E7" w:rsidRPr="0032506F">
        <w:t>inal List</w:t>
      </w:r>
      <w:r w:rsidRPr="0032506F">
        <w:t xml:space="preserve"> of</w:t>
      </w:r>
      <w:r w:rsidR="004259E7" w:rsidRPr="0032506F">
        <w:t xml:space="preserve"> </w:t>
      </w:r>
      <w:r w:rsidR="00B95DDC" w:rsidRPr="0032506F">
        <w:t xml:space="preserve">66 </w:t>
      </w:r>
      <w:r w:rsidR="004259E7" w:rsidRPr="0032506F">
        <w:t>OEHE</w:t>
      </w:r>
      <w:r w:rsidRPr="0032506F">
        <w:t xml:space="preserve"> Items </w:t>
      </w:r>
      <w:r w:rsidR="004259E7" w:rsidRPr="0032506F">
        <w:t>Used for Large-Group Data Collection</w:t>
      </w:r>
      <w:bookmarkEnd w:id="182"/>
      <w:r w:rsidR="004259E7" w:rsidRPr="0032506F">
        <w:t xml:space="preserve"> </w:t>
      </w: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259E7" w:rsidRPr="0032506F" w14:paraId="007732E4" w14:textId="77777777" w:rsidTr="00F37954">
        <w:tc>
          <w:tcPr>
            <w:tcW w:w="9350" w:type="dxa"/>
            <w:tcBorders>
              <w:top w:val="single" w:sz="8" w:space="0" w:color="auto"/>
              <w:bottom w:val="single" w:sz="8" w:space="0" w:color="auto"/>
            </w:tcBorders>
          </w:tcPr>
          <w:p w14:paraId="4A141BB1" w14:textId="77777777" w:rsidR="004259E7" w:rsidRPr="0032506F" w:rsidRDefault="004259E7" w:rsidP="004259E7">
            <w:pPr>
              <w:spacing w:after="200" w:line="259" w:lineRule="auto"/>
              <w:contextualSpacing/>
              <w:rPr>
                <w:rFonts w:ascii="Times New Roman" w:eastAsia="Calibri" w:hAnsi="Times New Roman" w:cs="Times New Roman"/>
                <w:bCs/>
                <w:i/>
                <w:iCs/>
                <w:color w:val="000000"/>
                <w:sz w:val="24"/>
                <w:szCs w:val="24"/>
              </w:rPr>
            </w:pPr>
            <w:r w:rsidRPr="0032506F">
              <w:rPr>
                <w:rFonts w:ascii="Times New Roman" w:eastAsia="Calibri" w:hAnsi="Times New Roman" w:cs="Times New Roman"/>
                <w:bCs/>
                <w:i/>
                <w:iCs/>
                <w:color w:val="000000"/>
                <w:sz w:val="24"/>
                <w:szCs w:val="24"/>
              </w:rPr>
              <w:t>Online Behavioral Engagement Items</w:t>
            </w:r>
          </w:p>
        </w:tc>
      </w:tr>
      <w:tr w:rsidR="004259E7" w:rsidRPr="0032506F" w14:paraId="41065AAF" w14:textId="77777777" w:rsidTr="00F37954">
        <w:tc>
          <w:tcPr>
            <w:tcW w:w="9350" w:type="dxa"/>
            <w:tcBorders>
              <w:top w:val="single" w:sz="8" w:space="0" w:color="auto"/>
              <w:bottom w:val="single" w:sz="8" w:space="0" w:color="auto"/>
            </w:tcBorders>
          </w:tcPr>
          <w:p w14:paraId="77E80348"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post to the discussion board for each discussion in this online course.</w:t>
            </w:r>
          </w:p>
          <w:p w14:paraId="1AD2D2AD"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read my instructor’s comment/question posts in online discussions on the discussion board.</w:t>
            </w:r>
          </w:p>
          <w:p w14:paraId="24E8FD0F"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read my peers’ posts during online discussions on the discussion board.</w:t>
            </w:r>
          </w:p>
          <w:p w14:paraId="1940E37F"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respond to the instructor when he/she leaves a comment/question on my posts during online discussions on the discussion board.</w:t>
            </w:r>
          </w:p>
          <w:p w14:paraId="696437B5"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respond to my peers’ posts during online discussions on the discussion board.</w:t>
            </w:r>
          </w:p>
          <w:p w14:paraId="44B9F9EA"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participate in content-related dialogues with the course instructor when he/she leaves a comment/question on my posts during online discussions on the discussion board.</w:t>
            </w:r>
          </w:p>
          <w:p w14:paraId="2DB553B6"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participate in content-related dialogues with my peers during online discussions on the discussion board.</w:t>
            </w:r>
          </w:p>
          <w:p w14:paraId="20592E75"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ask my peers for help (e.g., clarification about an assignment) when I need it in this online course.</w:t>
            </w:r>
          </w:p>
          <w:p w14:paraId="185800F8"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ask my instructor for help (e.g., clarification about an assignment) when I need it in this online course.</w:t>
            </w:r>
          </w:p>
          <w:p w14:paraId="0329E1FF"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study the learning materials (e.g., readings, slides, lecture videos) of this online course.</w:t>
            </w:r>
          </w:p>
          <w:p w14:paraId="78CF9414"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complete the learning tasks (e.g., doing the readings, watching the lecture videos, listening to the podcasts) of this online course.</w:t>
            </w:r>
          </w:p>
          <w:p w14:paraId="4E70B60F"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complete the assignments (e.g., tests, papers, projects) of this online course.</w:t>
            </w:r>
          </w:p>
          <w:p w14:paraId="5505327E"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submit the assignments by their due dates in this online course.</w:t>
            </w:r>
          </w:p>
          <w:p w14:paraId="436EEBD5"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read the feedback that I receive in this online course.</w:t>
            </w:r>
          </w:p>
          <w:p w14:paraId="115A1EFA"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incorporate the feedback that I get into my future work (e.g., next assignment) in this online course.</w:t>
            </w:r>
          </w:p>
          <w:p w14:paraId="49631311"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visit the online course site (e.g., Canvas, Blackboard) to check for possible course updates (e.g., new file uploads, announcements). </w:t>
            </w:r>
          </w:p>
          <w:p w14:paraId="78DF607E"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participate in the learning activities (e.g., discussion board activities, group presentations, case studies) of this online course.</w:t>
            </w:r>
          </w:p>
          <w:p w14:paraId="2C85C280" w14:textId="77777777" w:rsidR="004259E7" w:rsidRPr="0032506F" w:rsidRDefault="004259E7" w:rsidP="004259E7">
            <w:pPr>
              <w:numPr>
                <w:ilvl w:val="0"/>
                <w:numId w:val="33"/>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miss the assignment deadlines in this online course. (R)</w:t>
            </w:r>
          </w:p>
          <w:p w14:paraId="228384BD" w14:textId="77777777" w:rsidR="004259E7" w:rsidRPr="0032506F" w:rsidRDefault="004259E7" w:rsidP="004259E7">
            <w:pPr>
              <w:numPr>
                <w:ilvl w:val="0"/>
                <w:numId w:val="33"/>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I take notes while reviewing the learning materials (e.g., while reading a text, while watching a lecture video) of this online course. </w:t>
            </w:r>
          </w:p>
          <w:p w14:paraId="2A881124" w14:textId="77777777" w:rsidR="004259E7" w:rsidRPr="0032506F" w:rsidRDefault="004259E7" w:rsidP="004259E7">
            <w:pPr>
              <w:numPr>
                <w:ilvl w:val="0"/>
                <w:numId w:val="33"/>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I share additional knowledge resources (e.g., an interesting article, a useful YouTube video) with my peers in this online course.</w:t>
            </w:r>
          </w:p>
        </w:tc>
      </w:tr>
      <w:tr w:rsidR="004259E7" w:rsidRPr="0032506F" w14:paraId="299DA489" w14:textId="77777777" w:rsidTr="00F37954">
        <w:tc>
          <w:tcPr>
            <w:tcW w:w="9350" w:type="dxa"/>
            <w:tcBorders>
              <w:top w:val="single" w:sz="8" w:space="0" w:color="auto"/>
              <w:bottom w:val="single" w:sz="8" w:space="0" w:color="auto"/>
            </w:tcBorders>
          </w:tcPr>
          <w:p w14:paraId="2BD1C5CA" w14:textId="77777777" w:rsidR="004259E7" w:rsidRPr="0032506F" w:rsidRDefault="004259E7" w:rsidP="004259E7">
            <w:pPr>
              <w:spacing w:after="200" w:line="259" w:lineRule="auto"/>
              <w:ind w:left="517"/>
              <w:contextualSpacing/>
              <w:rPr>
                <w:rFonts w:ascii="Times New Roman" w:eastAsia="Calibri" w:hAnsi="Times New Roman" w:cs="Times New Roman"/>
                <w:bCs/>
                <w:i/>
                <w:iCs/>
                <w:color w:val="000000"/>
                <w:sz w:val="24"/>
                <w:szCs w:val="24"/>
              </w:rPr>
            </w:pPr>
            <w:r w:rsidRPr="0032506F">
              <w:rPr>
                <w:rFonts w:ascii="Times New Roman" w:eastAsia="Calibri" w:hAnsi="Times New Roman" w:cs="Times New Roman"/>
                <w:bCs/>
                <w:i/>
                <w:iCs/>
                <w:color w:val="000000"/>
                <w:sz w:val="24"/>
                <w:szCs w:val="24"/>
              </w:rPr>
              <w:t>Online Emotional Engagement Items</w:t>
            </w:r>
          </w:p>
        </w:tc>
      </w:tr>
      <w:tr w:rsidR="004259E7" w:rsidRPr="0032506F" w14:paraId="36CFB2E7" w14:textId="77777777" w:rsidTr="00F37954">
        <w:tc>
          <w:tcPr>
            <w:tcW w:w="9350" w:type="dxa"/>
            <w:tcBorders>
              <w:top w:val="single" w:sz="8" w:space="0" w:color="auto"/>
              <w:bottom w:val="single" w:sz="8" w:space="0" w:color="auto"/>
            </w:tcBorders>
          </w:tcPr>
          <w:p w14:paraId="1FBDE08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discussing course concepts/issues/ideas with my peers during online discussions on the discussion board.</w:t>
            </w:r>
          </w:p>
          <w:p w14:paraId="525C77AF"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Reading my peers' posts during online discussions on the discussion board is enjoyable to me.</w:t>
            </w:r>
          </w:p>
          <w:p w14:paraId="40685515"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reading the instructor’s comment/question posts in online discussions on the discussion board.</w:t>
            </w:r>
          </w:p>
          <w:p w14:paraId="7D94DEAB"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lastRenderedPageBreak/>
              <w:t>I am curious about the instructor's perspectives/opinions in online discussions on the discussion board.</w:t>
            </w:r>
          </w:p>
          <w:p w14:paraId="532F305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contributing to the development of peer dialogues in online discussions on the discussion board.</w:t>
            </w:r>
          </w:p>
          <w:p w14:paraId="545F75D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feel curious about my peers' perspectives/experiences in each online discussion on the discussion board.</w:t>
            </w:r>
          </w:p>
          <w:p w14:paraId="6D3998D1"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sharing my responses to the instructor's discussion prompts/discussion questions during online discussions on the discussion board.</w:t>
            </w:r>
          </w:p>
          <w:p w14:paraId="55A87B97"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sharing my perspectives/experiences with my peers during online discussions on the discussion board.</w:t>
            </w:r>
          </w:p>
          <w:p w14:paraId="3B9A3ED3"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am curious about further exploring the concepts/issues/ideas in this online course.</w:t>
            </w:r>
          </w:p>
          <w:p w14:paraId="2768FED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would like to find out more about the concepts/issues/ideas being taught in this online course.</w:t>
            </w:r>
          </w:p>
          <w:p w14:paraId="020658C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feel proud of myself when I can answer my peers' questions during online discussions on the discussion board.</w:t>
            </w:r>
          </w:p>
          <w:p w14:paraId="48897542"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am proud of myself when I can help my peers' understanding with my answers/explanations during online discussions on the discussion board.</w:t>
            </w:r>
          </w:p>
          <w:p w14:paraId="5C643513"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am proud of myself when I can contribute to the peer dialogues with my own perspectives/experiences/solutions during online discussions on the discussion board.</w:t>
            </w:r>
          </w:p>
          <w:p w14:paraId="0B55116B"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studying the learning materials (e.g., readings, slides) of this online course.</w:t>
            </w:r>
          </w:p>
          <w:p w14:paraId="5989DE7B"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enjoy completing the learning tasks (e.g., reading a text, watching a lecture video) of this online course.</w:t>
            </w:r>
          </w:p>
          <w:p w14:paraId="1928FFC2"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like getting feedback about my work in this online course.</w:t>
            </w:r>
          </w:p>
          <w:p w14:paraId="54E87E9B"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like completing the assignments (e.g., doing a test, writing an essay) of this online course.</w:t>
            </w:r>
          </w:p>
          <w:p w14:paraId="764DE4EF"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like participating in the learning activities (e.g., pair work, small group discussions, online debates) of this online course.</w:t>
            </w:r>
          </w:p>
          <w:p w14:paraId="2554A2DB"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feel curious to learn more about the content in this online course.</w:t>
            </w:r>
          </w:p>
          <w:p w14:paraId="3AF8731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Overall, taking this online course has been an enjoyable learning experience to me.</w:t>
            </w:r>
          </w:p>
          <w:p w14:paraId="68650B48"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Overall, taking this online course has not been enjoyable to me. (R)</w:t>
            </w:r>
          </w:p>
          <w:p w14:paraId="076EAAA4"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feel curious about acquiring further information about the content in this online course.</w:t>
            </w:r>
          </w:p>
          <w:p w14:paraId="3B95151E"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feel proud of myself when I get positive feedback about my work in this online course.</w:t>
            </w:r>
          </w:p>
          <w:p w14:paraId="6157FAEF"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Overall, I have confidence that I will be academically successful in this online course.</w:t>
            </w:r>
          </w:p>
          <w:p w14:paraId="07429744" w14:textId="77777777" w:rsidR="004259E7" w:rsidRPr="0032506F" w:rsidRDefault="004259E7" w:rsidP="004259E7">
            <w:pPr>
              <w:numPr>
                <w:ilvl w:val="0"/>
                <w:numId w:val="34"/>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Overall, I have confidence that I will be able to improve my knowledge and/or skills in this online course.</w:t>
            </w:r>
          </w:p>
          <w:p w14:paraId="20B1C985" w14:textId="77777777" w:rsidR="004259E7" w:rsidRPr="0032506F" w:rsidRDefault="004259E7" w:rsidP="004259E7">
            <w:pPr>
              <w:numPr>
                <w:ilvl w:val="0"/>
                <w:numId w:val="34"/>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Overall, I am optimistic about my academic success in this online course.</w:t>
            </w:r>
          </w:p>
          <w:p w14:paraId="5F8CC789" w14:textId="77777777" w:rsidR="004259E7" w:rsidRPr="0032506F" w:rsidRDefault="004259E7" w:rsidP="004259E7">
            <w:pPr>
              <w:numPr>
                <w:ilvl w:val="0"/>
                <w:numId w:val="34"/>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Overall, I feel optimistic about improving my knowledge and/or skills in this online course.</w:t>
            </w:r>
          </w:p>
        </w:tc>
      </w:tr>
      <w:tr w:rsidR="004259E7" w:rsidRPr="0032506F" w14:paraId="34D0FE2D" w14:textId="77777777" w:rsidTr="00F37954">
        <w:tc>
          <w:tcPr>
            <w:tcW w:w="9350" w:type="dxa"/>
            <w:tcBorders>
              <w:top w:val="single" w:sz="8" w:space="0" w:color="auto"/>
              <w:bottom w:val="single" w:sz="8" w:space="0" w:color="auto"/>
            </w:tcBorders>
          </w:tcPr>
          <w:p w14:paraId="590F237B" w14:textId="77777777" w:rsidR="004259E7" w:rsidRPr="0032506F" w:rsidRDefault="004259E7" w:rsidP="004259E7">
            <w:pPr>
              <w:spacing w:after="200" w:line="259" w:lineRule="auto"/>
              <w:ind w:left="517"/>
              <w:contextualSpacing/>
              <w:rPr>
                <w:rFonts w:ascii="Times New Roman" w:eastAsia="Calibri" w:hAnsi="Times New Roman" w:cs="Times New Roman"/>
                <w:bCs/>
                <w:i/>
                <w:iCs/>
                <w:color w:val="000000"/>
                <w:sz w:val="24"/>
                <w:szCs w:val="24"/>
              </w:rPr>
            </w:pPr>
            <w:r w:rsidRPr="0032506F">
              <w:rPr>
                <w:rFonts w:ascii="Times New Roman" w:eastAsia="Calibri" w:hAnsi="Times New Roman" w:cs="Times New Roman"/>
                <w:bCs/>
                <w:i/>
                <w:iCs/>
                <w:color w:val="000000"/>
                <w:sz w:val="24"/>
                <w:szCs w:val="24"/>
              </w:rPr>
              <w:lastRenderedPageBreak/>
              <w:t>Online Cognitive Engagement Items</w:t>
            </w:r>
          </w:p>
        </w:tc>
      </w:tr>
      <w:tr w:rsidR="004259E7" w:rsidRPr="0032506F" w14:paraId="12F7551A" w14:textId="77777777" w:rsidTr="00F37954">
        <w:tc>
          <w:tcPr>
            <w:tcW w:w="9350" w:type="dxa"/>
            <w:tcBorders>
              <w:top w:val="single" w:sz="8" w:space="0" w:color="auto"/>
              <w:bottom w:val="single" w:sz="8" w:space="0" w:color="auto"/>
            </w:tcBorders>
          </w:tcPr>
          <w:p w14:paraId="50B3CBAE"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try to create connections between my understanding and my peers’ understanding of course concepts/ideas/issues while replying to their posts during online discussions.</w:t>
            </w:r>
          </w:p>
          <w:p w14:paraId="1C99A90E"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try to create my own examples to express my understanding of the course concepts/ideas/issues during online discussions on the discussion board.</w:t>
            </w:r>
          </w:p>
          <w:p w14:paraId="4DF74591"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lastRenderedPageBreak/>
              <w:t>I reflect on my understanding of peer responses to my posts during online discussions on the discussion board.</w:t>
            </w:r>
          </w:p>
          <w:p w14:paraId="2234B075"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 xml:space="preserve">Before attempting to respond to a peer's post, I try to understand what my peer has </w:t>
            </w:r>
            <w:proofErr w:type="gramStart"/>
            <w:r w:rsidRPr="0032506F">
              <w:rPr>
                <w:rFonts w:ascii="Times New Roman" w:hAnsi="Times New Roman" w:cs="Times New Roman"/>
                <w:sz w:val="24"/>
                <w:szCs w:val="24"/>
              </w:rPr>
              <w:t>actually said</w:t>
            </w:r>
            <w:proofErr w:type="gramEnd"/>
            <w:r w:rsidRPr="0032506F">
              <w:rPr>
                <w:rFonts w:ascii="Times New Roman" w:hAnsi="Times New Roman" w:cs="Times New Roman"/>
                <w:sz w:val="24"/>
                <w:szCs w:val="24"/>
              </w:rPr>
              <w:t xml:space="preserve"> or written during online discussions on the discussion board.</w:t>
            </w:r>
          </w:p>
          <w:p w14:paraId="5A6237BE"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Before I post to the discussion board in this online course, I try to understand the concepts/ideas/issues under study.</w:t>
            </w:r>
          </w:p>
          <w:p w14:paraId="0501598E"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explain the course concepts/ideas/issues in depth during online discussions on the discussion board.</w:t>
            </w:r>
          </w:p>
          <w:p w14:paraId="1FD554C9"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relate the content of this online course to my prior knowledge.</w:t>
            </w:r>
          </w:p>
          <w:p w14:paraId="56225F56"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relate the content of this online course to my own experiences.</w:t>
            </w:r>
          </w:p>
          <w:p w14:paraId="7FB0488B"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plan for my next task/next assignment/next submission (e.g., checking due dates, looking over directions) in this online course.</w:t>
            </w:r>
          </w:p>
          <w:p w14:paraId="28DC08B0"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ask myself questions about my own understanding of the concepts/issues/ideas in this online course.</w:t>
            </w:r>
          </w:p>
          <w:p w14:paraId="1C461C16"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Before I post to the online discussion board, I think about how I will express what I want to say.</w:t>
            </w:r>
          </w:p>
          <w:p w14:paraId="48B02ACB"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check my own understanding of the course concepts/ideas/issues by thinking about my peers’ posts on the discussion board.</w:t>
            </w:r>
          </w:p>
          <w:p w14:paraId="29668D6E"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reflect on my own understanding of the concepts/ideas/issues in this online course.</w:t>
            </w:r>
          </w:p>
          <w:p w14:paraId="5E4C8D13"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comprehend the concepts/ideas/issues in this online course.</w:t>
            </w:r>
          </w:p>
          <w:p w14:paraId="39CD031F"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understand diverse perspectives during online discussions on the discussion board.</w:t>
            </w:r>
          </w:p>
          <w:p w14:paraId="08FD8159"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no effort to make connections between the course concepts/ideas/issues in this online course. (R)</w:t>
            </w:r>
          </w:p>
          <w:p w14:paraId="0057F8F2" w14:textId="77777777" w:rsidR="004259E7" w:rsidRPr="0032506F" w:rsidRDefault="004259E7" w:rsidP="004259E7">
            <w:pPr>
              <w:numPr>
                <w:ilvl w:val="0"/>
                <w:numId w:val="35"/>
              </w:numPr>
              <w:spacing w:after="160" w:line="259" w:lineRule="auto"/>
              <w:ind w:left="517"/>
              <w:contextualSpacing/>
              <w:rPr>
                <w:rFonts w:ascii="Times New Roman" w:hAnsi="Times New Roman" w:cs="Times New Roman"/>
                <w:sz w:val="24"/>
                <w:szCs w:val="24"/>
              </w:rPr>
            </w:pPr>
            <w:r w:rsidRPr="0032506F">
              <w:rPr>
                <w:rFonts w:ascii="Times New Roman" w:hAnsi="Times New Roman" w:cs="Times New Roman"/>
                <w:sz w:val="24"/>
                <w:szCs w:val="24"/>
              </w:rPr>
              <w:t>I put forth effort to make connections between the concepts/ideas/issues in this online course.</w:t>
            </w:r>
          </w:p>
          <w:p w14:paraId="49F60593" w14:textId="77777777" w:rsidR="004259E7" w:rsidRPr="0032506F" w:rsidRDefault="004259E7" w:rsidP="004259E7">
            <w:pPr>
              <w:numPr>
                <w:ilvl w:val="0"/>
                <w:numId w:val="35"/>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I try to create my own examples to better understand the concepts/ideas/issues being taught in this online course.</w:t>
            </w:r>
          </w:p>
          <w:p w14:paraId="7E40B1F1" w14:textId="77777777" w:rsidR="004259E7" w:rsidRPr="0032506F" w:rsidRDefault="004259E7" w:rsidP="004259E7">
            <w:pPr>
              <w:numPr>
                <w:ilvl w:val="0"/>
                <w:numId w:val="35"/>
              </w:numPr>
              <w:spacing w:after="160" w:line="259" w:lineRule="auto"/>
              <w:ind w:left="517"/>
              <w:contextualSpacing/>
              <w:rPr>
                <w:rFonts w:ascii="Times New Roman" w:eastAsia="Calibri" w:hAnsi="Times New Roman" w:cs="Times New Roman"/>
                <w:bCs/>
                <w:i/>
                <w:iCs/>
                <w:color w:val="000000"/>
                <w:sz w:val="24"/>
                <w:szCs w:val="24"/>
              </w:rPr>
            </w:pPr>
            <w:r w:rsidRPr="0032506F">
              <w:rPr>
                <w:rFonts w:ascii="Times New Roman" w:hAnsi="Times New Roman" w:cs="Times New Roman"/>
                <w:sz w:val="24"/>
                <w:szCs w:val="24"/>
              </w:rPr>
              <w:t>I reflect on my understanding of the feedback that I get in this online course.</w:t>
            </w:r>
          </w:p>
        </w:tc>
      </w:tr>
    </w:tbl>
    <w:p w14:paraId="2092E9B5" w14:textId="31912B72" w:rsidR="004259E7" w:rsidRPr="0032506F" w:rsidRDefault="004259E7" w:rsidP="003F7AC0">
      <w:pPr>
        <w:spacing w:after="0" w:line="240" w:lineRule="auto"/>
        <w:rPr>
          <w:rFonts w:ascii="Times New Roman" w:eastAsia="MS Mincho" w:hAnsi="Times New Roman" w:cs="Times New Roman"/>
          <w:color w:val="000000"/>
          <w:sz w:val="24"/>
          <w:szCs w:val="24"/>
        </w:rPr>
        <w:sectPr w:rsidR="004259E7" w:rsidRPr="0032506F" w:rsidSect="003F7AC0">
          <w:pgSz w:w="12240" w:h="15840"/>
          <w:pgMar w:top="1440" w:right="1440" w:bottom="1440" w:left="1440" w:header="720" w:footer="720" w:gutter="0"/>
          <w:cols w:space="720"/>
          <w:docGrid w:linePitch="360"/>
        </w:sectPr>
      </w:pPr>
    </w:p>
    <w:p w14:paraId="34173324" w14:textId="572277A7" w:rsidR="00B04C61" w:rsidRPr="0032506F" w:rsidRDefault="006A0A62" w:rsidP="00B04C61">
      <w:pPr>
        <w:pStyle w:val="Heading2"/>
      </w:pPr>
      <w:bookmarkStart w:id="183" w:name="_Appendix_N_Engagement"/>
      <w:bookmarkStart w:id="184" w:name="_Appendix_F_Data"/>
      <w:bookmarkStart w:id="185" w:name="_Toc102489484"/>
      <w:bookmarkEnd w:id="183"/>
      <w:bookmarkEnd w:id="184"/>
      <w:r w:rsidRPr="0032506F">
        <w:rPr>
          <w:noProof/>
        </w:rPr>
        <w:lastRenderedPageBreak/>
        <w:drawing>
          <wp:anchor distT="0" distB="0" distL="114300" distR="114300" simplePos="0" relativeHeight="251660291" behindDoc="1" locked="0" layoutInCell="1" allowOverlap="1" wp14:anchorId="42B58127" wp14:editId="605517D5">
            <wp:simplePos x="0" y="0"/>
            <wp:positionH relativeFrom="margin">
              <wp:align>center</wp:align>
            </wp:positionH>
            <wp:positionV relativeFrom="paragraph">
              <wp:posOffset>336550</wp:posOffset>
            </wp:positionV>
            <wp:extent cx="5706745" cy="4504690"/>
            <wp:effectExtent l="0" t="0" r="8255" b="0"/>
            <wp:wrapTight wrapText="bothSides">
              <wp:wrapPolygon edited="0">
                <wp:start x="0" y="0"/>
                <wp:lineTo x="0" y="21466"/>
                <wp:lineTo x="21559" y="21466"/>
                <wp:lineTo x="21559" y="0"/>
                <wp:lineTo x="0" y="0"/>
              </wp:wrapPolygon>
            </wp:wrapTight>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06745" cy="4504690"/>
                    </a:xfrm>
                    <a:prstGeom prst="rect">
                      <a:avLst/>
                    </a:prstGeom>
                    <a:noFill/>
                  </pic:spPr>
                </pic:pic>
              </a:graphicData>
            </a:graphic>
            <wp14:sizeRelH relativeFrom="page">
              <wp14:pctWidth>0</wp14:pctWidth>
            </wp14:sizeRelH>
            <wp14:sizeRelV relativeFrom="page">
              <wp14:pctHeight>0</wp14:pctHeight>
            </wp14:sizeRelV>
          </wp:anchor>
        </w:drawing>
      </w:r>
      <w:r w:rsidR="00B04C61" w:rsidRPr="0032506F">
        <w:t xml:space="preserve">Appendix </w:t>
      </w:r>
      <w:r w:rsidR="00B04C61">
        <w:t>F</w:t>
      </w:r>
      <w:r w:rsidR="00B04C61" w:rsidRPr="0032506F">
        <w:t xml:space="preserve"> Data Cleaning and Minimum-Criteria Screening</w:t>
      </w:r>
      <w:bookmarkEnd w:id="185"/>
    </w:p>
    <w:p w14:paraId="7911CBE9" w14:textId="2E5A0431" w:rsidR="00B04C61" w:rsidRPr="0032506F" w:rsidRDefault="00B04C61" w:rsidP="00B04C61">
      <w:pPr>
        <w:rPr>
          <w:rFonts w:ascii="Times New Roman" w:hAnsi="Times New Roman" w:cs="Times New Roman"/>
          <w:sz w:val="24"/>
          <w:szCs w:val="24"/>
        </w:rPr>
      </w:pPr>
    </w:p>
    <w:p w14:paraId="3AC88FB3" w14:textId="74900E86" w:rsidR="00B04C61" w:rsidRPr="0032506F" w:rsidRDefault="00B04C61" w:rsidP="00B04C61">
      <w:pPr>
        <w:rPr>
          <w:rFonts w:ascii="Times New Roman" w:hAnsi="Times New Roman" w:cs="Times New Roman"/>
          <w:sz w:val="24"/>
          <w:szCs w:val="24"/>
        </w:rPr>
      </w:pPr>
    </w:p>
    <w:p w14:paraId="3B3D88CA" w14:textId="0B911014" w:rsidR="00B04C61" w:rsidRPr="0032506F" w:rsidRDefault="00B04C61" w:rsidP="00B04C61">
      <w:pPr>
        <w:rPr>
          <w:rFonts w:ascii="Times New Roman" w:hAnsi="Times New Roman" w:cs="Times New Roman"/>
          <w:sz w:val="24"/>
          <w:szCs w:val="24"/>
        </w:rPr>
      </w:pPr>
    </w:p>
    <w:p w14:paraId="57704C7C" w14:textId="77777777" w:rsidR="00B04C61" w:rsidRDefault="00B04C61" w:rsidP="00B04C61">
      <w:pPr>
        <w:pStyle w:val="Heading2"/>
        <w:sectPr w:rsidR="00B04C61" w:rsidSect="003F7AC0">
          <w:pgSz w:w="12240" w:h="15840"/>
          <w:pgMar w:top="1440" w:right="1440" w:bottom="1440" w:left="1440" w:header="720" w:footer="720" w:gutter="0"/>
          <w:cols w:space="720"/>
          <w:docGrid w:linePitch="360"/>
        </w:sectPr>
      </w:pPr>
    </w:p>
    <w:p w14:paraId="2829BD9E" w14:textId="77777777" w:rsidR="00B04C61" w:rsidRPr="0032506F" w:rsidRDefault="00B04C61" w:rsidP="00B04C61">
      <w:pPr>
        <w:pStyle w:val="Heading2"/>
      </w:pPr>
      <w:bookmarkStart w:id="186" w:name="_Appendix_G_Participants’"/>
      <w:bookmarkStart w:id="187" w:name="_Toc102489485"/>
      <w:bookmarkEnd w:id="186"/>
      <w:r w:rsidRPr="0032506F">
        <w:lastRenderedPageBreak/>
        <w:t xml:space="preserve">Appendix </w:t>
      </w:r>
      <w:r>
        <w:t>G</w:t>
      </w:r>
      <w:r w:rsidRPr="0032506F">
        <w:t xml:space="preserve"> Participants’ Demographics (</w:t>
      </w:r>
      <w:r w:rsidRPr="0032506F">
        <w:rPr>
          <w:i/>
          <w:iCs/>
        </w:rPr>
        <w:t>N</w:t>
      </w:r>
      <w:r w:rsidRPr="0032506F">
        <w:t>=234)</w:t>
      </w:r>
      <w:bookmarkEnd w:id="18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1620"/>
        <w:gridCol w:w="1530"/>
      </w:tblGrid>
      <w:tr w:rsidR="00B04C61" w:rsidRPr="0032506F" w14:paraId="246C1175" w14:textId="77777777" w:rsidTr="002864C3">
        <w:tc>
          <w:tcPr>
            <w:tcW w:w="5670" w:type="dxa"/>
            <w:tcBorders>
              <w:top w:val="single" w:sz="8" w:space="0" w:color="auto"/>
              <w:bottom w:val="single" w:sz="8" w:space="0" w:color="auto"/>
            </w:tcBorders>
          </w:tcPr>
          <w:p w14:paraId="645C1171" w14:textId="77777777" w:rsidR="00B04C61" w:rsidRPr="0032506F" w:rsidRDefault="00B04C61" w:rsidP="002864C3">
            <w:pPr>
              <w:jc w:val="both"/>
              <w:rPr>
                <w:rFonts w:ascii="Times New Roman" w:hAnsi="Times New Roman" w:cs="Times New Roman"/>
                <w:i/>
                <w:iCs/>
                <w:sz w:val="24"/>
                <w:szCs w:val="24"/>
              </w:rPr>
            </w:pPr>
            <w:bookmarkStart w:id="188" w:name="_Hlk93314616"/>
            <w:r w:rsidRPr="0032506F">
              <w:rPr>
                <w:rFonts w:ascii="Times New Roman" w:hAnsi="Times New Roman" w:cs="Times New Roman"/>
                <w:i/>
                <w:iCs/>
                <w:sz w:val="24"/>
                <w:szCs w:val="24"/>
              </w:rPr>
              <w:t>Demographic Characteristics Variables</w:t>
            </w:r>
          </w:p>
        </w:tc>
        <w:tc>
          <w:tcPr>
            <w:tcW w:w="1620" w:type="dxa"/>
            <w:tcBorders>
              <w:top w:val="single" w:sz="8" w:space="0" w:color="auto"/>
              <w:bottom w:val="single" w:sz="8" w:space="0" w:color="auto"/>
            </w:tcBorders>
          </w:tcPr>
          <w:p w14:paraId="3B15FAFC"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Frequency (n)</w:t>
            </w:r>
          </w:p>
        </w:tc>
        <w:tc>
          <w:tcPr>
            <w:tcW w:w="1530" w:type="dxa"/>
            <w:tcBorders>
              <w:top w:val="single" w:sz="8" w:space="0" w:color="auto"/>
              <w:bottom w:val="single" w:sz="8" w:space="0" w:color="auto"/>
            </w:tcBorders>
          </w:tcPr>
          <w:p w14:paraId="554A74B4"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Percent (%)</w:t>
            </w:r>
          </w:p>
        </w:tc>
      </w:tr>
      <w:tr w:rsidR="00B04C61" w:rsidRPr="0032506F" w14:paraId="69B85603" w14:textId="77777777" w:rsidTr="002864C3">
        <w:tc>
          <w:tcPr>
            <w:tcW w:w="5670" w:type="dxa"/>
            <w:tcBorders>
              <w:top w:val="single" w:sz="8" w:space="0" w:color="auto"/>
            </w:tcBorders>
          </w:tcPr>
          <w:p w14:paraId="60E676D7"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Age Range (Years)</w:t>
            </w:r>
          </w:p>
        </w:tc>
        <w:tc>
          <w:tcPr>
            <w:tcW w:w="1620" w:type="dxa"/>
            <w:tcBorders>
              <w:top w:val="single" w:sz="8" w:space="0" w:color="auto"/>
            </w:tcBorders>
          </w:tcPr>
          <w:p w14:paraId="0469FEEF" w14:textId="77777777" w:rsidR="00B04C61" w:rsidRPr="0032506F" w:rsidRDefault="00B04C61" w:rsidP="002864C3">
            <w:pPr>
              <w:jc w:val="center"/>
              <w:rPr>
                <w:rFonts w:ascii="Times New Roman" w:hAnsi="Times New Roman" w:cs="Times New Roman"/>
                <w:iCs/>
                <w:sz w:val="24"/>
                <w:szCs w:val="24"/>
              </w:rPr>
            </w:pPr>
          </w:p>
        </w:tc>
        <w:tc>
          <w:tcPr>
            <w:tcW w:w="1530" w:type="dxa"/>
            <w:tcBorders>
              <w:top w:val="single" w:sz="8" w:space="0" w:color="auto"/>
            </w:tcBorders>
          </w:tcPr>
          <w:p w14:paraId="7165CEB8" w14:textId="77777777" w:rsidR="00B04C61" w:rsidRPr="0032506F" w:rsidRDefault="00B04C61" w:rsidP="002864C3">
            <w:pPr>
              <w:jc w:val="center"/>
              <w:rPr>
                <w:rFonts w:ascii="Times New Roman" w:hAnsi="Times New Roman" w:cs="Times New Roman"/>
                <w:iCs/>
                <w:sz w:val="24"/>
                <w:szCs w:val="24"/>
              </w:rPr>
            </w:pPr>
          </w:p>
        </w:tc>
      </w:tr>
      <w:tr w:rsidR="00B04C61" w:rsidRPr="0032506F" w14:paraId="595C85F9" w14:textId="77777777" w:rsidTr="002864C3">
        <w:trPr>
          <w:trHeight w:val="315"/>
        </w:trPr>
        <w:tc>
          <w:tcPr>
            <w:tcW w:w="5670" w:type="dxa"/>
          </w:tcPr>
          <w:p w14:paraId="5FC8A3F4"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16-25</w:t>
            </w:r>
          </w:p>
        </w:tc>
        <w:tc>
          <w:tcPr>
            <w:tcW w:w="1620" w:type="dxa"/>
          </w:tcPr>
          <w:p w14:paraId="2F46B2F0"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87</w:t>
            </w:r>
          </w:p>
        </w:tc>
        <w:tc>
          <w:tcPr>
            <w:tcW w:w="1530" w:type="dxa"/>
          </w:tcPr>
          <w:p w14:paraId="464B7F3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37.1</w:t>
            </w:r>
          </w:p>
        </w:tc>
      </w:tr>
      <w:tr w:rsidR="00B04C61" w:rsidRPr="0032506F" w14:paraId="1BB6A140" w14:textId="77777777" w:rsidTr="002864C3">
        <w:trPr>
          <w:trHeight w:val="315"/>
        </w:trPr>
        <w:tc>
          <w:tcPr>
            <w:tcW w:w="5670" w:type="dxa"/>
          </w:tcPr>
          <w:p w14:paraId="4D8C7A3F"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26-35</w:t>
            </w:r>
          </w:p>
        </w:tc>
        <w:tc>
          <w:tcPr>
            <w:tcW w:w="1620" w:type="dxa"/>
          </w:tcPr>
          <w:p w14:paraId="213AA618"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58</w:t>
            </w:r>
          </w:p>
        </w:tc>
        <w:tc>
          <w:tcPr>
            <w:tcW w:w="1530" w:type="dxa"/>
          </w:tcPr>
          <w:p w14:paraId="6202AD1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24.8</w:t>
            </w:r>
          </w:p>
        </w:tc>
      </w:tr>
      <w:tr w:rsidR="00B04C61" w:rsidRPr="0032506F" w14:paraId="47A749CB" w14:textId="77777777" w:rsidTr="002864C3">
        <w:trPr>
          <w:trHeight w:val="315"/>
        </w:trPr>
        <w:tc>
          <w:tcPr>
            <w:tcW w:w="5670" w:type="dxa"/>
          </w:tcPr>
          <w:p w14:paraId="4854C494"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36-45</w:t>
            </w:r>
          </w:p>
        </w:tc>
        <w:tc>
          <w:tcPr>
            <w:tcW w:w="1620" w:type="dxa"/>
          </w:tcPr>
          <w:p w14:paraId="770641AC"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48</w:t>
            </w:r>
          </w:p>
        </w:tc>
        <w:tc>
          <w:tcPr>
            <w:tcW w:w="1530" w:type="dxa"/>
          </w:tcPr>
          <w:p w14:paraId="4612508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20.5</w:t>
            </w:r>
          </w:p>
        </w:tc>
      </w:tr>
      <w:tr w:rsidR="00B04C61" w:rsidRPr="0032506F" w14:paraId="4F984E22" w14:textId="77777777" w:rsidTr="002864C3">
        <w:tc>
          <w:tcPr>
            <w:tcW w:w="5670" w:type="dxa"/>
          </w:tcPr>
          <w:p w14:paraId="77C6BDEB"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46-70</w:t>
            </w:r>
          </w:p>
        </w:tc>
        <w:tc>
          <w:tcPr>
            <w:tcW w:w="1620" w:type="dxa"/>
          </w:tcPr>
          <w:p w14:paraId="1E70E406"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41</w:t>
            </w:r>
          </w:p>
        </w:tc>
        <w:tc>
          <w:tcPr>
            <w:tcW w:w="1530" w:type="dxa"/>
          </w:tcPr>
          <w:p w14:paraId="6BE8733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17.5</w:t>
            </w:r>
          </w:p>
        </w:tc>
      </w:tr>
      <w:tr w:rsidR="00B04C61" w:rsidRPr="0032506F" w14:paraId="11D0309E" w14:textId="77777777" w:rsidTr="002864C3">
        <w:tc>
          <w:tcPr>
            <w:tcW w:w="5670" w:type="dxa"/>
          </w:tcPr>
          <w:p w14:paraId="20FA49B1"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Gender</w:t>
            </w:r>
          </w:p>
        </w:tc>
        <w:tc>
          <w:tcPr>
            <w:tcW w:w="1620" w:type="dxa"/>
          </w:tcPr>
          <w:p w14:paraId="3CE9CEE3" w14:textId="77777777" w:rsidR="00B04C61" w:rsidRPr="0032506F" w:rsidRDefault="00B04C61" w:rsidP="002864C3">
            <w:pPr>
              <w:jc w:val="center"/>
              <w:rPr>
                <w:rFonts w:ascii="Times New Roman" w:hAnsi="Times New Roman" w:cs="Times New Roman"/>
                <w:iCs/>
                <w:sz w:val="24"/>
                <w:szCs w:val="24"/>
              </w:rPr>
            </w:pPr>
          </w:p>
        </w:tc>
        <w:tc>
          <w:tcPr>
            <w:tcW w:w="1530" w:type="dxa"/>
          </w:tcPr>
          <w:p w14:paraId="70B2AE28" w14:textId="77777777" w:rsidR="00B04C61" w:rsidRPr="0032506F" w:rsidRDefault="00B04C61" w:rsidP="002864C3">
            <w:pPr>
              <w:jc w:val="center"/>
              <w:rPr>
                <w:rFonts w:ascii="Times New Roman" w:hAnsi="Times New Roman" w:cs="Times New Roman"/>
                <w:iCs/>
                <w:sz w:val="24"/>
                <w:szCs w:val="24"/>
              </w:rPr>
            </w:pPr>
          </w:p>
        </w:tc>
      </w:tr>
      <w:tr w:rsidR="00B04C61" w:rsidRPr="0032506F" w14:paraId="197E7AA2" w14:textId="77777777" w:rsidTr="002864C3">
        <w:tc>
          <w:tcPr>
            <w:tcW w:w="5670" w:type="dxa"/>
          </w:tcPr>
          <w:p w14:paraId="7AE5C914"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Female</w:t>
            </w:r>
          </w:p>
        </w:tc>
        <w:tc>
          <w:tcPr>
            <w:tcW w:w="1620" w:type="dxa"/>
          </w:tcPr>
          <w:p w14:paraId="5C60007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189</w:t>
            </w:r>
          </w:p>
        </w:tc>
        <w:tc>
          <w:tcPr>
            <w:tcW w:w="1530" w:type="dxa"/>
          </w:tcPr>
          <w:p w14:paraId="69FFE84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80.8</w:t>
            </w:r>
          </w:p>
        </w:tc>
      </w:tr>
      <w:tr w:rsidR="00B04C61" w:rsidRPr="0032506F" w14:paraId="3CADB597" w14:textId="77777777" w:rsidTr="002864C3">
        <w:tc>
          <w:tcPr>
            <w:tcW w:w="5670" w:type="dxa"/>
          </w:tcPr>
          <w:p w14:paraId="24334AFB"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 xml:space="preserve">Male </w:t>
            </w:r>
          </w:p>
        </w:tc>
        <w:tc>
          <w:tcPr>
            <w:tcW w:w="1620" w:type="dxa"/>
          </w:tcPr>
          <w:p w14:paraId="5ED0468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39</w:t>
            </w:r>
          </w:p>
        </w:tc>
        <w:tc>
          <w:tcPr>
            <w:tcW w:w="1530" w:type="dxa"/>
          </w:tcPr>
          <w:p w14:paraId="772E0CC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16.7</w:t>
            </w:r>
          </w:p>
        </w:tc>
      </w:tr>
      <w:tr w:rsidR="00B04C61" w:rsidRPr="0032506F" w14:paraId="043793D5" w14:textId="77777777" w:rsidTr="002864C3">
        <w:tc>
          <w:tcPr>
            <w:tcW w:w="5670" w:type="dxa"/>
          </w:tcPr>
          <w:p w14:paraId="6F1C46C8"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Non-binary/third gender</w:t>
            </w:r>
          </w:p>
        </w:tc>
        <w:tc>
          <w:tcPr>
            <w:tcW w:w="1620" w:type="dxa"/>
          </w:tcPr>
          <w:p w14:paraId="2AD45A3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w:t>
            </w:r>
          </w:p>
        </w:tc>
        <w:tc>
          <w:tcPr>
            <w:tcW w:w="1530" w:type="dxa"/>
          </w:tcPr>
          <w:p w14:paraId="2F950D9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w:t>
            </w:r>
          </w:p>
        </w:tc>
      </w:tr>
      <w:tr w:rsidR="00B04C61" w:rsidRPr="0032506F" w14:paraId="7E897F70" w14:textId="77777777" w:rsidTr="002864C3">
        <w:tc>
          <w:tcPr>
            <w:tcW w:w="5670" w:type="dxa"/>
          </w:tcPr>
          <w:p w14:paraId="632EFF69"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Prefer to self-describe</w:t>
            </w:r>
          </w:p>
        </w:tc>
        <w:tc>
          <w:tcPr>
            <w:tcW w:w="1620" w:type="dxa"/>
          </w:tcPr>
          <w:p w14:paraId="1D093F5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w:t>
            </w:r>
          </w:p>
        </w:tc>
        <w:tc>
          <w:tcPr>
            <w:tcW w:w="1530" w:type="dxa"/>
          </w:tcPr>
          <w:p w14:paraId="06D0423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0.9</w:t>
            </w:r>
          </w:p>
        </w:tc>
      </w:tr>
      <w:tr w:rsidR="00B04C61" w:rsidRPr="0032506F" w14:paraId="371F6FD2" w14:textId="77777777" w:rsidTr="002864C3">
        <w:tc>
          <w:tcPr>
            <w:tcW w:w="5670" w:type="dxa"/>
          </w:tcPr>
          <w:p w14:paraId="7BEAD9C1"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Prefer not to say</w:t>
            </w:r>
          </w:p>
        </w:tc>
        <w:tc>
          <w:tcPr>
            <w:tcW w:w="1620" w:type="dxa"/>
          </w:tcPr>
          <w:p w14:paraId="7BB0BAD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w:t>
            </w:r>
          </w:p>
        </w:tc>
        <w:tc>
          <w:tcPr>
            <w:tcW w:w="1530" w:type="dxa"/>
          </w:tcPr>
          <w:p w14:paraId="45FDDD4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0.4</w:t>
            </w:r>
          </w:p>
        </w:tc>
      </w:tr>
      <w:tr w:rsidR="00B04C61" w:rsidRPr="0032506F" w14:paraId="4E4B4626" w14:textId="77777777" w:rsidTr="002864C3">
        <w:tc>
          <w:tcPr>
            <w:tcW w:w="5670" w:type="dxa"/>
          </w:tcPr>
          <w:p w14:paraId="4C11A281"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Race/Ethnicity</w:t>
            </w:r>
          </w:p>
        </w:tc>
        <w:tc>
          <w:tcPr>
            <w:tcW w:w="1620" w:type="dxa"/>
          </w:tcPr>
          <w:p w14:paraId="5B94192F" w14:textId="77777777" w:rsidR="00B04C61" w:rsidRPr="0032506F" w:rsidRDefault="00B04C61" w:rsidP="002864C3">
            <w:pPr>
              <w:jc w:val="center"/>
              <w:rPr>
                <w:rFonts w:ascii="Times New Roman" w:hAnsi="Times New Roman" w:cs="Times New Roman"/>
                <w:iCs/>
                <w:sz w:val="24"/>
                <w:szCs w:val="24"/>
              </w:rPr>
            </w:pPr>
          </w:p>
        </w:tc>
        <w:tc>
          <w:tcPr>
            <w:tcW w:w="1530" w:type="dxa"/>
          </w:tcPr>
          <w:p w14:paraId="5B97169C" w14:textId="77777777" w:rsidR="00B04C61" w:rsidRPr="0032506F" w:rsidRDefault="00B04C61" w:rsidP="002864C3">
            <w:pPr>
              <w:jc w:val="center"/>
              <w:rPr>
                <w:rFonts w:ascii="Times New Roman" w:hAnsi="Times New Roman" w:cs="Times New Roman"/>
                <w:iCs/>
                <w:sz w:val="24"/>
                <w:szCs w:val="24"/>
              </w:rPr>
            </w:pPr>
          </w:p>
        </w:tc>
      </w:tr>
      <w:tr w:rsidR="00B04C61" w:rsidRPr="0032506F" w14:paraId="3B42CAFF" w14:textId="77777777" w:rsidTr="002864C3">
        <w:tc>
          <w:tcPr>
            <w:tcW w:w="5670" w:type="dxa"/>
          </w:tcPr>
          <w:p w14:paraId="38CEF3BA"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American Indian/Alaskan</w:t>
            </w:r>
          </w:p>
          <w:p w14:paraId="7668EAD4" w14:textId="77777777" w:rsidR="00B04C61" w:rsidRPr="0032506F" w:rsidRDefault="00B04C61" w:rsidP="002864C3">
            <w:pPr>
              <w:ind w:left="252" w:firstLine="432"/>
              <w:jc w:val="both"/>
              <w:rPr>
                <w:rFonts w:ascii="Times New Roman" w:hAnsi="Times New Roman" w:cs="Times New Roman"/>
                <w:iCs/>
                <w:sz w:val="24"/>
                <w:szCs w:val="24"/>
              </w:rPr>
            </w:pPr>
            <w:r w:rsidRPr="0032506F">
              <w:rPr>
                <w:rFonts w:ascii="Times New Roman" w:hAnsi="Times New Roman" w:cs="Times New Roman"/>
                <w:iCs/>
                <w:sz w:val="24"/>
                <w:szCs w:val="24"/>
              </w:rPr>
              <w:t>Native</w:t>
            </w:r>
          </w:p>
        </w:tc>
        <w:tc>
          <w:tcPr>
            <w:tcW w:w="1620" w:type="dxa"/>
          </w:tcPr>
          <w:p w14:paraId="3205B310"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w:t>
            </w:r>
          </w:p>
        </w:tc>
        <w:tc>
          <w:tcPr>
            <w:tcW w:w="1530" w:type="dxa"/>
          </w:tcPr>
          <w:p w14:paraId="1FB343F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3.0</w:t>
            </w:r>
          </w:p>
        </w:tc>
      </w:tr>
      <w:tr w:rsidR="00B04C61" w:rsidRPr="0032506F" w14:paraId="1C5798FB" w14:textId="77777777" w:rsidTr="002864C3">
        <w:tc>
          <w:tcPr>
            <w:tcW w:w="5670" w:type="dxa"/>
          </w:tcPr>
          <w:p w14:paraId="0C726CEF"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Asian</w:t>
            </w:r>
          </w:p>
        </w:tc>
        <w:tc>
          <w:tcPr>
            <w:tcW w:w="1620" w:type="dxa"/>
          </w:tcPr>
          <w:p w14:paraId="1CC9CD9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18</w:t>
            </w:r>
          </w:p>
        </w:tc>
        <w:tc>
          <w:tcPr>
            <w:tcW w:w="1530" w:type="dxa"/>
          </w:tcPr>
          <w:p w14:paraId="04DFE4C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7.7</w:t>
            </w:r>
          </w:p>
        </w:tc>
      </w:tr>
      <w:tr w:rsidR="00B04C61" w:rsidRPr="0032506F" w14:paraId="451F3B1B" w14:textId="77777777" w:rsidTr="002864C3">
        <w:tc>
          <w:tcPr>
            <w:tcW w:w="5670" w:type="dxa"/>
          </w:tcPr>
          <w:p w14:paraId="679498FE"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Black/African American</w:t>
            </w:r>
          </w:p>
        </w:tc>
        <w:tc>
          <w:tcPr>
            <w:tcW w:w="1620" w:type="dxa"/>
          </w:tcPr>
          <w:p w14:paraId="4ABE30D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w:t>
            </w:r>
          </w:p>
        </w:tc>
        <w:tc>
          <w:tcPr>
            <w:tcW w:w="1530" w:type="dxa"/>
          </w:tcPr>
          <w:p w14:paraId="7D65CAB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7.3</w:t>
            </w:r>
          </w:p>
        </w:tc>
      </w:tr>
      <w:tr w:rsidR="00B04C61" w:rsidRPr="0032506F" w14:paraId="06BD6BEA" w14:textId="77777777" w:rsidTr="002864C3">
        <w:tc>
          <w:tcPr>
            <w:tcW w:w="5670" w:type="dxa"/>
          </w:tcPr>
          <w:p w14:paraId="5A2B4643"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Native Hawaiian/Other</w:t>
            </w:r>
            <w:r w:rsidRPr="0032506F">
              <w:rPr>
                <w:rFonts w:ascii="Times New Roman" w:hAnsi="Times New Roman" w:cs="Times New Roman"/>
                <w:sz w:val="24"/>
                <w:szCs w:val="20"/>
                <w:lang w:val="tr-TR"/>
              </w:rPr>
              <w:t xml:space="preserve"> </w:t>
            </w:r>
            <w:r w:rsidRPr="0032506F">
              <w:rPr>
                <w:rFonts w:ascii="Times New Roman" w:hAnsi="Times New Roman" w:cs="Times New Roman"/>
                <w:iCs/>
                <w:sz w:val="24"/>
                <w:szCs w:val="24"/>
              </w:rPr>
              <w:t>Pacific Islander</w:t>
            </w:r>
          </w:p>
        </w:tc>
        <w:tc>
          <w:tcPr>
            <w:tcW w:w="1620" w:type="dxa"/>
          </w:tcPr>
          <w:p w14:paraId="49334EC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w:t>
            </w:r>
          </w:p>
        </w:tc>
        <w:tc>
          <w:tcPr>
            <w:tcW w:w="1530" w:type="dxa"/>
          </w:tcPr>
          <w:p w14:paraId="5063263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0.4</w:t>
            </w:r>
          </w:p>
        </w:tc>
      </w:tr>
      <w:tr w:rsidR="00B04C61" w:rsidRPr="0032506F" w14:paraId="3BDBA7CA" w14:textId="77777777" w:rsidTr="002864C3">
        <w:tc>
          <w:tcPr>
            <w:tcW w:w="5670" w:type="dxa"/>
          </w:tcPr>
          <w:p w14:paraId="2BE1AD60"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White</w:t>
            </w:r>
          </w:p>
        </w:tc>
        <w:tc>
          <w:tcPr>
            <w:tcW w:w="1620" w:type="dxa"/>
          </w:tcPr>
          <w:p w14:paraId="0BC50CA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171</w:t>
            </w:r>
          </w:p>
        </w:tc>
        <w:tc>
          <w:tcPr>
            <w:tcW w:w="1530" w:type="dxa"/>
          </w:tcPr>
          <w:p w14:paraId="21830EC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73.1</w:t>
            </w:r>
          </w:p>
        </w:tc>
      </w:tr>
      <w:tr w:rsidR="00B04C61" w:rsidRPr="0032506F" w14:paraId="6300C42B" w14:textId="77777777" w:rsidTr="002864C3">
        <w:tc>
          <w:tcPr>
            <w:tcW w:w="5670" w:type="dxa"/>
          </w:tcPr>
          <w:p w14:paraId="74C0B7A3"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Prefer to self-describe</w:t>
            </w:r>
          </w:p>
        </w:tc>
        <w:tc>
          <w:tcPr>
            <w:tcW w:w="1620" w:type="dxa"/>
          </w:tcPr>
          <w:p w14:paraId="2051DE7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w:t>
            </w:r>
          </w:p>
        </w:tc>
        <w:tc>
          <w:tcPr>
            <w:tcW w:w="1530" w:type="dxa"/>
          </w:tcPr>
          <w:p w14:paraId="7FCFD3E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7.3</w:t>
            </w:r>
          </w:p>
        </w:tc>
      </w:tr>
      <w:tr w:rsidR="00B04C61" w:rsidRPr="0032506F" w14:paraId="09DDFC60" w14:textId="77777777" w:rsidTr="002864C3">
        <w:tc>
          <w:tcPr>
            <w:tcW w:w="5670" w:type="dxa"/>
          </w:tcPr>
          <w:p w14:paraId="2F7286A8"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Prefer not to say</w:t>
            </w:r>
          </w:p>
        </w:tc>
        <w:tc>
          <w:tcPr>
            <w:tcW w:w="1620" w:type="dxa"/>
          </w:tcPr>
          <w:p w14:paraId="57A4971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w:t>
            </w:r>
          </w:p>
        </w:tc>
        <w:tc>
          <w:tcPr>
            <w:tcW w:w="1530" w:type="dxa"/>
          </w:tcPr>
          <w:p w14:paraId="60467406"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w:t>
            </w:r>
          </w:p>
        </w:tc>
      </w:tr>
      <w:tr w:rsidR="00B04C61" w:rsidRPr="0032506F" w14:paraId="5A8AE4B4" w14:textId="77777777" w:rsidTr="002864C3">
        <w:tc>
          <w:tcPr>
            <w:tcW w:w="5670" w:type="dxa"/>
          </w:tcPr>
          <w:p w14:paraId="24279B76"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Mexican, Mexican American, or Chicano/a/x</w:t>
            </w:r>
          </w:p>
        </w:tc>
        <w:tc>
          <w:tcPr>
            <w:tcW w:w="1620" w:type="dxa"/>
          </w:tcPr>
          <w:p w14:paraId="1E83B44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w:t>
            </w:r>
          </w:p>
        </w:tc>
        <w:tc>
          <w:tcPr>
            <w:tcW w:w="1530" w:type="dxa"/>
          </w:tcPr>
          <w:p w14:paraId="3DA7699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5.6</w:t>
            </w:r>
          </w:p>
        </w:tc>
      </w:tr>
      <w:tr w:rsidR="00B04C61" w:rsidRPr="0032506F" w14:paraId="29A81FDD" w14:textId="77777777" w:rsidTr="002864C3">
        <w:tc>
          <w:tcPr>
            <w:tcW w:w="5670" w:type="dxa"/>
          </w:tcPr>
          <w:p w14:paraId="1D74AA3B"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Puerto Rican</w:t>
            </w:r>
          </w:p>
        </w:tc>
        <w:tc>
          <w:tcPr>
            <w:tcW w:w="1620" w:type="dxa"/>
          </w:tcPr>
          <w:p w14:paraId="1FB34EE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w:t>
            </w:r>
          </w:p>
        </w:tc>
        <w:tc>
          <w:tcPr>
            <w:tcW w:w="1530" w:type="dxa"/>
          </w:tcPr>
          <w:p w14:paraId="3CE7F4D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0.9</w:t>
            </w:r>
          </w:p>
        </w:tc>
      </w:tr>
      <w:tr w:rsidR="00B04C61" w:rsidRPr="0032506F" w14:paraId="0F101F2C" w14:textId="77777777" w:rsidTr="002864C3">
        <w:tc>
          <w:tcPr>
            <w:tcW w:w="5670" w:type="dxa"/>
          </w:tcPr>
          <w:p w14:paraId="31DB39A0"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Another Hispanic, Latino/a/x or Spanish origin</w:t>
            </w:r>
          </w:p>
        </w:tc>
        <w:tc>
          <w:tcPr>
            <w:tcW w:w="1620" w:type="dxa"/>
          </w:tcPr>
          <w:p w14:paraId="423E8EE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8</w:t>
            </w:r>
          </w:p>
        </w:tc>
        <w:tc>
          <w:tcPr>
            <w:tcW w:w="1530" w:type="dxa"/>
          </w:tcPr>
          <w:p w14:paraId="74FC532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3.4</w:t>
            </w:r>
          </w:p>
        </w:tc>
      </w:tr>
      <w:tr w:rsidR="00B04C61" w:rsidRPr="0032506F" w14:paraId="6AF7244F" w14:textId="77777777" w:rsidTr="002864C3">
        <w:tc>
          <w:tcPr>
            <w:tcW w:w="5670" w:type="dxa"/>
          </w:tcPr>
          <w:p w14:paraId="7888A071"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Student Status</w:t>
            </w:r>
          </w:p>
        </w:tc>
        <w:tc>
          <w:tcPr>
            <w:tcW w:w="1620" w:type="dxa"/>
          </w:tcPr>
          <w:p w14:paraId="2C7FF781" w14:textId="77777777" w:rsidR="00B04C61" w:rsidRPr="0032506F" w:rsidRDefault="00B04C61" w:rsidP="002864C3">
            <w:pPr>
              <w:jc w:val="center"/>
              <w:rPr>
                <w:rFonts w:ascii="Times New Roman" w:hAnsi="Times New Roman" w:cs="Times New Roman"/>
                <w:iCs/>
                <w:sz w:val="24"/>
                <w:szCs w:val="24"/>
              </w:rPr>
            </w:pPr>
          </w:p>
        </w:tc>
        <w:tc>
          <w:tcPr>
            <w:tcW w:w="1530" w:type="dxa"/>
          </w:tcPr>
          <w:p w14:paraId="4446CB6E" w14:textId="77777777" w:rsidR="00B04C61" w:rsidRPr="0032506F" w:rsidRDefault="00B04C61" w:rsidP="002864C3">
            <w:pPr>
              <w:jc w:val="center"/>
              <w:rPr>
                <w:rFonts w:ascii="Times New Roman" w:hAnsi="Times New Roman" w:cs="Times New Roman"/>
                <w:iCs/>
                <w:sz w:val="24"/>
                <w:szCs w:val="24"/>
              </w:rPr>
            </w:pPr>
          </w:p>
        </w:tc>
      </w:tr>
      <w:tr w:rsidR="00B04C61" w:rsidRPr="0032506F" w14:paraId="5FDF5455" w14:textId="77777777" w:rsidTr="002864C3">
        <w:tc>
          <w:tcPr>
            <w:tcW w:w="5670" w:type="dxa"/>
          </w:tcPr>
          <w:p w14:paraId="2638D360"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Freshman</w:t>
            </w:r>
          </w:p>
        </w:tc>
        <w:tc>
          <w:tcPr>
            <w:tcW w:w="1620" w:type="dxa"/>
          </w:tcPr>
          <w:p w14:paraId="6D11DA4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10</w:t>
            </w:r>
          </w:p>
        </w:tc>
        <w:tc>
          <w:tcPr>
            <w:tcW w:w="1530" w:type="dxa"/>
          </w:tcPr>
          <w:p w14:paraId="60EF857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4.3</w:t>
            </w:r>
          </w:p>
        </w:tc>
      </w:tr>
      <w:tr w:rsidR="00B04C61" w:rsidRPr="0032506F" w14:paraId="697361A7" w14:textId="77777777" w:rsidTr="002864C3">
        <w:tc>
          <w:tcPr>
            <w:tcW w:w="5670" w:type="dxa"/>
          </w:tcPr>
          <w:p w14:paraId="15B32CA1"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Sophomore</w:t>
            </w:r>
          </w:p>
        </w:tc>
        <w:tc>
          <w:tcPr>
            <w:tcW w:w="1620" w:type="dxa"/>
          </w:tcPr>
          <w:p w14:paraId="15C3D79C"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18</w:t>
            </w:r>
          </w:p>
        </w:tc>
        <w:tc>
          <w:tcPr>
            <w:tcW w:w="1530" w:type="dxa"/>
          </w:tcPr>
          <w:p w14:paraId="15333B3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7.7</w:t>
            </w:r>
          </w:p>
        </w:tc>
      </w:tr>
      <w:tr w:rsidR="00B04C61" w:rsidRPr="0032506F" w14:paraId="4E82971F" w14:textId="77777777" w:rsidTr="002864C3">
        <w:tc>
          <w:tcPr>
            <w:tcW w:w="5670" w:type="dxa"/>
          </w:tcPr>
          <w:p w14:paraId="0A76381C"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Junior</w:t>
            </w:r>
          </w:p>
        </w:tc>
        <w:tc>
          <w:tcPr>
            <w:tcW w:w="1620" w:type="dxa"/>
          </w:tcPr>
          <w:p w14:paraId="745347FC"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28</w:t>
            </w:r>
          </w:p>
        </w:tc>
        <w:tc>
          <w:tcPr>
            <w:tcW w:w="1530" w:type="dxa"/>
          </w:tcPr>
          <w:p w14:paraId="39FD892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12.0</w:t>
            </w:r>
          </w:p>
        </w:tc>
      </w:tr>
      <w:tr w:rsidR="00B04C61" w:rsidRPr="0032506F" w14:paraId="527899C6" w14:textId="77777777" w:rsidTr="002864C3">
        <w:tc>
          <w:tcPr>
            <w:tcW w:w="5670" w:type="dxa"/>
          </w:tcPr>
          <w:p w14:paraId="02EC5BD4"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Senior</w:t>
            </w:r>
          </w:p>
        </w:tc>
        <w:tc>
          <w:tcPr>
            <w:tcW w:w="1620" w:type="dxa"/>
          </w:tcPr>
          <w:p w14:paraId="408B862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22</w:t>
            </w:r>
          </w:p>
        </w:tc>
        <w:tc>
          <w:tcPr>
            <w:tcW w:w="1530" w:type="dxa"/>
          </w:tcPr>
          <w:p w14:paraId="43A600C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9.4</w:t>
            </w:r>
          </w:p>
        </w:tc>
      </w:tr>
      <w:tr w:rsidR="00B04C61" w:rsidRPr="0032506F" w14:paraId="6F6C670D" w14:textId="77777777" w:rsidTr="002864C3">
        <w:tc>
          <w:tcPr>
            <w:tcW w:w="5670" w:type="dxa"/>
          </w:tcPr>
          <w:p w14:paraId="77B025B5"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Post-baccalaureate</w:t>
            </w:r>
          </w:p>
        </w:tc>
        <w:tc>
          <w:tcPr>
            <w:tcW w:w="1620" w:type="dxa"/>
          </w:tcPr>
          <w:p w14:paraId="3BA3765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w:t>
            </w:r>
          </w:p>
        </w:tc>
        <w:tc>
          <w:tcPr>
            <w:tcW w:w="1530" w:type="dxa"/>
          </w:tcPr>
          <w:p w14:paraId="0900669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0.4</w:t>
            </w:r>
          </w:p>
        </w:tc>
      </w:tr>
      <w:tr w:rsidR="00B04C61" w:rsidRPr="0032506F" w14:paraId="305C333C" w14:textId="77777777" w:rsidTr="002864C3">
        <w:tc>
          <w:tcPr>
            <w:tcW w:w="5670" w:type="dxa"/>
          </w:tcPr>
          <w:p w14:paraId="2CBA4068"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Master’s student</w:t>
            </w:r>
          </w:p>
        </w:tc>
        <w:tc>
          <w:tcPr>
            <w:tcW w:w="1620" w:type="dxa"/>
          </w:tcPr>
          <w:p w14:paraId="004591C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108</w:t>
            </w:r>
          </w:p>
        </w:tc>
        <w:tc>
          <w:tcPr>
            <w:tcW w:w="1530" w:type="dxa"/>
          </w:tcPr>
          <w:p w14:paraId="07F72BE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46.2</w:t>
            </w:r>
          </w:p>
        </w:tc>
      </w:tr>
      <w:tr w:rsidR="00B04C61" w:rsidRPr="0032506F" w14:paraId="1F449B82" w14:textId="77777777" w:rsidTr="002864C3">
        <w:tc>
          <w:tcPr>
            <w:tcW w:w="5670" w:type="dxa"/>
          </w:tcPr>
          <w:p w14:paraId="5C263F61"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Doctoral student</w:t>
            </w:r>
          </w:p>
        </w:tc>
        <w:tc>
          <w:tcPr>
            <w:tcW w:w="1620" w:type="dxa"/>
          </w:tcPr>
          <w:p w14:paraId="425A5ED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40</w:t>
            </w:r>
          </w:p>
        </w:tc>
        <w:tc>
          <w:tcPr>
            <w:tcW w:w="1530" w:type="dxa"/>
          </w:tcPr>
          <w:p w14:paraId="1FF5442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17.1</w:t>
            </w:r>
          </w:p>
        </w:tc>
      </w:tr>
      <w:tr w:rsidR="00B04C61" w:rsidRPr="0032506F" w14:paraId="1A0F11CC" w14:textId="77777777" w:rsidTr="002864C3">
        <w:tc>
          <w:tcPr>
            <w:tcW w:w="5670" w:type="dxa"/>
          </w:tcPr>
          <w:p w14:paraId="260E9010"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Post-doctorate</w:t>
            </w:r>
          </w:p>
        </w:tc>
        <w:tc>
          <w:tcPr>
            <w:tcW w:w="1620" w:type="dxa"/>
          </w:tcPr>
          <w:p w14:paraId="17B9746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w:t>
            </w:r>
          </w:p>
        </w:tc>
        <w:tc>
          <w:tcPr>
            <w:tcW w:w="1530" w:type="dxa"/>
          </w:tcPr>
          <w:p w14:paraId="40B27A6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0.4</w:t>
            </w:r>
          </w:p>
        </w:tc>
      </w:tr>
      <w:tr w:rsidR="00B04C61" w:rsidRPr="0032506F" w14:paraId="75EB8754" w14:textId="77777777" w:rsidTr="002864C3">
        <w:tc>
          <w:tcPr>
            <w:tcW w:w="5670" w:type="dxa"/>
          </w:tcPr>
          <w:p w14:paraId="4F2A780E"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Other student status</w:t>
            </w:r>
          </w:p>
        </w:tc>
        <w:tc>
          <w:tcPr>
            <w:tcW w:w="1620" w:type="dxa"/>
          </w:tcPr>
          <w:p w14:paraId="2B4C8CB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6</w:t>
            </w:r>
          </w:p>
        </w:tc>
        <w:tc>
          <w:tcPr>
            <w:tcW w:w="1530" w:type="dxa"/>
          </w:tcPr>
          <w:p w14:paraId="32BF74A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2.6</w:t>
            </w:r>
          </w:p>
        </w:tc>
      </w:tr>
      <w:tr w:rsidR="00B04C61" w:rsidRPr="0032506F" w14:paraId="2A402D40" w14:textId="77777777" w:rsidTr="002864C3">
        <w:tc>
          <w:tcPr>
            <w:tcW w:w="5670" w:type="dxa"/>
          </w:tcPr>
          <w:p w14:paraId="67B39F18"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Employment Status</w:t>
            </w:r>
          </w:p>
        </w:tc>
        <w:tc>
          <w:tcPr>
            <w:tcW w:w="1620" w:type="dxa"/>
          </w:tcPr>
          <w:p w14:paraId="70EB460A" w14:textId="77777777" w:rsidR="00B04C61" w:rsidRPr="0032506F" w:rsidRDefault="00B04C61" w:rsidP="002864C3">
            <w:pPr>
              <w:jc w:val="center"/>
              <w:rPr>
                <w:rFonts w:ascii="Times New Roman" w:hAnsi="Times New Roman" w:cs="Times New Roman"/>
                <w:iCs/>
                <w:sz w:val="24"/>
                <w:szCs w:val="24"/>
              </w:rPr>
            </w:pPr>
          </w:p>
        </w:tc>
        <w:tc>
          <w:tcPr>
            <w:tcW w:w="1530" w:type="dxa"/>
          </w:tcPr>
          <w:p w14:paraId="0CEAE42C" w14:textId="77777777" w:rsidR="00B04C61" w:rsidRPr="0032506F" w:rsidRDefault="00B04C61" w:rsidP="002864C3">
            <w:pPr>
              <w:jc w:val="center"/>
              <w:rPr>
                <w:rFonts w:ascii="Times New Roman" w:hAnsi="Times New Roman" w:cs="Times New Roman"/>
                <w:iCs/>
                <w:sz w:val="24"/>
                <w:szCs w:val="24"/>
              </w:rPr>
            </w:pPr>
          </w:p>
        </w:tc>
      </w:tr>
      <w:tr w:rsidR="00B04C61" w:rsidRPr="0032506F" w14:paraId="68B423CC" w14:textId="77777777" w:rsidTr="002864C3">
        <w:tc>
          <w:tcPr>
            <w:tcW w:w="5670" w:type="dxa"/>
          </w:tcPr>
          <w:p w14:paraId="7B14ABBD"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Full time</w:t>
            </w:r>
          </w:p>
        </w:tc>
        <w:tc>
          <w:tcPr>
            <w:tcW w:w="1620" w:type="dxa"/>
          </w:tcPr>
          <w:p w14:paraId="630D7A6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135</w:t>
            </w:r>
          </w:p>
        </w:tc>
        <w:tc>
          <w:tcPr>
            <w:tcW w:w="1530" w:type="dxa"/>
          </w:tcPr>
          <w:p w14:paraId="171DAE4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57.7</w:t>
            </w:r>
          </w:p>
        </w:tc>
      </w:tr>
      <w:tr w:rsidR="00B04C61" w:rsidRPr="0032506F" w14:paraId="201B8B58" w14:textId="77777777" w:rsidTr="002864C3">
        <w:tc>
          <w:tcPr>
            <w:tcW w:w="5670" w:type="dxa"/>
          </w:tcPr>
          <w:p w14:paraId="61CE3DEC"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Part time</w:t>
            </w:r>
          </w:p>
        </w:tc>
        <w:tc>
          <w:tcPr>
            <w:tcW w:w="1620" w:type="dxa"/>
          </w:tcPr>
          <w:p w14:paraId="402A6764"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62</w:t>
            </w:r>
          </w:p>
        </w:tc>
        <w:tc>
          <w:tcPr>
            <w:tcW w:w="1530" w:type="dxa"/>
          </w:tcPr>
          <w:p w14:paraId="35CD4D4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26.5</w:t>
            </w:r>
          </w:p>
        </w:tc>
      </w:tr>
      <w:tr w:rsidR="00B04C61" w:rsidRPr="0032506F" w14:paraId="6F2D34A7" w14:textId="77777777" w:rsidTr="002864C3">
        <w:tc>
          <w:tcPr>
            <w:tcW w:w="5670" w:type="dxa"/>
          </w:tcPr>
          <w:p w14:paraId="5BBD78EC"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Not currently employed</w:t>
            </w:r>
          </w:p>
        </w:tc>
        <w:tc>
          <w:tcPr>
            <w:tcW w:w="1620" w:type="dxa"/>
          </w:tcPr>
          <w:p w14:paraId="0ED4DA4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34</w:t>
            </w:r>
          </w:p>
        </w:tc>
        <w:tc>
          <w:tcPr>
            <w:tcW w:w="1530" w:type="dxa"/>
          </w:tcPr>
          <w:p w14:paraId="16C7199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14.5</w:t>
            </w:r>
          </w:p>
        </w:tc>
      </w:tr>
      <w:tr w:rsidR="00B04C61" w:rsidRPr="0032506F" w14:paraId="317F7D95" w14:textId="77777777" w:rsidTr="002864C3">
        <w:tc>
          <w:tcPr>
            <w:tcW w:w="5670" w:type="dxa"/>
          </w:tcPr>
          <w:p w14:paraId="3449EE78"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Not applicable</w:t>
            </w:r>
          </w:p>
        </w:tc>
        <w:tc>
          <w:tcPr>
            <w:tcW w:w="1620" w:type="dxa"/>
          </w:tcPr>
          <w:p w14:paraId="134E388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w:t>
            </w:r>
          </w:p>
        </w:tc>
        <w:tc>
          <w:tcPr>
            <w:tcW w:w="1530" w:type="dxa"/>
          </w:tcPr>
          <w:p w14:paraId="3ADC5396"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w:t>
            </w:r>
          </w:p>
        </w:tc>
      </w:tr>
      <w:tr w:rsidR="00B04C61" w:rsidRPr="0032506F" w14:paraId="2800862B" w14:textId="77777777" w:rsidTr="002864C3">
        <w:tc>
          <w:tcPr>
            <w:tcW w:w="5670" w:type="dxa"/>
          </w:tcPr>
          <w:p w14:paraId="030179AD"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Marital Status</w:t>
            </w:r>
          </w:p>
        </w:tc>
        <w:tc>
          <w:tcPr>
            <w:tcW w:w="1620" w:type="dxa"/>
          </w:tcPr>
          <w:p w14:paraId="6AA58C54" w14:textId="77777777" w:rsidR="00B04C61" w:rsidRPr="0032506F" w:rsidRDefault="00B04C61" w:rsidP="002864C3">
            <w:pPr>
              <w:jc w:val="center"/>
              <w:rPr>
                <w:rFonts w:ascii="Times New Roman" w:hAnsi="Times New Roman" w:cs="Times New Roman"/>
                <w:iCs/>
                <w:sz w:val="24"/>
                <w:szCs w:val="24"/>
              </w:rPr>
            </w:pPr>
          </w:p>
        </w:tc>
        <w:tc>
          <w:tcPr>
            <w:tcW w:w="1530" w:type="dxa"/>
          </w:tcPr>
          <w:p w14:paraId="6C057258" w14:textId="77777777" w:rsidR="00B04C61" w:rsidRPr="0032506F" w:rsidRDefault="00B04C61" w:rsidP="002864C3">
            <w:pPr>
              <w:jc w:val="center"/>
              <w:rPr>
                <w:rFonts w:ascii="Times New Roman" w:hAnsi="Times New Roman" w:cs="Times New Roman"/>
                <w:iCs/>
                <w:sz w:val="24"/>
                <w:szCs w:val="24"/>
              </w:rPr>
            </w:pPr>
          </w:p>
        </w:tc>
      </w:tr>
      <w:tr w:rsidR="00B04C61" w:rsidRPr="0032506F" w14:paraId="1899411A" w14:textId="77777777" w:rsidTr="002864C3">
        <w:tc>
          <w:tcPr>
            <w:tcW w:w="5670" w:type="dxa"/>
          </w:tcPr>
          <w:p w14:paraId="3727DE30"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Single</w:t>
            </w:r>
          </w:p>
        </w:tc>
        <w:tc>
          <w:tcPr>
            <w:tcW w:w="1620" w:type="dxa"/>
          </w:tcPr>
          <w:p w14:paraId="0F83A49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115</w:t>
            </w:r>
          </w:p>
        </w:tc>
        <w:tc>
          <w:tcPr>
            <w:tcW w:w="1530" w:type="dxa"/>
          </w:tcPr>
          <w:p w14:paraId="484EF85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49.1</w:t>
            </w:r>
          </w:p>
        </w:tc>
      </w:tr>
      <w:tr w:rsidR="00B04C61" w:rsidRPr="0032506F" w14:paraId="1CE92E14" w14:textId="77777777" w:rsidTr="002864C3">
        <w:tc>
          <w:tcPr>
            <w:tcW w:w="5670" w:type="dxa"/>
          </w:tcPr>
          <w:p w14:paraId="4A6337B8"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Married</w:t>
            </w:r>
          </w:p>
        </w:tc>
        <w:tc>
          <w:tcPr>
            <w:tcW w:w="1620" w:type="dxa"/>
          </w:tcPr>
          <w:p w14:paraId="5B5D6D4D"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97</w:t>
            </w:r>
          </w:p>
        </w:tc>
        <w:tc>
          <w:tcPr>
            <w:tcW w:w="1530" w:type="dxa"/>
          </w:tcPr>
          <w:p w14:paraId="2A370C8C"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41.5</w:t>
            </w:r>
          </w:p>
        </w:tc>
      </w:tr>
      <w:tr w:rsidR="00B04C61" w:rsidRPr="0032506F" w14:paraId="5D2FA3FE" w14:textId="77777777" w:rsidTr="002864C3">
        <w:tc>
          <w:tcPr>
            <w:tcW w:w="5670" w:type="dxa"/>
          </w:tcPr>
          <w:p w14:paraId="3899793A" w14:textId="77777777" w:rsidR="00B04C61" w:rsidRPr="0032506F" w:rsidRDefault="00B04C61" w:rsidP="002864C3">
            <w:pPr>
              <w:ind w:firstLine="432"/>
              <w:jc w:val="both"/>
              <w:rPr>
                <w:rFonts w:ascii="Times New Roman" w:hAnsi="Times New Roman" w:cs="Times New Roman"/>
                <w:iCs/>
                <w:sz w:val="24"/>
                <w:szCs w:val="24"/>
              </w:rPr>
            </w:pPr>
            <w:r w:rsidRPr="0032506F">
              <w:rPr>
                <w:rFonts w:ascii="Times New Roman" w:hAnsi="Times New Roman" w:cs="Times New Roman"/>
                <w:iCs/>
                <w:sz w:val="24"/>
                <w:szCs w:val="24"/>
              </w:rPr>
              <w:t>Divorced</w:t>
            </w:r>
          </w:p>
        </w:tc>
        <w:tc>
          <w:tcPr>
            <w:tcW w:w="1620" w:type="dxa"/>
          </w:tcPr>
          <w:p w14:paraId="72CC763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11</w:t>
            </w:r>
          </w:p>
        </w:tc>
        <w:tc>
          <w:tcPr>
            <w:tcW w:w="1530" w:type="dxa"/>
          </w:tcPr>
          <w:p w14:paraId="28E11000"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4.7</w:t>
            </w:r>
          </w:p>
        </w:tc>
      </w:tr>
      <w:tr w:rsidR="00B04C61" w:rsidRPr="0032506F" w14:paraId="2AF1D972" w14:textId="77777777" w:rsidTr="002864C3">
        <w:tc>
          <w:tcPr>
            <w:tcW w:w="5670" w:type="dxa"/>
            <w:tcBorders>
              <w:bottom w:val="single" w:sz="8" w:space="0" w:color="auto"/>
            </w:tcBorders>
          </w:tcPr>
          <w:p w14:paraId="07B338DE" w14:textId="77777777" w:rsidR="00B04C61" w:rsidRPr="0032506F" w:rsidRDefault="00B04C61" w:rsidP="002864C3">
            <w:pPr>
              <w:ind w:firstLine="432"/>
              <w:jc w:val="both"/>
              <w:rPr>
                <w:rFonts w:ascii="Times New Roman" w:hAnsi="Times New Roman" w:cs="Times New Roman"/>
                <w:i/>
                <w:iCs/>
                <w:sz w:val="24"/>
                <w:szCs w:val="24"/>
              </w:rPr>
            </w:pPr>
            <w:r w:rsidRPr="0032506F">
              <w:rPr>
                <w:rFonts w:ascii="Times New Roman" w:hAnsi="Times New Roman" w:cs="Times New Roman"/>
                <w:iCs/>
                <w:sz w:val="24"/>
                <w:szCs w:val="24"/>
              </w:rPr>
              <w:t xml:space="preserve">Other </w:t>
            </w:r>
          </w:p>
        </w:tc>
        <w:tc>
          <w:tcPr>
            <w:tcW w:w="1620" w:type="dxa"/>
            <w:tcBorders>
              <w:bottom w:val="single" w:sz="8" w:space="0" w:color="auto"/>
            </w:tcBorders>
          </w:tcPr>
          <w:p w14:paraId="01995E37"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Cs/>
                <w:sz w:val="24"/>
                <w:szCs w:val="24"/>
              </w:rPr>
              <w:t>11</w:t>
            </w:r>
          </w:p>
        </w:tc>
        <w:tc>
          <w:tcPr>
            <w:tcW w:w="1530" w:type="dxa"/>
            <w:tcBorders>
              <w:bottom w:val="single" w:sz="8" w:space="0" w:color="auto"/>
            </w:tcBorders>
          </w:tcPr>
          <w:p w14:paraId="73C014FB"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Cs/>
                <w:sz w:val="24"/>
                <w:szCs w:val="24"/>
              </w:rPr>
              <w:t>4.7</w:t>
            </w:r>
          </w:p>
        </w:tc>
      </w:tr>
    </w:tbl>
    <w:p w14:paraId="66DFDB8E" w14:textId="77777777" w:rsidR="00B04C61" w:rsidRPr="0032506F" w:rsidRDefault="00B04C61" w:rsidP="00B04C61">
      <w:pPr>
        <w:pStyle w:val="Heading2"/>
      </w:pPr>
      <w:bookmarkStart w:id="189" w:name="_Appendix_H_"/>
      <w:bookmarkStart w:id="190" w:name="_Toc102489486"/>
      <w:bookmarkEnd w:id="188"/>
      <w:bookmarkEnd w:id="189"/>
      <w:r w:rsidRPr="0032506F">
        <w:lastRenderedPageBreak/>
        <w:t xml:space="preserve">Appendix </w:t>
      </w:r>
      <w:r>
        <w:t>H</w:t>
      </w:r>
      <w:r w:rsidRPr="0032506F">
        <w:t xml:space="preserve">  Participants’ Inclusiveness, Bias, and Accessibility Characteristics</w:t>
      </w:r>
      <w:bookmarkEnd w:id="190"/>
      <w:r w:rsidRPr="0032506F">
        <w:t xml:space="preserve"> </w:t>
      </w:r>
    </w:p>
    <w:p w14:paraId="34F6B5BF" w14:textId="77777777" w:rsidR="00B04C61" w:rsidRPr="0032506F" w:rsidRDefault="00B04C61" w:rsidP="00B04C61">
      <w:pPr>
        <w:rPr>
          <w:rFonts w:ascii="Times New Roman" w:hAnsi="Times New Roman" w:cs="Times New Roman"/>
          <w:sz w:val="24"/>
          <w:szCs w:val="24"/>
        </w:rPr>
      </w:pPr>
      <w:r w:rsidRPr="0032506F">
        <w:rPr>
          <w:rFonts w:ascii="Times New Roman" w:hAnsi="Times New Roman" w:cs="Times New Roman"/>
          <w:i/>
          <w:iCs/>
          <w:sz w:val="24"/>
          <w:szCs w:val="24"/>
        </w:rPr>
        <w:t>Inclusiveness and Bias Characteristics (N=234)</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0"/>
        <w:gridCol w:w="1620"/>
        <w:gridCol w:w="1440"/>
        <w:gridCol w:w="1440"/>
      </w:tblGrid>
      <w:tr w:rsidR="00B04C61" w:rsidRPr="0032506F" w14:paraId="1AFAD684" w14:textId="77777777" w:rsidTr="002864C3">
        <w:tc>
          <w:tcPr>
            <w:tcW w:w="4050" w:type="dxa"/>
            <w:tcBorders>
              <w:top w:val="single" w:sz="8" w:space="0" w:color="auto"/>
              <w:bottom w:val="single" w:sz="8" w:space="0" w:color="auto"/>
            </w:tcBorders>
          </w:tcPr>
          <w:p w14:paraId="77A72E16"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Perceptions of Bias and Inclusiveness</w:t>
            </w:r>
          </w:p>
        </w:tc>
        <w:tc>
          <w:tcPr>
            <w:tcW w:w="1620" w:type="dxa"/>
            <w:tcBorders>
              <w:top w:val="single" w:sz="8" w:space="0" w:color="auto"/>
              <w:bottom w:val="single" w:sz="8" w:space="0" w:color="auto"/>
            </w:tcBorders>
          </w:tcPr>
          <w:p w14:paraId="639FE9B1"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Cs/>
                <w:sz w:val="24"/>
                <w:szCs w:val="24"/>
              </w:rPr>
              <w:t>Sometimes</w:t>
            </w:r>
          </w:p>
          <w:p w14:paraId="08D51421"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
                <w:iCs/>
                <w:sz w:val="24"/>
                <w:szCs w:val="24"/>
              </w:rPr>
              <w:t xml:space="preserve">n </w:t>
            </w:r>
            <w:r w:rsidRPr="0032506F">
              <w:rPr>
                <w:rFonts w:ascii="Times New Roman" w:hAnsi="Times New Roman" w:cs="Times New Roman"/>
                <w:sz w:val="24"/>
                <w:szCs w:val="24"/>
              </w:rPr>
              <w:t>(%)</w:t>
            </w:r>
          </w:p>
        </w:tc>
        <w:tc>
          <w:tcPr>
            <w:tcW w:w="1440" w:type="dxa"/>
            <w:tcBorders>
              <w:top w:val="single" w:sz="8" w:space="0" w:color="auto"/>
              <w:bottom w:val="single" w:sz="8" w:space="0" w:color="auto"/>
            </w:tcBorders>
          </w:tcPr>
          <w:p w14:paraId="7171EDE2" w14:textId="77777777" w:rsidR="00B04C61" w:rsidRPr="0032506F" w:rsidRDefault="00B04C61" w:rsidP="002864C3">
            <w:pPr>
              <w:jc w:val="center"/>
              <w:rPr>
                <w:rFonts w:ascii="Times New Roman" w:hAnsi="Times New Roman" w:cs="Times New Roman"/>
                <w:sz w:val="24"/>
                <w:szCs w:val="24"/>
              </w:rPr>
            </w:pPr>
            <w:r w:rsidRPr="0032506F">
              <w:rPr>
                <w:rFonts w:ascii="Times New Roman" w:hAnsi="Times New Roman" w:cs="Times New Roman"/>
                <w:sz w:val="24"/>
                <w:szCs w:val="24"/>
              </w:rPr>
              <w:t>Often</w:t>
            </w:r>
          </w:p>
          <w:p w14:paraId="3ABFE446"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
                <w:iCs/>
                <w:sz w:val="24"/>
                <w:szCs w:val="24"/>
              </w:rPr>
              <w:t xml:space="preserve">n </w:t>
            </w:r>
            <w:r w:rsidRPr="0032506F">
              <w:rPr>
                <w:rFonts w:ascii="Times New Roman" w:hAnsi="Times New Roman" w:cs="Times New Roman"/>
                <w:sz w:val="24"/>
                <w:szCs w:val="24"/>
              </w:rPr>
              <w:t>(%)</w:t>
            </w:r>
          </w:p>
        </w:tc>
        <w:tc>
          <w:tcPr>
            <w:tcW w:w="1440" w:type="dxa"/>
            <w:tcBorders>
              <w:top w:val="single" w:sz="8" w:space="0" w:color="auto"/>
              <w:bottom w:val="single" w:sz="8" w:space="0" w:color="auto"/>
            </w:tcBorders>
          </w:tcPr>
          <w:p w14:paraId="6EA51DEE" w14:textId="77777777" w:rsidR="00B04C61" w:rsidRPr="0032506F" w:rsidRDefault="00B04C61" w:rsidP="002864C3">
            <w:pPr>
              <w:jc w:val="center"/>
              <w:rPr>
                <w:rFonts w:ascii="Times New Roman" w:hAnsi="Times New Roman" w:cs="Times New Roman"/>
                <w:sz w:val="24"/>
                <w:szCs w:val="24"/>
              </w:rPr>
            </w:pPr>
            <w:r w:rsidRPr="0032506F">
              <w:rPr>
                <w:rFonts w:ascii="Times New Roman" w:hAnsi="Times New Roman" w:cs="Times New Roman"/>
                <w:sz w:val="24"/>
                <w:szCs w:val="24"/>
              </w:rPr>
              <w:t>Always</w:t>
            </w:r>
          </w:p>
          <w:p w14:paraId="4F7A1EC2"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
                <w:iCs/>
                <w:sz w:val="24"/>
                <w:szCs w:val="24"/>
              </w:rPr>
              <w:t xml:space="preserve">n </w:t>
            </w:r>
            <w:r w:rsidRPr="0032506F">
              <w:rPr>
                <w:rFonts w:ascii="Times New Roman" w:hAnsi="Times New Roman" w:cs="Times New Roman"/>
                <w:sz w:val="24"/>
                <w:szCs w:val="24"/>
              </w:rPr>
              <w:t>(%)</w:t>
            </w:r>
          </w:p>
        </w:tc>
      </w:tr>
      <w:tr w:rsidR="00B04C61" w:rsidRPr="0032506F" w14:paraId="6470C8C0" w14:textId="77777777" w:rsidTr="002864C3">
        <w:tc>
          <w:tcPr>
            <w:tcW w:w="4050" w:type="dxa"/>
            <w:tcBorders>
              <w:top w:val="single" w:sz="8" w:space="0" w:color="auto"/>
            </w:tcBorders>
          </w:tcPr>
          <w:p w14:paraId="240437DB" w14:textId="77777777" w:rsidR="00B04C61" w:rsidRPr="0032506F" w:rsidRDefault="00B04C61" w:rsidP="002864C3">
            <w:pPr>
              <w:jc w:val="both"/>
              <w:rPr>
                <w:rFonts w:ascii="Times New Roman" w:hAnsi="Times New Roman" w:cs="Times New Roman"/>
                <w:sz w:val="24"/>
                <w:szCs w:val="24"/>
              </w:rPr>
            </w:pPr>
            <w:bookmarkStart w:id="191" w:name="_Hlk99370045"/>
            <w:r w:rsidRPr="0032506F">
              <w:rPr>
                <w:rFonts w:ascii="Times New Roman" w:hAnsi="Times New Roman" w:cs="Times New Roman"/>
                <w:sz w:val="24"/>
                <w:szCs w:val="24"/>
              </w:rPr>
              <w:t>Racial/Ethnic Bias in Online Classes</w:t>
            </w:r>
            <w:bookmarkEnd w:id="191"/>
          </w:p>
        </w:tc>
        <w:tc>
          <w:tcPr>
            <w:tcW w:w="1620" w:type="dxa"/>
            <w:tcBorders>
              <w:top w:val="single" w:sz="8" w:space="0" w:color="auto"/>
            </w:tcBorders>
          </w:tcPr>
          <w:p w14:paraId="50DFA55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14 (6.0)</w:t>
            </w:r>
          </w:p>
        </w:tc>
        <w:tc>
          <w:tcPr>
            <w:tcW w:w="1440" w:type="dxa"/>
            <w:tcBorders>
              <w:top w:val="single" w:sz="8" w:space="0" w:color="auto"/>
            </w:tcBorders>
          </w:tcPr>
          <w:p w14:paraId="2ED72A8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 (0.4)</w:t>
            </w:r>
          </w:p>
        </w:tc>
        <w:tc>
          <w:tcPr>
            <w:tcW w:w="1440" w:type="dxa"/>
            <w:tcBorders>
              <w:top w:val="single" w:sz="8" w:space="0" w:color="auto"/>
            </w:tcBorders>
          </w:tcPr>
          <w:p w14:paraId="0F87B67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 (0.4)</w:t>
            </w:r>
          </w:p>
        </w:tc>
      </w:tr>
      <w:tr w:rsidR="00B04C61" w:rsidRPr="0032506F" w14:paraId="5D79E967" w14:textId="77777777" w:rsidTr="002864C3">
        <w:tc>
          <w:tcPr>
            <w:tcW w:w="4050" w:type="dxa"/>
          </w:tcPr>
          <w:p w14:paraId="55D26ACE"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Gender Bias in Online Classes</w:t>
            </w:r>
          </w:p>
        </w:tc>
        <w:tc>
          <w:tcPr>
            <w:tcW w:w="1620" w:type="dxa"/>
          </w:tcPr>
          <w:p w14:paraId="045840C0"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 (7.3)</w:t>
            </w:r>
          </w:p>
        </w:tc>
        <w:tc>
          <w:tcPr>
            <w:tcW w:w="1440" w:type="dxa"/>
          </w:tcPr>
          <w:p w14:paraId="48B8A60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 (0.9)</w:t>
            </w:r>
          </w:p>
        </w:tc>
        <w:tc>
          <w:tcPr>
            <w:tcW w:w="1440" w:type="dxa"/>
          </w:tcPr>
          <w:p w14:paraId="6EC6D8D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 (0)</w:t>
            </w:r>
          </w:p>
        </w:tc>
      </w:tr>
      <w:tr w:rsidR="00B04C61" w:rsidRPr="0032506F" w14:paraId="3034305F" w14:textId="77777777" w:rsidTr="002864C3">
        <w:tc>
          <w:tcPr>
            <w:tcW w:w="4050" w:type="dxa"/>
          </w:tcPr>
          <w:p w14:paraId="28FBF5E7"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Religion Bias in Online Classes</w:t>
            </w:r>
          </w:p>
        </w:tc>
        <w:tc>
          <w:tcPr>
            <w:tcW w:w="1620" w:type="dxa"/>
          </w:tcPr>
          <w:p w14:paraId="65155E7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11 (4.7)</w:t>
            </w:r>
          </w:p>
        </w:tc>
        <w:tc>
          <w:tcPr>
            <w:tcW w:w="1440" w:type="dxa"/>
          </w:tcPr>
          <w:p w14:paraId="7FD5898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 (2.1)</w:t>
            </w:r>
          </w:p>
        </w:tc>
        <w:tc>
          <w:tcPr>
            <w:tcW w:w="1440" w:type="dxa"/>
          </w:tcPr>
          <w:p w14:paraId="3E0A679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 (0)</w:t>
            </w:r>
          </w:p>
        </w:tc>
      </w:tr>
      <w:tr w:rsidR="00B04C61" w:rsidRPr="0032506F" w14:paraId="414ED935" w14:textId="77777777" w:rsidTr="002864C3">
        <w:tc>
          <w:tcPr>
            <w:tcW w:w="4050" w:type="dxa"/>
          </w:tcPr>
          <w:p w14:paraId="5D30684E"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 xml:space="preserve">Socio-economic Bias in Online Classes </w:t>
            </w:r>
          </w:p>
        </w:tc>
        <w:tc>
          <w:tcPr>
            <w:tcW w:w="1620" w:type="dxa"/>
          </w:tcPr>
          <w:p w14:paraId="251E503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 (7.3)</w:t>
            </w:r>
          </w:p>
        </w:tc>
        <w:tc>
          <w:tcPr>
            <w:tcW w:w="1440" w:type="dxa"/>
          </w:tcPr>
          <w:p w14:paraId="16F89D6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6 (2.6)</w:t>
            </w:r>
          </w:p>
        </w:tc>
        <w:tc>
          <w:tcPr>
            <w:tcW w:w="1440" w:type="dxa"/>
          </w:tcPr>
          <w:p w14:paraId="5ABA8A0C"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 (0)</w:t>
            </w:r>
          </w:p>
        </w:tc>
      </w:tr>
      <w:tr w:rsidR="00B04C61" w:rsidRPr="0032506F" w14:paraId="66AAF3ED" w14:textId="77777777" w:rsidTr="002864C3">
        <w:tc>
          <w:tcPr>
            <w:tcW w:w="4050" w:type="dxa"/>
          </w:tcPr>
          <w:p w14:paraId="08EFA0D9"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Underrepresentation in Online Classes</w:t>
            </w:r>
          </w:p>
        </w:tc>
        <w:tc>
          <w:tcPr>
            <w:tcW w:w="1620" w:type="dxa"/>
          </w:tcPr>
          <w:p w14:paraId="6BFA4918"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25 (10.7)</w:t>
            </w:r>
          </w:p>
        </w:tc>
        <w:tc>
          <w:tcPr>
            <w:tcW w:w="1440" w:type="dxa"/>
          </w:tcPr>
          <w:p w14:paraId="7BD31A9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14 (6.0)</w:t>
            </w:r>
          </w:p>
        </w:tc>
        <w:tc>
          <w:tcPr>
            <w:tcW w:w="1440" w:type="dxa"/>
          </w:tcPr>
          <w:p w14:paraId="6CB13E2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 (3.0)</w:t>
            </w:r>
          </w:p>
        </w:tc>
      </w:tr>
      <w:tr w:rsidR="00B04C61" w:rsidRPr="0032506F" w14:paraId="4DE79794" w14:textId="77777777" w:rsidTr="002864C3">
        <w:tc>
          <w:tcPr>
            <w:tcW w:w="4050" w:type="dxa"/>
          </w:tcPr>
          <w:p w14:paraId="475CB220"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Not Belonging to Online Community</w:t>
            </w:r>
          </w:p>
        </w:tc>
        <w:tc>
          <w:tcPr>
            <w:tcW w:w="1620" w:type="dxa"/>
          </w:tcPr>
          <w:p w14:paraId="4A2A461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41 (17.5)</w:t>
            </w:r>
          </w:p>
        </w:tc>
        <w:tc>
          <w:tcPr>
            <w:tcW w:w="1440" w:type="dxa"/>
          </w:tcPr>
          <w:p w14:paraId="52D00A1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 (5.6)</w:t>
            </w:r>
          </w:p>
        </w:tc>
        <w:tc>
          <w:tcPr>
            <w:tcW w:w="1440" w:type="dxa"/>
          </w:tcPr>
          <w:p w14:paraId="121F17F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 (0.4)</w:t>
            </w:r>
          </w:p>
        </w:tc>
      </w:tr>
      <w:tr w:rsidR="00B04C61" w:rsidRPr="0032506F" w14:paraId="69B5F189" w14:textId="77777777" w:rsidTr="002864C3">
        <w:tc>
          <w:tcPr>
            <w:tcW w:w="4050" w:type="dxa"/>
          </w:tcPr>
          <w:p w14:paraId="48AEE6BA" w14:textId="77777777" w:rsidR="00B04C61" w:rsidRPr="0032506F" w:rsidRDefault="00B04C61" w:rsidP="002864C3">
            <w:pPr>
              <w:ind w:left="288" w:hanging="288"/>
              <w:jc w:val="both"/>
              <w:rPr>
                <w:rFonts w:ascii="Times New Roman" w:hAnsi="Times New Roman" w:cs="Times New Roman"/>
                <w:sz w:val="24"/>
                <w:szCs w:val="24"/>
              </w:rPr>
            </w:pPr>
            <w:r w:rsidRPr="0032506F">
              <w:rPr>
                <w:rFonts w:ascii="Times New Roman" w:hAnsi="Times New Roman" w:cs="Times New Roman"/>
                <w:sz w:val="24"/>
                <w:szCs w:val="24"/>
              </w:rPr>
              <w:t>Opinions Not Respected or Valued by Online Course Instructors</w:t>
            </w:r>
          </w:p>
        </w:tc>
        <w:tc>
          <w:tcPr>
            <w:tcW w:w="1620" w:type="dxa"/>
          </w:tcPr>
          <w:p w14:paraId="78D63EDD"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17 (7.3)</w:t>
            </w:r>
          </w:p>
        </w:tc>
        <w:tc>
          <w:tcPr>
            <w:tcW w:w="1440" w:type="dxa"/>
          </w:tcPr>
          <w:p w14:paraId="4E36A78F"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 (1.7)</w:t>
            </w:r>
          </w:p>
        </w:tc>
        <w:tc>
          <w:tcPr>
            <w:tcW w:w="1440" w:type="dxa"/>
          </w:tcPr>
          <w:p w14:paraId="21C6FBC8"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 (0.4)</w:t>
            </w:r>
          </w:p>
        </w:tc>
      </w:tr>
      <w:tr w:rsidR="00B04C61" w:rsidRPr="0032506F" w14:paraId="6A30F081" w14:textId="77777777" w:rsidTr="002864C3">
        <w:tc>
          <w:tcPr>
            <w:tcW w:w="4050" w:type="dxa"/>
          </w:tcPr>
          <w:p w14:paraId="03FFF25C" w14:textId="77777777" w:rsidR="00B04C61" w:rsidRPr="0032506F" w:rsidRDefault="00B04C61" w:rsidP="002864C3">
            <w:pPr>
              <w:ind w:left="288" w:hanging="288"/>
              <w:jc w:val="both"/>
              <w:rPr>
                <w:rFonts w:ascii="Times New Roman" w:hAnsi="Times New Roman" w:cs="Times New Roman"/>
                <w:sz w:val="24"/>
                <w:szCs w:val="24"/>
              </w:rPr>
            </w:pPr>
            <w:r w:rsidRPr="0032506F">
              <w:rPr>
                <w:rFonts w:ascii="Times New Roman" w:hAnsi="Times New Roman" w:cs="Times New Roman"/>
                <w:sz w:val="24"/>
                <w:szCs w:val="24"/>
              </w:rPr>
              <w:t>Opinions Not Respected or Valued by Peers</w:t>
            </w:r>
          </w:p>
        </w:tc>
        <w:tc>
          <w:tcPr>
            <w:tcW w:w="1620" w:type="dxa"/>
          </w:tcPr>
          <w:p w14:paraId="0D0161E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25 (10.7)</w:t>
            </w:r>
          </w:p>
        </w:tc>
        <w:tc>
          <w:tcPr>
            <w:tcW w:w="1440" w:type="dxa"/>
          </w:tcPr>
          <w:p w14:paraId="0914BFE5"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 (1.7)</w:t>
            </w:r>
          </w:p>
        </w:tc>
        <w:tc>
          <w:tcPr>
            <w:tcW w:w="1440" w:type="dxa"/>
          </w:tcPr>
          <w:p w14:paraId="7C126EC8"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 (0)</w:t>
            </w:r>
          </w:p>
        </w:tc>
      </w:tr>
      <w:tr w:rsidR="00B04C61" w:rsidRPr="0032506F" w14:paraId="11053DFE" w14:textId="77777777" w:rsidTr="002864C3">
        <w:tc>
          <w:tcPr>
            <w:tcW w:w="4050" w:type="dxa"/>
          </w:tcPr>
          <w:p w14:paraId="72877CD2" w14:textId="77777777" w:rsidR="00B04C61" w:rsidRPr="0032506F" w:rsidRDefault="00B04C61" w:rsidP="002864C3">
            <w:pPr>
              <w:ind w:left="288" w:hanging="288"/>
              <w:rPr>
                <w:rFonts w:ascii="Times New Roman" w:hAnsi="Times New Roman" w:cs="Times New Roman"/>
                <w:sz w:val="24"/>
                <w:szCs w:val="24"/>
              </w:rPr>
            </w:pPr>
            <w:r w:rsidRPr="0032506F">
              <w:rPr>
                <w:rFonts w:ascii="Times New Roman" w:hAnsi="Times New Roman" w:cs="Times New Roman"/>
                <w:sz w:val="24"/>
                <w:szCs w:val="24"/>
              </w:rPr>
              <w:t>Feeling Uncomfortable Sharing Perspectives in Online Classes</w:t>
            </w:r>
          </w:p>
        </w:tc>
        <w:tc>
          <w:tcPr>
            <w:tcW w:w="1620" w:type="dxa"/>
          </w:tcPr>
          <w:p w14:paraId="52CC7D1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55 (23.5)</w:t>
            </w:r>
          </w:p>
        </w:tc>
        <w:tc>
          <w:tcPr>
            <w:tcW w:w="1440" w:type="dxa"/>
          </w:tcPr>
          <w:p w14:paraId="09E71441"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13 (5.6)</w:t>
            </w:r>
          </w:p>
        </w:tc>
        <w:tc>
          <w:tcPr>
            <w:tcW w:w="1440" w:type="dxa"/>
          </w:tcPr>
          <w:p w14:paraId="0100A6A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 (1.3)</w:t>
            </w:r>
          </w:p>
        </w:tc>
      </w:tr>
      <w:tr w:rsidR="00B04C61" w:rsidRPr="0032506F" w14:paraId="309630DF" w14:textId="77777777" w:rsidTr="002864C3">
        <w:tc>
          <w:tcPr>
            <w:tcW w:w="4050" w:type="dxa"/>
          </w:tcPr>
          <w:p w14:paraId="1127E20A" w14:textId="77777777" w:rsidR="00B04C61" w:rsidRPr="0032506F" w:rsidRDefault="00B04C61" w:rsidP="002864C3">
            <w:pPr>
              <w:ind w:left="288" w:hanging="288"/>
              <w:rPr>
                <w:rFonts w:ascii="Times New Roman" w:hAnsi="Times New Roman" w:cs="Times New Roman"/>
                <w:sz w:val="24"/>
                <w:szCs w:val="24"/>
              </w:rPr>
            </w:pPr>
            <w:r w:rsidRPr="0032506F">
              <w:rPr>
                <w:rFonts w:ascii="Times New Roman" w:hAnsi="Times New Roman" w:cs="Times New Roman"/>
                <w:sz w:val="24"/>
                <w:szCs w:val="24"/>
              </w:rPr>
              <w:t>Feeling Dominated by the Mainstream Group in Online Classes</w:t>
            </w:r>
          </w:p>
        </w:tc>
        <w:tc>
          <w:tcPr>
            <w:tcW w:w="1620" w:type="dxa"/>
          </w:tcPr>
          <w:p w14:paraId="4217516B"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45 (19.2)</w:t>
            </w:r>
          </w:p>
        </w:tc>
        <w:tc>
          <w:tcPr>
            <w:tcW w:w="1440" w:type="dxa"/>
          </w:tcPr>
          <w:p w14:paraId="139B456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21 (9.0)</w:t>
            </w:r>
          </w:p>
        </w:tc>
        <w:tc>
          <w:tcPr>
            <w:tcW w:w="1440" w:type="dxa"/>
          </w:tcPr>
          <w:p w14:paraId="46C28C89"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7 (3.0)</w:t>
            </w:r>
          </w:p>
        </w:tc>
      </w:tr>
      <w:tr w:rsidR="00B04C61" w:rsidRPr="0032506F" w14:paraId="15D12056" w14:textId="77777777" w:rsidTr="002864C3">
        <w:tc>
          <w:tcPr>
            <w:tcW w:w="4050" w:type="dxa"/>
            <w:tcBorders>
              <w:bottom w:val="single" w:sz="8" w:space="0" w:color="auto"/>
            </w:tcBorders>
          </w:tcPr>
          <w:p w14:paraId="0CDDB155" w14:textId="77777777" w:rsidR="00B04C61" w:rsidRPr="0032506F" w:rsidRDefault="00B04C61" w:rsidP="002864C3">
            <w:pPr>
              <w:ind w:left="288" w:hanging="288"/>
              <w:rPr>
                <w:rFonts w:ascii="Times New Roman" w:hAnsi="Times New Roman" w:cs="Times New Roman"/>
                <w:sz w:val="24"/>
                <w:szCs w:val="24"/>
              </w:rPr>
            </w:pPr>
            <w:r w:rsidRPr="0032506F">
              <w:rPr>
                <w:rFonts w:ascii="Times New Roman" w:hAnsi="Times New Roman" w:cs="Times New Roman"/>
                <w:sz w:val="24"/>
                <w:szCs w:val="24"/>
              </w:rPr>
              <w:t>Feeling Uncomfortable with Peers’ Language in Online Discussions/Interactions</w:t>
            </w:r>
          </w:p>
        </w:tc>
        <w:tc>
          <w:tcPr>
            <w:tcW w:w="1620" w:type="dxa"/>
            <w:tcBorders>
              <w:bottom w:val="single" w:sz="8" w:space="0" w:color="auto"/>
            </w:tcBorders>
          </w:tcPr>
          <w:p w14:paraId="2FE8C6F2"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20 (8.5)</w:t>
            </w:r>
          </w:p>
        </w:tc>
        <w:tc>
          <w:tcPr>
            <w:tcW w:w="1440" w:type="dxa"/>
            <w:tcBorders>
              <w:bottom w:val="single" w:sz="8" w:space="0" w:color="auto"/>
            </w:tcBorders>
          </w:tcPr>
          <w:p w14:paraId="10250D2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0 (0)</w:t>
            </w:r>
          </w:p>
        </w:tc>
        <w:tc>
          <w:tcPr>
            <w:tcW w:w="1440" w:type="dxa"/>
            <w:tcBorders>
              <w:bottom w:val="single" w:sz="8" w:space="0" w:color="auto"/>
            </w:tcBorders>
          </w:tcPr>
          <w:p w14:paraId="78775A53"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 (0.4)</w:t>
            </w:r>
          </w:p>
        </w:tc>
      </w:tr>
    </w:tbl>
    <w:p w14:paraId="12D2323A" w14:textId="77777777" w:rsidR="00B04C61" w:rsidRPr="0032506F" w:rsidRDefault="00B04C61" w:rsidP="00B04C61">
      <w:pPr>
        <w:rPr>
          <w:rFonts w:ascii="Times New Roman" w:hAnsi="Times New Roman" w:cs="Times New Roman"/>
          <w:sz w:val="24"/>
          <w:szCs w:val="24"/>
        </w:rPr>
      </w:pPr>
    </w:p>
    <w:p w14:paraId="24DD8A47" w14:textId="77777777" w:rsidR="00B04C61" w:rsidRPr="0032506F" w:rsidRDefault="00B04C61" w:rsidP="00B04C61">
      <w:pPr>
        <w:spacing w:after="0" w:line="480" w:lineRule="auto"/>
        <w:rPr>
          <w:rFonts w:ascii="Times New Roman" w:hAnsi="Times New Roman" w:cs="Times New Roman"/>
          <w:i/>
          <w:iCs/>
          <w:sz w:val="24"/>
          <w:szCs w:val="24"/>
        </w:rPr>
      </w:pPr>
      <w:r w:rsidRPr="0032506F">
        <w:rPr>
          <w:rFonts w:ascii="Times New Roman" w:hAnsi="Times New Roman" w:cs="Times New Roman"/>
          <w:i/>
          <w:iCs/>
          <w:sz w:val="24"/>
          <w:szCs w:val="24"/>
        </w:rPr>
        <w:t>Accessibility Issues Experienced by Participants (n=27)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gridCol w:w="1440"/>
      </w:tblGrid>
      <w:tr w:rsidR="00B04C61" w:rsidRPr="0032506F" w14:paraId="774488C6" w14:textId="77777777" w:rsidTr="002864C3">
        <w:tc>
          <w:tcPr>
            <w:tcW w:w="7560" w:type="dxa"/>
            <w:tcBorders>
              <w:top w:val="single" w:sz="8" w:space="0" w:color="auto"/>
              <w:bottom w:val="single" w:sz="8" w:space="0" w:color="auto"/>
            </w:tcBorders>
          </w:tcPr>
          <w:p w14:paraId="620E89E7" w14:textId="77777777" w:rsidR="00B04C61" w:rsidRPr="0032506F" w:rsidRDefault="00B04C61" w:rsidP="002864C3">
            <w:pPr>
              <w:jc w:val="both"/>
              <w:rPr>
                <w:rFonts w:ascii="Times New Roman" w:hAnsi="Times New Roman" w:cs="Times New Roman"/>
                <w:i/>
                <w:iCs/>
                <w:sz w:val="24"/>
                <w:szCs w:val="24"/>
              </w:rPr>
            </w:pPr>
            <w:r w:rsidRPr="0032506F">
              <w:rPr>
                <w:rFonts w:ascii="Times New Roman" w:hAnsi="Times New Roman" w:cs="Times New Roman"/>
                <w:i/>
                <w:iCs/>
                <w:sz w:val="24"/>
                <w:szCs w:val="24"/>
              </w:rPr>
              <w:t>Accessibility Issue</w:t>
            </w:r>
          </w:p>
        </w:tc>
        <w:tc>
          <w:tcPr>
            <w:tcW w:w="1440" w:type="dxa"/>
            <w:tcBorders>
              <w:top w:val="single" w:sz="8" w:space="0" w:color="auto"/>
              <w:bottom w:val="single" w:sz="8" w:space="0" w:color="auto"/>
            </w:tcBorders>
          </w:tcPr>
          <w:p w14:paraId="62CD4107" w14:textId="77777777" w:rsidR="00B04C61" w:rsidRPr="0032506F" w:rsidRDefault="00B04C61" w:rsidP="002864C3">
            <w:pPr>
              <w:jc w:val="center"/>
              <w:rPr>
                <w:rFonts w:ascii="Times New Roman" w:hAnsi="Times New Roman" w:cs="Times New Roman"/>
                <w:i/>
                <w:iCs/>
                <w:sz w:val="24"/>
                <w:szCs w:val="24"/>
              </w:rPr>
            </w:pPr>
            <w:r w:rsidRPr="0032506F">
              <w:rPr>
                <w:rFonts w:ascii="Times New Roman" w:hAnsi="Times New Roman" w:cs="Times New Roman"/>
                <w:i/>
                <w:iCs/>
                <w:sz w:val="24"/>
                <w:szCs w:val="24"/>
              </w:rPr>
              <w:t xml:space="preserve">n </w:t>
            </w:r>
          </w:p>
        </w:tc>
      </w:tr>
      <w:tr w:rsidR="00B04C61" w:rsidRPr="0032506F" w14:paraId="006AAADC" w14:textId="77777777" w:rsidTr="002864C3">
        <w:tc>
          <w:tcPr>
            <w:tcW w:w="7560" w:type="dxa"/>
            <w:tcBorders>
              <w:top w:val="single" w:sz="8" w:space="0" w:color="auto"/>
            </w:tcBorders>
          </w:tcPr>
          <w:p w14:paraId="1B400EF7"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Lack of access to computer</w:t>
            </w:r>
          </w:p>
        </w:tc>
        <w:tc>
          <w:tcPr>
            <w:tcW w:w="1440" w:type="dxa"/>
            <w:tcBorders>
              <w:top w:val="single" w:sz="8" w:space="0" w:color="auto"/>
            </w:tcBorders>
          </w:tcPr>
          <w:p w14:paraId="038AD71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w:t>
            </w:r>
          </w:p>
        </w:tc>
      </w:tr>
      <w:tr w:rsidR="00B04C61" w:rsidRPr="0032506F" w14:paraId="0145422E" w14:textId="77777777" w:rsidTr="002864C3">
        <w:tc>
          <w:tcPr>
            <w:tcW w:w="7560" w:type="dxa"/>
          </w:tcPr>
          <w:p w14:paraId="1729660F"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Lack of access to hardware (e.g., mouse, headphones, webcam)</w:t>
            </w:r>
          </w:p>
        </w:tc>
        <w:tc>
          <w:tcPr>
            <w:tcW w:w="1440" w:type="dxa"/>
          </w:tcPr>
          <w:p w14:paraId="2A3D006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5</w:t>
            </w:r>
          </w:p>
        </w:tc>
      </w:tr>
      <w:tr w:rsidR="00B04C61" w:rsidRPr="0032506F" w14:paraId="7F7DAA3A" w14:textId="77777777" w:rsidTr="002864C3">
        <w:tc>
          <w:tcPr>
            <w:tcW w:w="7560" w:type="dxa"/>
          </w:tcPr>
          <w:p w14:paraId="590896DE"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Lack of access to reliable internet</w:t>
            </w:r>
          </w:p>
        </w:tc>
        <w:tc>
          <w:tcPr>
            <w:tcW w:w="1440" w:type="dxa"/>
          </w:tcPr>
          <w:p w14:paraId="3990B507"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16</w:t>
            </w:r>
          </w:p>
        </w:tc>
      </w:tr>
      <w:tr w:rsidR="00B04C61" w:rsidRPr="0032506F" w14:paraId="097FF839" w14:textId="77777777" w:rsidTr="002864C3">
        <w:tc>
          <w:tcPr>
            <w:tcW w:w="7560" w:type="dxa"/>
          </w:tcPr>
          <w:p w14:paraId="12F8675D"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Lack of access to software (e.g., Microsoft Office)</w:t>
            </w:r>
          </w:p>
        </w:tc>
        <w:tc>
          <w:tcPr>
            <w:tcW w:w="1440" w:type="dxa"/>
          </w:tcPr>
          <w:p w14:paraId="5EA20AAA"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4</w:t>
            </w:r>
          </w:p>
        </w:tc>
      </w:tr>
      <w:tr w:rsidR="00B04C61" w:rsidRPr="0032506F" w14:paraId="0A1686B0" w14:textId="77777777" w:rsidTr="002864C3">
        <w:tc>
          <w:tcPr>
            <w:tcW w:w="7560" w:type="dxa"/>
          </w:tcPr>
          <w:p w14:paraId="0D625BBB" w14:textId="77777777" w:rsidR="00B04C61" w:rsidRPr="0032506F" w:rsidRDefault="00B04C61" w:rsidP="002864C3">
            <w:pPr>
              <w:jc w:val="both"/>
              <w:rPr>
                <w:rFonts w:ascii="Times New Roman" w:hAnsi="Times New Roman" w:cs="Times New Roman"/>
                <w:sz w:val="24"/>
                <w:szCs w:val="24"/>
              </w:rPr>
            </w:pPr>
            <w:r w:rsidRPr="0032506F">
              <w:rPr>
                <w:rFonts w:ascii="Times New Roman" w:hAnsi="Times New Roman" w:cs="Times New Roman"/>
                <w:sz w:val="24"/>
                <w:szCs w:val="24"/>
              </w:rPr>
              <w:t xml:space="preserve">Lack of accommodations for students with disabilities </w:t>
            </w:r>
          </w:p>
        </w:tc>
        <w:tc>
          <w:tcPr>
            <w:tcW w:w="1440" w:type="dxa"/>
          </w:tcPr>
          <w:p w14:paraId="1165D12E"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3</w:t>
            </w:r>
          </w:p>
        </w:tc>
      </w:tr>
      <w:tr w:rsidR="00B04C61" w:rsidRPr="0032506F" w14:paraId="69319997" w14:textId="77777777" w:rsidTr="002864C3">
        <w:tc>
          <w:tcPr>
            <w:tcW w:w="7560" w:type="dxa"/>
            <w:tcBorders>
              <w:bottom w:val="single" w:sz="8" w:space="0" w:color="auto"/>
            </w:tcBorders>
          </w:tcPr>
          <w:p w14:paraId="1D39D186" w14:textId="77777777" w:rsidR="00B04C61" w:rsidRPr="0032506F" w:rsidRDefault="00B04C61" w:rsidP="002864C3">
            <w:pPr>
              <w:ind w:left="288" w:hanging="288"/>
              <w:rPr>
                <w:rFonts w:ascii="Times New Roman" w:hAnsi="Times New Roman" w:cs="Times New Roman"/>
                <w:sz w:val="24"/>
                <w:szCs w:val="24"/>
              </w:rPr>
            </w:pPr>
            <w:r w:rsidRPr="0032506F">
              <w:rPr>
                <w:rFonts w:ascii="Times New Roman" w:hAnsi="Times New Roman" w:cs="Times New Roman"/>
                <w:sz w:val="24"/>
                <w:szCs w:val="24"/>
              </w:rPr>
              <w:t xml:space="preserve">Other </w:t>
            </w:r>
          </w:p>
        </w:tc>
        <w:tc>
          <w:tcPr>
            <w:tcW w:w="1440" w:type="dxa"/>
            <w:tcBorders>
              <w:bottom w:val="single" w:sz="8" w:space="0" w:color="auto"/>
            </w:tcBorders>
          </w:tcPr>
          <w:p w14:paraId="4E27D560" w14:textId="77777777" w:rsidR="00B04C61" w:rsidRPr="0032506F" w:rsidRDefault="00B04C61" w:rsidP="002864C3">
            <w:pPr>
              <w:jc w:val="center"/>
              <w:rPr>
                <w:rFonts w:ascii="Times New Roman" w:hAnsi="Times New Roman" w:cs="Times New Roman"/>
                <w:iCs/>
                <w:sz w:val="24"/>
                <w:szCs w:val="24"/>
              </w:rPr>
            </w:pPr>
            <w:r w:rsidRPr="0032506F">
              <w:rPr>
                <w:rFonts w:ascii="Times New Roman" w:hAnsi="Times New Roman" w:cs="Times New Roman"/>
                <w:iCs/>
                <w:sz w:val="24"/>
                <w:szCs w:val="24"/>
              </w:rPr>
              <w:t>8</w:t>
            </w:r>
          </w:p>
        </w:tc>
      </w:tr>
    </w:tbl>
    <w:p w14:paraId="2EDE2E44" w14:textId="77777777" w:rsidR="00B04C61" w:rsidRPr="0032506F" w:rsidRDefault="00B04C61" w:rsidP="00B04C61">
      <w:pPr>
        <w:spacing w:after="0" w:line="240" w:lineRule="auto"/>
        <w:rPr>
          <w:rFonts w:ascii="Times New Roman" w:hAnsi="Times New Roman" w:cs="Times New Roman"/>
          <w:sz w:val="24"/>
          <w:szCs w:val="24"/>
        </w:rPr>
      </w:pPr>
      <w:r w:rsidRPr="0032506F">
        <w:rPr>
          <w:rFonts w:ascii="Times New Roman" w:hAnsi="Times New Roman" w:cs="Times New Roman"/>
          <w:i/>
          <w:iCs/>
          <w:sz w:val="24"/>
          <w:szCs w:val="24"/>
        </w:rPr>
        <w:t xml:space="preserve">Note: </w:t>
      </w:r>
      <w:r w:rsidRPr="0032506F">
        <w:rPr>
          <w:rFonts w:ascii="Times New Roman" w:hAnsi="Times New Roman" w:cs="Times New Roman"/>
          <w:sz w:val="24"/>
          <w:szCs w:val="24"/>
        </w:rPr>
        <w:t xml:space="preserve"> Participants were able to indicate more than one accessibility issue; therefore, the total of responses may exceed 100%.</w:t>
      </w:r>
    </w:p>
    <w:p w14:paraId="1CA1BC93" w14:textId="77777777" w:rsidR="00B04C61" w:rsidRPr="0032506F" w:rsidRDefault="00B04C61" w:rsidP="00B04C61">
      <w:pPr>
        <w:rPr>
          <w:rFonts w:ascii="Times New Roman" w:hAnsi="Times New Roman" w:cs="Times New Roman"/>
          <w:sz w:val="24"/>
          <w:szCs w:val="24"/>
        </w:rPr>
      </w:pPr>
    </w:p>
    <w:p w14:paraId="03CC0D07" w14:textId="77777777" w:rsidR="00B04C61" w:rsidRPr="0032506F" w:rsidRDefault="00B04C61" w:rsidP="00B04C61">
      <w:pPr>
        <w:rPr>
          <w:rFonts w:ascii="Times New Roman" w:hAnsi="Times New Roman" w:cs="Times New Roman"/>
          <w:sz w:val="24"/>
          <w:szCs w:val="24"/>
        </w:rPr>
      </w:pPr>
    </w:p>
    <w:p w14:paraId="461C6CCE" w14:textId="77777777" w:rsidR="00B04C61" w:rsidRPr="0032506F" w:rsidRDefault="00B04C61" w:rsidP="00B04C61">
      <w:pPr>
        <w:rPr>
          <w:rFonts w:ascii="Times New Roman" w:hAnsi="Times New Roman" w:cs="Times New Roman"/>
          <w:sz w:val="24"/>
          <w:szCs w:val="24"/>
        </w:rPr>
      </w:pPr>
    </w:p>
    <w:p w14:paraId="4B86FB91" w14:textId="77777777" w:rsidR="00B04C61" w:rsidRPr="0032506F" w:rsidRDefault="00B04C61" w:rsidP="00B04C61">
      <w:pPr>
        <w:rPr>
          <w:rFonts w:ascii="Times New Roman" w:hAnsi="Times New Roman" w:cs="Times New Roman"/>
          <w:sz w:val="24"/>
          <w:szCs w:val="24"/>
        </w:rPr>
      </w:pPr>
    </w:p>
    <w:p w14:paraId="34FAFDA2" w14:textId="77777777" w:rsidR="00B04C61" w:rsidRDefault="00B04C61" w:rsidP="00286737">
      <w:pPr>
        <w:pStyle w:val="Heading2"/>
        <w:sectPr w:rsidR="00B04C61" w:rsidSect="003F7AC0">
          <w:pgSz w:w="12240" w:h="15840"/>
          <w:pgMar w:top="1440" w:right="1440" w:bottom="1440" w:left="1440" w:header="720" w:footer="720" w:gutter="0"/>
          <w:cols w:space="720"/>
          <w:docGrid w:linePitch="360"/>
        </w:sectPr>
      </w:pPr>
    </w:p>
    <w:p w14:paraId="14FE98A5" w14:textId="2C8481F5" w:rsidR="003F7AC0" w:rsidRPr="0032506F" w:rsidRDefault="003F7AC0" w:rsidP="00286737">
      <w:pPr>
        <w:pStyle w:val="Heading2"/>
      </w:pPr>
      <w:bookmarkStart w:id="192" w:name="_Appendix_I_Engagement"/>
      <w:bookmarkStart w:id="193" w:name="_Toc102489487"/>
      <w:bookmarkEnd w:id="192"/>
      <w:r w:rsidRPr="0032506F">
        <w:lastRenderedPageBreak/>
        <w:t xml:space="preserve">Appendix </w:t>
      </w:r>
      <w:r w:rsidR="00CA05E2">
        <w:t>I</w:t>
      </w:r>
      <w:r w:rsidR="00286737" w:rsidRPr="0032506F">
        <w:t xml:space="preserve"> </w:t>
      </w:r>
      <w:r w:rsidR="0040011A">
        <w:t xml:space="preserve">Classroom </w:t>
      </w:r>
      <w:r w:rsidRPr="0032506F">
        <w:t>Engagement Scale</w:t>
      </w:r>
      <w:bookmarkEnd w:id="193"/>
    </w:p>
    <w:p w14:paraId="0632A160" w14:textId="77777777" w:rsidR="003F7AC0" w:rsidRPr="0032506F" w:rsidRDefault="003F7AC0" w:rsidP="003F7AC0">
      <w:pPr>
        <w:spacing w:after="0" w:line="240" w:lineRule="auto"/>
        <w:jc w:val="center"/>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(Reeve, 2013-Study 2)</w:t>
      </w:r>
    </w:p>
    <w:p w14:paraId="5F659286"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56B316CA" w14:textId="77777777" w:rsidR="003F7AC0" w:rsidRPr="0032506F" w:rsidRDefault="003F7AC0" w:rsidP="003F7AC0">
      <w:pPr>
        <w:spacing w:after="0" w:line="240" w:lineRule="auto"/>
        <w:rPr>
          <w:rFonts w:ascii="Times New Roman" w:eastAsia="Calibri" w:hAnsi="Times New Roman" w:cs="Times New Roman"/>
          <w:color w:val="000000"/>
          <w:sz w:val="24"/>
          <w:szCs w:val="24"/>
        </w:rPr>
      </w:pPr>
      <w:bookmarkStart w:id="194" w:name="_Hlk65936810"/>
      <w:r w:rsidRPr="0032506F">
        <w:rPr>
          <w:rFonts w:ascii="Times New Roman" w:eastAsia="Calibri" w:hAnsi="Times New Roman" w:cs="Times New Roman"/>
          <w:color w:val="000000"/>
          <w:sz w:val="24"/>
          <w:szCs w:val="24"/>
        </w:rPr>
        <w:t>Behavioral Engagement Items</w:t>
      </w:r>
    </w:p>
    <w:p w14:paraId="2F7E23B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I’m in this class, I listen very carefully.</w:t>
      </w:r>
    </w:p>
    <w:p w14:paraId="152DFA21"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pay attention in this class.</w:t>
      </w:r>
    </w:p>
    <w:p w14:paraId="1FE1901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try hard to do well in this class.</w:t>
      </w:r>
    </w:p>
    <w:p w14:paraId="2B62975B"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In this class, I work as hard as I can.</w:t>
      </w:r>
    </w:p>
    <w:p w14:paraId="00554A57" w14:textId="77777777" w:rsidR="003F7AC0" w:rsidRPr="0032506F" w:rsidRDefault="003F7AC0" w:rsidP="003F7AC0">
      <w:pPr>
        <w:spacing w:after="0" w:line="240" w:lineRule="auto"/>
        <w:rPr>
          <w:rFonts w:ascii="Times New Roman" w:eastAsia="Calibri" w:hAnsi="Times New Roman" w:cs="Times New Roman"/>
          <w:color w:val="000000"/>
          <w:sz w:val="24"/>
          <w:szCs w:val="24"/>
        </w:rPr>
      </w:pPr>
      <w:bookmarkStart w:id="195" w:name="_Hlk65936562"/>
      <w:bookmarkStart w:id="196" w:name="_Hlk65937373"/>
      <w:bookmarkEnd w:id="194"/>
      <w:r w:rsidRPr="0032506F">
        <w:rPr>
          <w:rFonts w:ascii="Times New Roman" w:eastAsia="Calibri" w:hAnsi="Times New Roman" w:cs="Times New Roman"/>
          <w:color w:val="000000"/>
          <w:sz w:val="24"/>
          <w:szCs w:val="24"/>
        </w:rPr>
        <w:t>Emotional Engagement Items</w:t>
      </w:r>
    </w:p>
    <w:bookmarkEnd w:id="195"/>
    <w:p w14:paraId="63119BA2"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we work on something in this class, I feel interested.</w:t>
      </w:r>
    </w:p>
    <w:p w14:paraId="358C8041"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This class is fun.</w:t>
      </w:r>
    </w:p>
    <w:p w14:paraId="6A20FCC7"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enjoy learning new things in this class.</w:t>
      </w:r>
    </w:p>
    <w:p w14:paraId="0E8E3CDB"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When I’m in this class, I feel good. </w:t>
      </w:r>
    </w:p>
    <w:p w14:paraId="01C159E1" w14:textId="77777777" w:rsidR="003F7AC0" w:rsidRPr="0032506F" w:rsidRDefault="003F7AC0" w:rsidP="003F7AC0">
      <w:pPr>
        <w:spacing w:after="0" w:line="240" w:lineRule="auto"/>
        <w:rPr>
          <w:rFonts w:ascii="Times New Roman" w:eastAsia="Calibri" w:hAnsi="Times New Roman" w:cs="Times New Roman"/>
          <w:color w:val="000000"/>
          <w:sz w:val="24"/>
          <w:szCs w:val="24"/>
        </w:rPr>
      </w:pPr>
      <w:bookmarkStart w:id="197" w:name="_Hlk65937474"/>
      <w:bookmarkEnd w:id="196"/>
      <w:r w:rsidRPr="0032506F">
        <w:rPr>
          <w:rFonts w:ascii="Times New Roman" w:eastAsia="Calibri" w:hAnsi="Times New Roman" w:cs="Times New Roman"/>
          <w:color w:val="000000"/>
          <w:sz w:val="24"/>
          <w:szCs w:val="24"/>
        </w:rPr>
        <w:t>Cognitive Engagement Items</w:t>
      </w:r>
    </w:p>
    <w:p w14:paraId="71A1C8A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I study for this class, I try to connect what I am learning with my own experiences.</w:t>
      </w:r>
    </w:p>
    <w:p w14:paraId="669CA10A"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try to make all the different ideas fit together and make sense when I study for this class.</w:t>
      </w:r>
    </w:p>
    <w:p w14:paraId="21DAE7B5"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When doing work for this class, I try to relate what I’m learning to what I already know. </w:t>
      </w:r>
    </w:p>
    <w:p w14:paraId="65F7D3E2"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make up my own examples to help me understand the important concept I study for this class.</w:t>
      </w:r>
    </w:p>
    <w:p w14:paraId="6F8869BA"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p>
    <w:p w14:paraId="5F4D0299"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bookmarkStart w:id="198" w:name="_Hlk67412956"/>
      <w:bookmarkEnd w:id="197"/>
      <w:r w:rsidRPr="0032506F">
        <w:rPr>
          <w:rFonts w:ascii="Times New Roman" w:eastAsia="Calibri" w:hAnsi="Times New Roman" w:cs="Times New Roman"/>
          <w:bCs/>
          <w:color w:val="000000"/>
          <w:sz w:val="24"/>
          <w:szCs w:val="24"/>
        </w:rPr>
        <w:t>Adapted Items for the Online Learning Context</w:t>
      </w:r>
      <w:bookmarkStart w:id="199" w:name="_Hlk66966675"/>
    </w:p>
    <w:p w14:paraId="28699581"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u w:val="single"/>
        </w:rPr>
        <w:t>5-point Likert-type scale</w:t>
      </w:r>
    </w:p>
    <w:p w14:paraId="75993B3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1=Strongly Disagree, 2=Disagree, 3=Neither Agree nor Disagree, 4=Agree, 5=Strongly Agree</w:t>
      </w:r>
    </w:p>
    <w:bookmarkEnd w:id="198"/>
    <w:p w14:paraId="1282C15F"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bookmarkEnd w:id="199"/>
    <w:p w14:paraId="3D411920"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color w:val="000000"/>
          <w:sz w:val="24"/>
          <w:szCs w:val="24"/>
        </w:rPr>
        <w:t>Behavioral Engagement Items</w:t>
      </w:r>
    </w:p>
    <w:p w14:paraId="056DC2A3"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I’m in this online course, I can focus.</w:t>
      </w:r>
    </w:p>
    <w:p w14:paraId="5ED08AC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pay attention in this online course.</w:t>
      </w:r>
    </w:p>
    <w:p w14:paraId="0169E565"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try hard to do well in this online course.</w:t>
      </w:r>
    </w:p>
    <w:p w14:paraId="5691FE06"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In this online course, I work as hard as I can.</w:t>
      </w:r>
    </w:p>
    <w:p w14:paraId="39CB1E13"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404D8170"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Emotional Engagement Items</w:t>
      </w:r>
    </w:p>
    <w:p w14:paraId="786B8AEA"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we work on something in this online course, I feel interested.</w:t>
      </w:r>
    </w:p>
    <w:p w14:paraId="50BD1C0E"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This online course is fun.</w:t>
      </w:r>
    </w:p>
    <w:p w14:paraId="01EA3868"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enjoy learning new things in this online course.</w:t>
      </w:r>
    </w:p>
    <w:p w14:paraId="11828FCD"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When I’m in this online course, I feel good. </w:t>
      </w:r>
    </w:p>
    <w:p w14:paraId="58D370C8"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p>
    <w:p w14:paraId="429A9A2C"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Cognitive Engagement Items</w:t>
      </w:r>
    </w:p>
    <w:p w14:paraId="40196AF1"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When I study for this online course, I try to connect what I am learning with my own experiences.</w:t>
      </w:r>
    </w:p>
    <w:p w14:paraId="2A287B0A"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try to make all the different ideas fit together and make sense when I study for this online course.</w:t>
      </w:r>
    </w:p>
    <w:p w14:paraId="6E050027"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When doing work for this online course, I try to relate what I’m learning to what I already know. </w:t>
      </w:r>
    </w:p>
    <w:p w14:paraId="50E3C9FC"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I make up my own examples to help me understand the important concept I study for this online course.</w:t>
      </w:r>
    </w:p>
    <w:p w14:paraId="0470F69E" w14:textId="740A8320" w:rsidR="003F7AC0" w:rsidRPr="0032506F" w:rsidRDefault="003F7AC0" w:rsidP="00286737">
      <w:pPr>
        <w:pStyle w:val="Heading2"/>
      </w:pPr>
      <w:bookmarkStart w:id="200" w:name="_Appendix_O_Fixed"/>
      <w:bookmarkStart w:id="201" w:name="_Appendix_K_Fixed"/>
      <w:bookmarkStart w:id="202" w:name="_Appendix_J_Fixed"/>
      <w:bookmarkStart w:id="203" w:name="_Toc102489488"/>
      <w:bookmarkEnd w:id="200"/>
      <w:bookmarkEnd w:id="201"/>
      <w:bookmarkEnd w:id="202"/>
      <w:r w:rsidRPr="0032506F">
        <w:lastRenderedPageBreak/>
        <w:t xml:space="preserve">Appendix </w:t>
      </w:r>
      <w:r w:rsidR="00762902">
        <w:t>J</w:t>
      </w:r>
      <w:r w:rsidR="00286737" w:rsidRPr="0032506F">
        <w:t xml:space="preserve"> </w:t>
      </w:r>
      <w:r w:rsidRPr="0032506F">
        <w:t>Fixed Ability Subscale of the 32-item version of the Epistemic Beliefs Inventory (EBI)</w:t>
      </w:r>
      <w:bookmarkEnd w:id="203"/>
      <w:r w:rsidRPr="0032506F">
        <w:t xml:space="preserve"> </w:t>
      </w:r>
    </w:p>
    <w:p w14:paraId="7CB1B248" w14:textId="77777777" w:rsidR="003F7AC0" w:rsidRPr="0032506F" w:rsidRDefault="003F7AC0" w:rsidP="003F7AC0">
      <w:pPr>
        <w:spacing w:after="0" w:line="240" w:lineRule="auto"/>
        <w:jc w:val="center"/>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(DeBacker et al., 2008; Schraw et al., 2002)</w:t>
      </w:r>
    </w:p>
    <w:p w14:paraId="48117EC6" w14:textId="77777777" w:rsidR="003F7AC0" w:rsidRPr="0032506F" w:rsidRDefault="003F7AC0" w:rsidP="003F7AC0">
      <w:pPr>
        <w:spacing w:after="0" w:line="24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 </w:t>
      </w:r>
    </w:p>
    <w:p w14:paraId="62394D44"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4B5613A7" w14:textId="77777777" w:rsidR="003F7AC0" w:rsidRPr="0032506F" w:rsidRDefault="003F7AC0" w:rsidP="003F7AC0">
      <w:pPr>
        <w:spacing w:after="0" w:line="240" w:lineRule="auto"/>
        <w:rPr>
          <w:rFonts w:ascii="Times New Roman" w:eastAsia="Calibri" w:hAnsi="Times New Roman" w:cs="Times New Roman"/>
          <w:bCs/>
          <w:color w:val="000000"/>
          <w:sz w:val="24"/>
          <w:szCs w:val="24"/>
          <w:u w:val="single"/>
        </w:rPr>
      </w:pPr>
      <w:r w:rsidRPr="0032506F">
        <w:rPr>
          <w:rFonts w:ascii="Times New Roman" w:eastAsia="Calibri" w:hAnsi="Times New Roman" w:cs="Times New Roman"/>
          <w:bCs/>
          <w:color w:val="000000"/>
          <w:sz w:val="24"/>
          <w:szCs w:val="24"/>
          <w:u w:val="single"/>
        </w:rPr>
        <w:t>5-point Likert-type scale</w:t>
      </w:r>
    </w:p>
    <w:p w14:paraId="403CC15D" w14:textId="77777777" w:rsidR="003F7AC0" w:rsidRPr="0032506F" w:rsidRDefault="003F7AC0" w:rsidP="003F7AC0">
      <w:pPr>
        <w:spacing w:after="0" w:line="24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1=Strongly Disagree, 2=Disagree, 3=Neither Agree nor Disagree, 4=Agree, 5=Strongly Agree</w:t>
      </w:r>
    </w:p>
    <w:p w14:paraId="75D2E280" w14:textId="77777777" w:rsidR="003F7AC0" w:rsidRPr="0032506F" w:rsidRDefault="003F7AC0" w:rsidP="003F7AC0">
      <w:pPr>
        <w:spacing w:after="0" w:line="240" w:lineRule="auto"/>
        <w:rPr>
          <w:rFonts w:ascii="Times New Roman" w:eastAsia="Calibri" w:hAnsi="Times New Roman" w:cs="Times New Roman"/>
          <w:color w:val="000000"/>
          <w:sz w:val="24"/>
          <w:szCs w:val="24"/>
        </w:rPr>
      </w:pPr>
    </w:p>
    <w:p w14:paraId="364840E9" w14:textId="77777777" w:rsidR="003F7AC0" w:rsidRPr="0032506F" w:rsidRDefault="003F7AC0" w:rsidP="003F7AC0">
      <w:pPr>
        <w:spacing w:after="0" w:line="480" w:lineRule="auto"/>
        <w:rPr>
          <w:rFonts w:ascii="Times New Roman" w:eastAsia="Calibri" w:hAnsi="Times New Roman" w:cs="Times New Roman"/>
          <w:color w:val="000000"/>
          <w:sz w:val="24"/>
          <w:szCs w:val="24"/>
        </w:rPr>
      </w:pPr>
      <w:r w:rsidRPr="0032506F">
        <w:rPr>
          <w:rFonts w:ascii="Times New Roman" w:eastAsia="Calibri" w:hAnsi="Times New Roman" w:cs="Times New Roman"/>
          <w:color w:val="000000"/>
          <w:sz w:val="24"/>
          <w:szCs w:val="24"/>
        </w:rPr>
        <w:t xml:space="preserve">Original Item Numbers </w:t>
      </w:r>
    </w:p>
    <w:p w14:paraId="0CEF0097"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5. Some people will never be smart no matter how hard they work.</w:t>
      </w:r>
    </w:p>
    <w:p w14:paraId="47F66172"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 xml:space="preserve">8. </w:t>
      </w:r>
      <w:proofErr w:type="gramStart"/>
      <w:r w:rsidRPr="0032506F">
        <w:rPr>
          <w:rFonts w:ascii="Times New Roman" w:eastAsia="Calibri" w:hAnsi="Times New Roman" w:cs="Times New Roman"/>
          <w:bCs/>
          <w:color w:val="000000"/>
          <w:sz w:val="24"/>
          <w:szCs w:val="24"/>
        </w:rPr>
        <w:t>Really smart</w:t>
      </w:r>
      <w:proofErr w:type="gramEnd"/>
      <w:r w:rsidRPr="0032506F">
        <w:rPr>
          <w:rFonts w:ascii="Times New Roman" w:eastAsia="Calibri" w:hAnsi="Times New Roman" w:cs="Times New Roman"/>
          <w:bCs/>
          <w:color w:val="000000"/>
          <w:sz w:val="24"/>
          <w:szCs w:val="24"/>
        </w:rPr>
        <w:t xml:space="preserve"> students do not have to work as hard to do well in school.</w:t>
      </w:r>
    </w:p>
    <w:p w14:paraId="52051BEB"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12. People cannot do too much about how smart they are.</w:t>
      </w:r>
    </w:p>
    <w:p w14:paraId="290CE77B"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15. How well you do in school depends on how smart you are.</w:t>
      </w:r>
    </w:p>
    <w:p w14:paraId="6F191CBE"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17. Some people just have a knack for learning, and others do not.</w:t>
      </w:r>
    </w:p>
    <w:p w14:paraId="317094AB"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26. Smart people are born that way.</w:t>
      </w:r>
    </w:p>
    <w:p w14:paraId="47043079"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32. Some people are born with special gifts and talents.</w:t>
      </w:r>
    </w:p>
    <w:p w14:paraId="06C46F52"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38EF5CB4"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51C43CE8"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7061701D"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6516EE96"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3BCBD99E"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1668562C"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3BBE8C4F"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181980A1"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2568505F"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2DE0029D"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05D0FA0F"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3D15CDB1"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0880DAA4"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5250892A"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76AAE3F3"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14F7DD5D"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03F3E479"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3E90A576"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4E287FDA" w14:textId="77777777" w:rsidR="003F7AC0" w:rsidRPr="0032506F" w:rsidRDefault="003F7AC0" w:rsidP="003F7AC0">
      <w:pPr>
        <w:spacing w:after="0" w:line="240" w:lineRule="auto"/>
        <w:ind w:left="720" w:hanging="720"/>
        <w:jc w:val="center"/>
        <w:rPr>
          <w:rFonts w:ascii="Times New Roman" w:eastAsia="Times New Roman" w:hAnsi="Times New Roman" w:cs="Times New Roman"/>
          <w:color w:val="000000"/>
          <w:sz w:val="24"/>
          <w:szCs w:val="24"/>
        </w:rPr>
      </w:pPr>
    </w:p>
    <w:p w14:paraId="60FC91BA" w14:textId="23E11CAB" w:rsidR="003F7AC0" w:rsidRPr="0032506F" w:rsidRDefault="003F7AC0" w:rsidP="00286737">
      <w:pPr>
        <w:pStyle w:val="Heading2"/>
      </w:pPr>
      <w:bookmarkStart w:id="204" w:name="_Appendix_P_ask"/>
      <w:bookmarkStart w:id="205" w:name="_Appendix_L_Task"/>
      <w:bookmarkStart w:id="206" w:name="_Appendix_K_Task"/>
      <w:bookmarkStart w:id="207" w:name="_Toc102489489"/>
      <w:bookmarkEnd w:id="204"/>
      <w:bookmarkEnd w:id="205"/>
      <w:bookmarkEnd w:id="206"/>
      <w:r w:rsidRPr="0032506F">
        <w:lastRenderedPageBreak/>
        <w:t xml:space="preserve">Appendix </w:t>
      </w:r>
      <w:r w:rsidR="001F0EBA">
        <w:t>K</w:t>
      </w:r>
      <w:r w:rsidR="00286737" w:rsidRPr="0032506F">
        <w:t xml:space="preserve"> </w:t>
      </w:r>
      <w:r w:rsidR="00A50F13" w:rsidRPr="0032506F">
        <w:t>T</w:t>
      </w:r>
      <w:r w:rsidRPr="0032506F">
        <w:t>ask Value Subscale of the Motivated Strategies for Learning Questionnaire (MSLQ)</w:t>
      </w:r>
      <w:bookmarkEnd w:id="207"/>
    </w:p>
    <w:p w14:paraId="546F7432" w14:textId="77777777" w:rsidR="003F7AC0" w:rsidRPr="0032506F" w:rsidRDefault="003F7AC0" w:rsidP="003F7AC0">
      <w:pPr>
        <w:spacing w:after="0" w:line="240" w:lineRule="auto"/>
        <w:jc w:val="center"/>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(Pintrich et al., 1991, 1993)</w:t>
      </w:r>
    </w:p>
    <w:p w14:paraId="52C98405" w14:textId="77777777" w:rsidR="003F7AC0" w:rsidRPr="0032506F" w:rsidRDefault="003F7AC0" w:rsidP="003F7AC0">
      <w:pPr>
        <w:autoSpaceDE w:val="0"/>
        <w:autoSpaceDN w:val="0"/>
        <w:adjustRightInd w:val="0"/>
        <w:spacing w:after="0" w:line="240" w:lineRule="auto"/>
        <w:ind w:left="720"/>
        <w:contextualSpacing/>
        <w:rPr>
          <w:rFonts w:ascii="Times New Roman" w:eastAsia="DengXian" w:hAnsi="Times New Roman" w:cs="Times New Roman"/>
          <w:color w:val="000000"/>
          <w:sz w:val="24"/>
          <w:szCs w:val="24"/>
        </w:rPr>
      </w:pPr>
    </w:p>
    <w:p w14:paraId="17DA9633" w14:textId="77777777" w:rsidR="003F7AC0" w:rsidRPr="0032506F" w:rsidRDefault="003F7AC0" w:rsidP="003F7AC0">
      <w:pPr>
        <w:spacing w:after="0" w:line="240" w:lineRule="auto"/>
        <w:rPr>
          <w:rFonts w:ascii="Times New Roman" w:eastAsia="Calibri" w:hAnsi="Times New Roman" w:cs="Times New Roman"/>
          <w:color w:val="000000"/>
          <w:sz w:val="24"/>
          <w:szCs w:val="24"/>
          <w:u w:val="single"/>
        </w:rPr>
      </w:pPr>
      <w:r w:rsidRPr="0032506F">
        <w:rPr>
          <w:rFonts w:ascii="Times New Roman" w:eastAsia="Calibri" w:hAnsi="Times New Roman" w:cs="Times New Roman"/>
          <w:color w:val="000000"/>
          <w:sz w:val="24"/>
          <w:szCs w:val="24"/>
          <w:u w:val="single"/>
        </w:rPr>
        <w:t>7-point Likert-type scale</w:t>
      </w:r>
    </w:p>
    <w:p w14:paraId="37C0E8F6"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1=Not at all true of me     2     3     4     5     6     7=Very true of me</w:t>
      </w:r>
    </w:p>
    <w:p w14:paraId="7EB5F550"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 I think I will be able to use what I learn in this course in other courses.</w:t>
      </w:r>
    </w:p>
    <w:p w14:paraId="2590F700"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2. It is important for me to learn the course material in this class.</w:t>
      </w:r>
    </w:p>
    <w:p w14:paraId="45607512"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3. I am very interested in the content area of this course.</w:t>
      </w:r>
    </w:p>
    <w:p w14:paraId="2078049D"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4. I think the course material in this class is useful for me to learn. </w:t>
      </w:r>
    </w:p>
    <w:p w14:paraId="3755C30B"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5. I like the subject matter of this course. </w:t>
      </w:r>
    </w:p>
    <w:p w14:paraId="702845D3"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6. Understanding the subject matter of this course is very important to me. </w:t>
      </w:r>
    </w:p>
    <w:p w14:paraId="540B9EC5"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Adapted Items for the Online Learning Context</w:t>
      </w:r>
    </w:p>
    <w:p w14:paraId="5CD6D3CA" w14:textId="77777777" w:rsidR="003F7AC0" w:rsidRPr="0032506F" w:rsidRDefault="003F7AC0" w:rsidP="003F7AC0">
      <w:pPr>
        <w:spacing w:after="0" w:line="480" w:lineRule="auto"/>
        <w:rPr>
          <w:rFonts w:ascii="Times New Roman" w:eastAsia="Calibri" w:hAnsi="Times New Roman" w:cs="Times New Roman"/>
          <w:bCs/>
          <w:color w:val="000000"/>
          <w:sz w:val="24"/>
          <w:szCs w:val="24"/>
        </w:rPr>
      </w:pPr>
      <w:r w:rsidRPr="0032506F">
        <w:rPr>
          <w:rFonts w:ascii="Times New Roman" w:eastAsia="Calibri" w:hAnsi="Times New Roman" w:cs="Times New Roman"/>
          <w:bCs/>
          <w:color w:val="000000"/>
          <w:sz w:val="24"/>
          <w:szCs w:val="24"/>
        </w:rPr>
        <w:t>1=Not at all true of me     2     3     4     5     6     7=Very true of me</w:t>
      </w:r>
    </w:p>
    <w:p w14:paraId="3887DFA0"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1. I think I will be able to use what I learn in this online course in other courses.</w:t>
      </w:r>
    </w:p>
    <w:p w14:paraId="4F9ABE89"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2. It is important for me to learn the course material in this online class.</w:t>
      </w:r>
    </w:p>
    <w:p w14:paraId="7E8C7D8F"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3. I am very interested in the content area of this online course.</w:t>
      </w:r>
    </w:p>
    <w:p w14:paraId="6EB9D773"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4. I think the course material in this online class is useful for me to learn. </w:t>
      </w:r>
    </w:p>
    <w:p w14:paraId="6A8B4465"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5. I like the subject matter of this online course. </w:t>
      </w:r>
    </w:p>
    <w:p w14:paraId="7BCBCD00" w14:textId="77777777" w:rsidR="003F7AC0" w:rsidRPr="0032506F" w:rsidRDefault="003F7AC0" w:rsidP="003F7AC0">
      <w:pPr>
        <w:rPr>
          <w:rFonts w:ascii="Times New Roman" w:eastAsia="Calibri" w:hAnsi="Times New Roman" w:cs="Times New Roman"/>
          <w:sz w:val="24"/>
          <w:szCs w:val="24"/>
        </w:rPr>
      </w:pPr>
      <w:r w:rsidRPr="0032506F">
        <w:rPr>
          <w:rFonts w:ascii="Times New Roman" w:eastAsia="Calibri" w:hAnsi="Times New Roman" w:cs="Times New Roman"/>
          <w:sz w:val="24"/>
          <w:szCs w:val="24"/>
        </w:rPr>
        <w:t>6. Understanding the subject matter of this online course is very important to me. </w:t>
      </w:r>
    </w:p>
    <w:p w14:paraId="548471EF"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7813BE41"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bookmarkEnd w:id="166"/>
    <w:p w14:paraId="2876BB0D"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6DF2A9E0"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116BF382"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756982E3"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6BCF354C"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073CA81D"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3D0A0B9F"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456C973F"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71F32679"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1817E0F4"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01432DAE" w14:textId="77777777" w:rsidR="00286737" w:rsidRPr="0032506F" w:rsidRDefault="00286737" w:rsidP="00EE296F">
      <w:pPr>
        <w:pStyle w:val="Heading1"/>
        <w:rPr>
          <w:b w:val="0"/>
        </w:rPr>
        <w:sectPr w:rsidR="00286737" w:rsidRPr="0032506F" w:rsidSect="003F7AC0">
          <w:pgSz w:w="12240" w:h="15840"/>
          <w:pgMar w:top="1440" w:right="1440" w:bottom="1440" w:left="1440" w:header="720" w:footer="720" w:gutter="0"/>
          <w:cols w:space="720"/>
          <w:docGrid w:linePitch="360"/>
        </w:sectPr>
      </w:pPr>
      <w:bookmarkStart w:id="208" w:name="_Appendix_Q_Initial"/>
      <w:bookmarkEnd w:id="208"/>
    </w:p>
    <w:p w14:paraId="4B355D10" w14:textId="0D61B92B" w:rsidR="00EE296F" w:rsidRPr="0032506F" w:rsidRDefault="003F7AC0" w:rsidP="00EF67D4">
      <w:pPr>
        <w:pStyle w:val="Heading2"/>
      </w:pPr>
      <w:bookmarkStart w:id="209" w:name="_Appendix_R_Approval"/>
      <w:bookmarkStart w:id="210" w:name="_Appendix_R_Initial"/>
      <w:bookmarkStart w:id="211" w:name="_Appendix_M_Initial"/>
      <w:bookmarkStart w:id="212" w:name="_Appendix_L_Initial"/>
      <w:bookmarkStart w:id="213" w:name="_Toc102489490"/>
      <w:bookmarkEnd w:id="209"/>
      <w:bookmarkEnd w:id="210"/>
      <w:bookmarkEnd w:id="211"/>
      <w:bookmarkEnd w:id="212"/>
      <w:r w:rsidRPr="0032506F">
        <w:lastRenderedPageBreak/>
        <w:t xml:space="preserve">Appendix </w:t>
      </w:r>
      <w:r w:rsidR="001F0EBA">
        <w:t>L</w:t>
      </w:r>
      <w:r w:rsidR="00286737" w:rsidRPr="0032506F">
        <w:t xml:space="preserve"> </w:t>
      </w:r>
      <w:r w:rsidR="00EF67D4" w:rsidRPr="0032506F">
        <w:t>Initial</w:t>
      </w:r>
      <w:r w:rsidR="00F00658" w:rsidRPr="0032506F">
        <w:t xml:space="preserve"> </w:t>
      </w:r>
      <w:r w:rsidR="00EF67D4" w:rsidRPr="0032506F">
        <w:t>Three-Factor Model of Online Student Engagement with 31 Items</w:t>
      </w:r>
      <w:bookmarkEnd w:id="213"/>
      <w:r w:rsidR="00EF67D4" w:rsidRPr="0032506F">
        <w:t xml:space="preserve"> </w:t>
      </w:r>
    </w:p>
    <w:p w14:paraId="28B94B0E" w14:textId="7909651C" w:rsidR="003F7AC0" w:rsidRPr="0032506F" w:rsidRDefault="00576522" w:rsidP="003F7AC0">
      <w:pPr>
        <w:spacing w:after="0" w:line="240" w:lineRule="auto"/>
        <w:ind w:left="720"/>
        <w:contextualSpacing/>
        <w:rPr>
          <w:rFonts w:ascii="Times New Roman" w:eastAsia="MS Mincho" w:hAnsi="Times New Roman" w:cs="Times New Roman"/>
          <w:color w:val="000000"/>
          <w:sz w:val="24"/>
          <w:szCs w:val="24"/>
        </w:rPr>
      </w:pPr>
      <w:r w:rsidRPr="0032506F">
        <w:rPr>
          <w:rFonts w:eastAsia="MS Mincho"/>
          <w:noProof/>
          <w:color w:val="000000"/>
        </w:rPr>
        <w:drawing>
          <wp:anchor distT="0" distB="0" distL="114300" distR="114300" simplePos="0" relativeHeight="251658242" behindDoc="1" locked="0" layoutInCell="1" allowOverlap="1" wp14:anchorId="7B40DCA5" wp14:editId="35B761F3">
            <wp:simplePos x="0" y="0"/>
            <wp:positionH relativeFrom="column">
              <wp:posOffset>184150</wp:posOffset>
            </wp:positionH>
            <wp:positionV relativeFrom="paragraph">
              <wp:posOffset>36830</wp:posOffset>
            </wp:positionV>
            <wp:extent cx="5251450" cy="3715385"/>
            <wp:effectExtent l="0" t="0" r="6350" b="0"/>
            <wp:wrapTight wrapText="bothSides">
              <wp:wrapPolygon edited="0">
                <wp:start x="0" y="0"/>
                <wp:lineTo x="0" y="21486"/>
                <wp:lineTo x="21548" y="21486"/>
                <wp:lineTo x="21548"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251450" cy="3715385"/>
                    </a:xfrm>
                    <a:prstGeom prst="rect">
                      <a:avLst/>
                    </a:prstGeom>
                    <a:noFill/>
                  </pic:spPr>
                </pic:pic>
              </a:graphicData>
            </a:graphic>
            <wp14:sizeRelH relativeFrom="page">
              <wp14:pctWidth>0</wp14:pctWidth>
            </wp14:sizeRelH>
            <wp14:sizeRelV relativeFrom="page">
              <wp14:pctHeight>0</wp14:pctHeight>
            </wp14:sizeRelV>
          </wp:anchor>
        </w:drawing>
      </w:r>
    </w:p>
    <w:p w14:paraId="67811094"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5D65FC51" w14:textId="32ADAA7D" w:rsidR="003F7AC0" w:rsidRPr="0032506F" w:rsidRDefault="003F7AC0" w:rsidP="00BE160A">
      <w:pPr>
        <w:spacing w:after="0" w:line="240" w:lineRule="auto"/>
        <w:contextualSpacing/>
        <w:rPr>
          <w:rFonts w:ascii="Times New Roman" w:eastAsia="MS Mincho" w:hAnsi="Times New Roman" w:cs="Times New Roman"/>
          <w:color w:val="000000"/>
          <w:sz w:val="24"/>
          <w:szCs w:val="24"/>
        </w:rPr>
      </w:pPr>
    </w:p>
    <w:p w14:paraId="2C8DA79D"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5163F2FF" w14:textId="77777777" w:rsidR="003F7AC0" w:rsidRPr="0032506F" w:rsidRDefault="003F7AC0" w:rsidP="003F7AC0">
      <w:pPr>
        <w:spacing w:after="0" w:line="240" w:lineRule="auto"/>
        <w:ind w:left="720"/>
        <w:contextualSpacing/>
        <w:rPr>
          <w:rFonts w:ascii="Times New Roman" w:eastAsia="MS Mincho" w:hAnsi="Times New Roman" w:cs="Times New Roman"/>
          <w:color w:val="000000"/>
          <w:sz w:val="24"/>
          <w:szCs w:val="24"/>
        </w:rPr>
      </w:pPr>
    </w:p>
    <w:p w14:paraId="76D21886" w14:textId="77777777" w:rsidR="00286737" w:rsidRPr="0032506F" w:rsidRDefault="00286737" w:rsidP="008B35F0">
      <w:pPr>
        <w:pStyle w:val="Heading1"/>
        <w:rPr>
          <w:b w:val="0"/>
        </w:rPr>
        <w:sectPr w:rsidR="00286737" w:rsidRPr="0032506F" w:rsidSect="003F7AC0">
          <w:pgSz w:w="12240" w:h="15840"/>
          <w:pgMar w:top="1440" w:right="1440" w:bottom="1440" w:left="1440" w:header="720" w:footer="720" w:gutter="0"/>
          <w:cols w:space="720"/>
          <w:docGrid w:linePitch="360"/>
        </w:sectPr>
      </w:pPr>
      <w:bookmarkStart w:id="214" w:name="_Hlk83823207"/>
    </w:p>
    <w:p w14:paraId="493F9D7D" w14:textId="7DD14DA0" w:rsidR="003F7AC0" w:rsidRPr="0032506F" w:rsidRDefault="00576522" w:rsidP="00286737">
      <w:pPr>
        <w:pStyle w:val="Heading2"/>
      </w:pPr>
      <w:bookmarkStart w:id="215" w:name="_Appendix_S_IRB-Approved"/>
      <w:bookmarkStart w:id="216" w:name="_Appendix_S_Model"/>
      <w:bookmarkStart w:id="217" w:name="_Appendix_N_Model"/>
      <w:bookmarkStart w:id="218" w:name="_Appendix_M_Model"/>
      <w:bookmarkStart w:id="219" w:name="_Toc102489491"/>
      <w:bookmarkEnd w:id="215"/>
      <w:bookmarkEnd w:id="216"/>
      <w:bookmarkEnd w:id="217"/>
      <w:bookmarkEnd w:id="218"/>
      <w:r w:rsidRPr="0032506F">
        <w:rPr>
          <w:noProof/>
        </w:rPr>
        <w:lastRenderedPageBreak/>
        <w:drawing>
          <wp:anchor distT="0" distB="0" distL="114300" distR="114300" simplePos="0" relativeHeight="251658243" behindDoc="1" locked="0" layoutInCell="1" allowOverlap="1" wp14:anchorId="4622A68D" wp14:editId="31C5CAA2">
            <wp:simplePos x="0" y="0"/>
            <wp:positionH relativeFrom="margin">
              <wp:align>center</wp:align>
            </wp:positionH>
            <wp:positionV relativeFrom="paragraph">
              <wp:posOffset>342900</wp:posOffset>
            </wp:positionV>
            <wp:extent cx="5756275" cy="4074160"/>
            <wp:effectExtent l="0" t="0" r="0" b="2540"/>
            <wp:wrapTight wrapText="bothSides">
              <wp:wrapPolygon edited="0">
                <wp:start x="0" y="0"/>
                <wp:lineTo x="0" y="21512"/>
                <wp:lineTo x="21517" y="21512"/>
                <wp:lineTo x="2151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5756275" cy="4074160"/>
                    </a:xfrm>
                    <a:prstGeom prst="rect">
                      <a:avLst/>
                    </a:prstGeom>
                    <a:noFill/>
                  </pic:spPr>
                </pic:pic>
              </a:graphicData>
            </a:graphic>
            <wp14:sizeRelH relativeFrom="page">
              <wp14:pctWidth>0</wp14:pctWidth>
            </wp14:sizeRelH>
            <wp14:sizeRelV relativeFrom="page">
              <wp14:pctHeight>0</wp14:pctHeight>
            </wp14:sizeRelV>
          </wp:anchor>
        </w:drawing>
      </w:r>
      <w:r w:rsidR="003F7AC0" w:rsidRPr="0032506F">
        <w:t xml:space="preserve">Appendix </w:t>
      </w:r>
      <w:r w:rsidR="001F0EBA">
        <w:t>M</w:t>
      </w:r>
      <w:r w:rsidR="00286737" w:rsidRPr="0032506F">
        <w:t xml:space="preserve"> </w:t>
      </w:r>
      <w:r w:rsidR="00F00658" w:rsidRPr="0032506F">
        <w:t>Model 2: Three-Factor Model with 26 Indicator Observed Variables (N=235)</w:t>
      </w:r>
      <w:bookmarkEnd w:id="219"/>
    </w:p>
    <w:bookmarkEnd w:id="214"/>
    <w:p w14:paraId="79D15F0A" w14:textId="30C7D8B4" w:rsidR="003F7AC0" w:rsidRPr="0032506F" w:rsidRDefault="003F7AC0" w:rsidP="003F7AC0">
      <w:pPr>
        <w:rPr>
          <w:rFonts w:ascii="Times New Roman" w:hAnsi="Times New Roman" w:cs="Times New Roman"/>
          <w:sz w:val="24"/>
          <w:szCs w:val="24"/>
        </w:rPr>
      </w:pPr>
    </w:p>
    <w:p w14:paraId="703800A9" w14:textId="29F04EEB" w:rsidR="003F7AC0" w:rsidRPr="0032506F" w:rsidRDefault="003F7AC0" w:rsidP="003F7AC0">
      <w:pPr>
        <w:rPr>
          <w:rFonts w:ascii="Times New Roman" w:hAnsi="Times New Roman" w:cs="Times New Roman"/>
          <w:sz w:val="24"/>
          <w:szCs w:val="24"/>
        </w:rPr>
      </w:pPr>
    </w:p>
    <w:p w14:paraId="2F7E4151" w14:textId="6EC00E3E" w:rsidR="003F7AC0" w:rsidRPr="0032506F" w:rsidRDefault="003F7AC0" w:rsidP="003F7AC0">
      <w:pPr>
        <w:rPr>
          <w:rFonts w:ascii="Times New Roman" w:hAnsi="Times New Roman" w:cs="Times New Roman"/>
          <w:sz w:val="24"/>
          <w:szCs w:val="24"/>
        </w:rPr>
      </w:pPr>
    </w:p>
    <w:p w14:paraId="199C85E3" w14:textId="699E3A2F" w:rsidR="003F7AC0" w:rsidRPr="0032506F" w:rsidRDefault="003F7AC0" w:rsidP="003F7AC0">
      <w:pPr>
        <w:rPr>
          <w:rFonts w:ascii="Times New Roman" w:hAnsi="Times New Roman" w:cs="Times New Roman"/>
          <w:sz w:val="24"/>
          <w:szCs w:val="24"/>
        </w:rPr>
      </w:pPr>
    </w:p>
    <w:p w14:paraId="762AFA35" w14:textId="69CDBAFD" w:rsidR="00C3532B" w:rsidRPr="0032506F" w:rsidRDefault="00C3532B" w:rsidP="003F7AC0">
      <w:pPr>
        <w:rPr>
          <w:rFonts w:ascii="Times New Roman" w:hAnsi="Times New Roman" w:cs="Times New Roman"/>
          <w:sz w:val="24"/>
          <w:szCs w:val="24"/>
        </w:rPr>
      </w:pPr>
    </w:p>
    <w:p w14:paraId="148B5FF1" w14:textId="41EC66D5" w:rsidR="00C3532B" w:rsidRPr="0032506F" w:rsidRDefault="00C3532B" w:rsidP="003F7AC0">
      <w:pPr>
        <w:rPr>
          <w:rFonts w:ascii="Times New Roman" w:hAnsi="Times New Roman" w:cs="Times New Roman"/>
          <w:sz w:val="24"/>
          <w:szCs w:val="24"/>
        </w:rPr>
      </w:pPr>
    </w:p>
    <w:p w14:paraId="2531E1C2" w14:textId="05AE83EE" w:rsidR="00C3532B" w:rsidRPr="0032506F" w:rsidRDefault="00C3532B" w:rsidP="003F7AC0">
      <w:pPr>
        <w:rPr>
          <w:rFonts w:ascii="Times New Roman" w:hAnsi="Times New Roman" w:cs="Times New Roman"/>
          <w:sz w:val="24"/>
          <w:szCs w:val="24"/>
        </w:rPr>
      </w:pPr>
    </w:p>
    <w:p w14:paraId="1307FAA2" w14:textId="77777777" w:rsidR="00C3532B" w:rsidRPr="0032506F" w:rsidRDefault="00C3532B" w:rsidP="003F7AC0">
      <w:pPr>
        <w:rPr>
          <w:rFonts w:ascii="Times New Roman" w:hAnsi="Times New Roman" w:cs="Times New Roman"/>
          <w:sz w:val="24"/>
          <w:szCs w:val="24"/>
        </w:rPr>
      </w:pPr>
    </w:p>
    <w:p w14:paraId="24C9178E" w14:textId="77777777" w:rsidR="003F7AC0" w:rsidRPr="0032506F" w:rsidRDefault="003F7AC0" w:rsidP="003F7AC0">
      <w:pPr>
        <w:rPr>
          <w:rFonts w:ascii="Times New Roman" w:hAnsi="Times New Roman" w:cs="Times New Roman"/>
          <w:sz w:val="24"/>
          <w:szCs w:val="24"/>
        </w:rPr>
      </w:pPr>
    </w:p>
    <w:p w14:paraId="619BE3F7" w14:textId="77777777" w:rsidR="00576522" w:rsidRDefault="00576522" w:rsidP="00570C0E">
      <w:pPr>
        <w:pStyle w:val="Heading2"/>
        <w:sectPr w:rsidR="00576522" w:rsidSect="003F7AC0">
          <w:pgSz w:w="12240" w:h="15840"/>
          <w:pgMar w:top="1440" w:right="1440" w:bottom="1440" w:left="1440" w:header="720" w:footer="720" w:gutter="0"/>
          <w:cols w:space="720"/>
          <w:docGrid w:linePitch="360"/>
        </w:sectPr>
      </w:pPr>
      <w:bookmarkStart w:id="220" w:name="_Appendix_T_IRB-Approved"/>
      <w:bookmarkStart w:id="221" w:name="_Appendix_P_Final"/>
      <w:bookmarkStart w:id="222" w:name="_Appendix_N_Final"/>
      <w:bookmarkStart w:id="223" w:name="_Appendix_U_Study"/>
      <w:bookmarkStart w:id="224" w:name="_Appendix_U_"/>
      <w:bookmarkStart w:id="225" w:name="_Appendix_V_University"/>
      <w:bookmarkStart w:id="226" w:name="_Appendix_V_Participants’"/>
      <w:bookmarkStart w:id="227" w:name="_Appendix_W_Email"/>
      <w:bookmarkStart w:id="228" w:name="_Appendix_W_Data"/>
      <w:bookmarkStart w:id="229" w:name="_Appendix_O_Unstandardized"/>
      <w:bookmarkStart w:id="230" w:name="_Appendix_N_Unstandardized"/>
      <w:bookmarkStart w:id="231" w:name="_Toc102489492"/>
      <w:bookmarkEnd w:id="220"/>
      <w:bookmarkEnd w:id="221"/>
      <w:bookmarkEnd w:id="222"/>
      <w:bookmarkEnd w:id="223"/>
      <w:bookmarkEnd w:id="224"/>
      <w:bookmarkEnd w:id="225"/>
      <w:bookmarkEnd w:id="226"/>
      <w:bookmarkEnd w:id="227"/>
      <w:bookmarkEnd w:id="228"/>
      <w:bookmarkEnd w:id="229"/>
      <w:bookmarkEnd w:id="230"/>
    </w:p>
    <w:p w14:paraId="65B84777" w14:textId="6ECC6DC8" w:rsidR="00EA3DB2" w:rsidRPr="0032506F" w:rsidRDefault="00EA3DB2" w:rsidP="00570C0E">
      <w:pPr>
        <w:pStyle w:val="Heading2"/>
      </w:pPr>
      <w:r w:rsidRPr="0032506F">
        <w:lastRenderedPageBreak/>
        <w:t xml:space="preserve">Appendix </w:t>
      </w:r>
      <w:bookmarkStart w:id="232" w:name="Table420"/>
      <w:r w:rsidR="00570C0E">
        <w:t>N</w:t>
      </w:r>
      <w:r w:rsidRPr="0032506F">
        <w:t xml:space="preserve"> </w:t>
      </w:r>
      <w:bookmarkEnd w:id="232"/>
      <w:r w:rsidRPr="0032506F">
        <w:t>Unstandardized</w:t>
      </w:r>
      <w:r w:rsidR="004C5E89" w:rsidRPr="0032506F">
        <w:t xml:space="preserve"> </w:t>
      </w:r>
      <w:r w:rsidRPr="0032506F">
        <w:t xml:space="preserve">Factor Loadings </w:t>
      </w:r>
      <w:bookmarkStart w:id="233" w:name="_Hlk92446427"/>
      <w:r w:rsidRPr="0032506F">
        <w:t xml:space="preserve">with Bias-Corrected 95 % Confidence Intervals </w:t>
      </w:r>
      <w:bookmarkEnd w:id="233"/>
      <w:r w:rsidRPr="0032506F">
        <w:t>(N=235)</w:t>
      </w:r>
      <w:bookmarkEnd w:id="231"/>
    </w:p>
    <w:tbl>
      <w:tblPr>
        <w:tblW w:w="4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8"/>
        <w:gridCol w:w="1994"/>
        <w:gridCol w:w="1433"/>
        <w:gridCol w:w="1110"/>
        <w:gridCol w:w="1110"/>
        <w:gridCol w:w="1182"/>
      </w:tblGrid>
      <w:tr w:rsidR="00EA3DB2" w:rsidRPr="0032506F" w14:paraId="2656A902" w14:textId="77777777" w:rsidTr="00F150E9">
        <w:trPr>
          <w:trHeight w:val="300"/>
        </w:trPr>
        <w:tc>
          <w:tcPr>
            <w:tcW w:w="840" w:type="pct"/>
            <w:tcBorders>
              <w:top w:val="single" w:sz="4" w:space="0" w:color="auto"/>
              <w:left w:val="nil"/>
              <w:bottom w:val="single" w:sz="4" w:space="0" w:color="auto"/>
              <w:right w:val="nil"/>
            </w:tcBorders>
            <w:shd w:val="clear" w:color="auto" w:fill="auto"/>
            <w:vAlign w:val="center"/>
            <w:hideMark/>
          </w:tcPr>
          <w:p w14:paraId="699A93D8" w14:textId="77777777" w:rsidR="00EA3DB2" w:rsidRPr="0032506F" w:rsidRDefault="00EA3DB2" w:rsidP="00F150E9">
            <w:pPr>
              <w:spacing w:after="0" w:line="240" w:lineRule="auto"/>
              <w:ind w:firstLineChars="100" w:firstLine="240"/>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215" w:type="pct"/>
            <w:tcBorders>
              <w:top w:val="single" w:sz="4" w:space="0" w:color="auto"/>
              <w:left w:val="nil"/>
              <w:bottom w:val="single" w:sz="4" w:space="0" w:color="auto"/>
              <w:right w:val="nil"/>
            </w:tcBorders>
            <w:shd w:val="clear" w:color="auto" w:fill="auto"/>
            <w:vAlign w:val="center"/>
            <w:hideMark/>
          </w:tcPr>
          <w:p w14:paraId="6A26A9B8" w14:textId="77777777" w:rsidR="00EA3DB2" w:rsidRPr="0032506F" w:rsidRDefault="00EA3DB2" w:rsidP="00F150E9">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873" w:type="pct"/>
            <w:tcBorders>
              <w:top w:val="single" w:sz="4" w:space="0" w:color="auto"/>
              <w:left w:val="nil"/>
              <w:bottom w:val="single" w:sz="4" w:space="0" w:color="auto"/>
              <w:right w:val="nil"/>
            </w:tcBorders>
            <w:shd w:val="clear" w:color="auto" w:fill="auto"/>
            <w:vAlign w:val="center"/>
            <w:hideMark/>
          </w:tcPr>
          <w:p w14:paraId="6849F965" w14:textId="77777777" w:rsidR="00EA3DB2" w:rsidRPr="0032506F" w:rsidRDefault="00EA3DB2" w:rsidP="00F150E9">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Estimate</w:t>
            </w:r>
          </w:p>
        </w:tc>
        <w:tc>
          <w:tcPr>
            <w:tcW w:w="676" w:type="pct"/>
            <w:tcBorders>
              <w:top w:val="single" w:sz="4" w:space="0" w:color="auto"/>
              <w:left w:val="nil"/>
              <w:bottom w:val="single" w:sz="4" w:space="0" w:color="auto"/>
              <w:right w:val="nil"/>
            </w:tcBorders>
            <w:shd w:val="clear" w:color="auto" w:fill="auto"/>
            <w:vAlign w:val="center"/>
            <w:hideMark/>
          </w:tcPr>
          <w:p w14:paraId="78F173B3" w14:textId="77777777" w:rsidR="00EA3DB2" w:rsidRPr="0032506F" w:rsidRDefault="00EA3DB2" w:rsidP="00F150E9">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Lower</w:t>
            </w:r>
          </w:p>
        </w:tc>
        <w:tc>
          <w:tcPr>
            <w:tcW w:w="676" w:type="pct"/>
            <w:tcBorders>
              <w:top w:val="single" w:sz="4" w:space="0" w:color="auto"/>
              <w:left w:val="nil"/>
              <w:bottom w:val="single" w:sz="4" w:space="0" w:color="auto"/>
              <w:right w:val="nil"/>
            </w:tcBorders>
            <w:shd w:val="clear" w:color="auto" w:fill="auto"/>
            <w:vAlign w:val="center"/>
            <w:hideMark/>
          </w:tcPr>
          <w:p w14:paraId="61F09C53" w14:textId="77777777" w:rsidR="00EA3DB2" w:rsidRPr="0032506F" w:rsidRDefault="00EA3DB2" w:rsidP="00F150E9">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Upper</w:t>
            </w:r>
          </w:p>
        </w:tc>
        <w:tc>
          <w:tcPr>
            <w:tcW w:w="721" w:type="pct"/>
            <w:tcBorders>
              <w:top w:val="single" w:sz="4" w:space="0" w:color="auto"/>
              <w:left w:val="nil"/>
              <w:bottom w:val="single" w:sz="4" w:space="0" w:color="auto"/>
              <w:right w:val="nil"/>
            </w:tcBorders>
            <w:shd w:val="clear" w:color="auto" w:fill="auto"/>
            <w:vAlign w:val="center"/>
            <w:hideMark/>
          </w:tcPr>
          <w:p w14:paraId="66AA178F" w14:textId="77777777" w:rsidR="00EA3DB2" w:rsidRPr="0032506F" w:rsidRDefault="00EA3DB2" w:rsidP="00F150E9">
            <w:pPr>
              <w:spacing w:after="0" w:line="240" w:lineRule="auto"/>
              <w:jc w:val="center"/>
              <w:rPr>
                <w:rFonts w:ascii="Times New Roman" w:eastAsia="Times New Roman" w:hAnsi="Times New Roman" w:cs="Times New Roman"/>
                <w:i/>
                <w:sz w:val="24"/>
                <w:szCs w:val="24"/>
                <w:lang w:eastAsia="tr-TR"/>
              </w:rPr>
            </w:pPr>
            <w:r w:rsidRPr="0032506F">
              <w:rPr>
                <w:rFonts w:ascii="Times New Roman" w:eastAsia="Times New Roman" w:hAnsi="Times New Roman" w:cs="Times New Roman"/>
                <w:i/>
                <w:sz w:val="24"/>
                <w:szCs w:val="24"/>
                <w:lang w:eastAsia="tr-TR"/>
              </w:rPr>
              <w:t xml:space="preserve">    P</w:t>
            </w:r>
          </w:p>
        </w:tc>
      </w:tr>
      <w:tr w:rsidR="00EA3DB2" w:rsidRPr="0032506F" w14:paraId="2CE9C260" w14:textId="77777777" w:rsidTr="00F150E9">
        <w:trPr>
          <w:trHeight w:val="233"/>
        </w:trPr>
        <w:tc>
          <w:tcPr>
            <w:tcW w:w="840" w:type="pct"/>
            <w:tcBorders>
              <w:top w:val="single" w:sz="4" w:space="0" w:color="auto"/>
              <w:left w:val="nil"/>
              <w:bottom w:val="nil"/>
              <w:right w:val="nil"/>
            </w:tcBorders>
            <w:shd w:val="clear" w:color="auto" w:fill="auto"/>
            <w:vAlign w:val="center"/>
          </w:tcPr>
          <w:p w14:paraId="659E8652"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215" w:type="pct"/>
            <w:tcBorders>
              <w:top w:val="single" w:sz="4" w:space="0" w:color="auto"/>
              <w:left w:val="nil"/>
              <w:bottom w:val="nil"/>
              <w:right w:val="nil"/>
            </w:tcBorders>
            <w:shd w:val="clear" w:color="auto" w:fill="auto"/>
            <w:vAlign w:val="center"/>
          </w:tcPr>
          <w:p w14:paraId="0D93D46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single" w:sz="4" w:space="0" w:color="auto"/>
              <w:left w:val="nil"/>
              <w:bottom w:val="nil"/>
              <w:right w:val="nil"/>
            </w:tcBorders>
            <w:shd w:val="clear" w:color="auto" w:fill="auto"/>
          </w:tcPr>
          <w:p w14:paraId="7B483A5F"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single" w:sz="4" w:space="0" w:color="auto"/>
              <w:left w:val="nil"/>
              <w:bottom w:val="nil"/>
              <w:right w:val="nil"/>
            </w:tcBorders>
            <w:shd w:val="clear" w:color="auto" w:fill="auto"/>
          </w:tcPr>
          <w:p w14:paraId="1CF44F3E"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single" w:sz="4" w:space="0" w:color="auto"/>
              <w:left w:val="nil"/>
              <w:bottom w:val="nil"/>
              <w:right w:val="nil"/>
            </w:tcBorders>
            <w:shd w:val="clear" w:color="auto" w:fill="auto"/>
            <w:vAlign w:val="bottom"/>
          </w:tcPr>
          <w:p w14:paraId="6390B365"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single" w:sz="4" w:space="0" w:color="auto"/>
              <w:left w:val="nil"/>
              <w:bottom w:val="nil"/>
              <w:right w:val="nil"/>
            </w:tcBorders>
            <w:shd w:val="clear" w:color="auto" w:fill="auto"/>
            <w:vAlign w:val="center"/>
          </w:tcPr>
          <w:p w14:paraId="413F1A89"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EA3DB2" w:rsidRPr="0032506F" w14:paraId="0B5650E4" w14:textId="77777777" w:rsidTr="00F150E9">
        <w:trPr>
          <w:trHeight w:val="170"/>
        </w:trPr>
        <w:tc>
          <w:tcPr>
            <w:tcW w:w="840" w:type="pct"/>
            <w:tcBorders>
              <w:top w:val="nil"/>
              <w:left w:val="nil"/>
              <w:bottom w:val="nil"/>
              <w:right w:val="nil"/>
            </w:tcBorders>
            <w:shd w:val="clear" w:color="auto" w:fill="auto"/>
          </w:tcPr>
          <w:p w14:paraId="1ED2B717"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215" w:type="pct"/>
            <w:tcBorders>
              <w:top w:val="nil"/>
              <w:left w:val="nil"/>
              <w:bottom w:val="nil"/>
              <w:right w:val="nil"/>
            </w:tcBorders>
            <w:shd w:val="clear" w:color="auto" w:fill="auto"/>
            <w:vAlign w:val="center"/>
          </w:tcPr>
          <w:p w14:paraId="14C6BB82"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7142F03" w14:textId="77777777" w:rsidR="00EA3DB2" w:rsidRPr="0032506F" w:rsidRDefault="00EA3DB2" w:rsidP="00F150E9">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.731</w:t>
            </w:r>
          </w:p>
        </w:tc>
        <w:tc>
          <w:tcPr>
            <w:tcW w:w="676" w:type="pct"/>
            <w:tcBorders>
              <w:top w:val="nil"/>
              <w:left w:val="nil"/>
              <w:bottom w:val="nil"/>
              <w:right w:val="nil"/>
            </w:tcBorders>
            <w:shd w:val="clear" w:color="auto" w:fill="auto"/>
          </w:tcPr>
          <w:p w14:paraId="4C5C563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.382</w:t>
            </w:r>
          </w:p>
        </w:tc>
        <w:tc>
          <w:tcPr>
            <w:tcW w:w="676" w:type="pct"/>
            <w:tcBorders>
              <w:top w:val="nil"/>
              <w:left w:val="nil"/>
              <w:bottom w:val="nil"/>
              <w:right w:val="nil"/>
            </w:tcBorders>
            <w:shd w:val="clear" w:color="auto" w:fill="auto"/>
            <w:vAlign w:val="bottom"/>
          </w:tcPr>
          <w:p w14:paraId="0D634FF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1.119</w:t>
            </w:r>
          </w:p>
        </w:tc>
        <w:tc>
          <w:tcPr>
            <w:tcW w:w="721" w:type="pct"/>
            <w:tcBorders>
              <w:top w:val="nil"/>
              <w:left w:val="nil"/>
              <w:bottom w:val="nil"/>
              <w:right w:val="nil"/>
            </w:tcBorders>
            <w:shd w:val="clear" w:color="auto" w:fill="auto"/>
            <w:noWrap/>
            <w:vAlign w:val="bottom"/>
          </w:tcPr>
          <w:p w14:paraId="35FECEF5"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0CD25AA9" w14:textId="77777777" w:rsidTr="00F150E9">
        <w:trPr>
          <w:trHeight w:val="296"/>
        </w:trPr>
        <w:tc>
          <w:tcPr>
            <w:tcW w:w="840" w:type="pct"/>
            <w:tcBorders>
              <w:top w:val="nil"/>
              <w:left w:val="nil"/>
              <w:bottom w:val="nil"/>
              <w:right w:val="nil"/>
            </w:tcBorders>
            <w:shd w:val="clear" w:color="auto" w:fill="auto"/>
          </w:tcPr>
          <w:p w14:paraId="096A0409"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215" w:type="pct"/>
            <w:tcBorders>
              <w:top w:val="nil"/>
              <w:left w:val="nil"/>
              <w:bottom w:val="nil"/>
              <w:right w:val="nil"/>
            </w:tcBorders>
            <w:shd w:val="clear" w:color="auto" w:fill="auto"/>
            <w:vAlign w:val="center"/>
          </w:tcPr>
          <w:p w14:paraId="4329928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CE63269"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1.077</w:t>
            </w:r>
          </w:p>
        </w:tc>
        <w:tc>
          <w:tcPr>
            <w:tcW w:w="676" w:type="pct"/>
            <w:tcBorders>
              <w:top w:val="nil"/>
              <w:left w:val="nil"/>
              <w:bottom w:val="nil"/>
              <w:right w:val="nil"/>
            </w:tcBorders>
            <w:shd w:val="clear" w:color="auto" w:fill="auto"/>
          </w:tcPr>
          <w:p w14:paraId="1628ADEE"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.669</w:t>
            </w:r>
          </w:p>
        </w:tc>
        <w:tc>
          <w:tcPr>
            <w:tcW w:w="676" w:type="pct"/>
            <w:tcBorders>
              <w:top w:val="nil"/>
              <w:left w:val="nil"/>
              <w:bottom w:val="nil"/>
              <w:right w:val="nil"/>
            </w:tcBorders>
            <w:shd w:val="clear" w:color="auto" w:fill="auto"/>
            <w:vAlign w:val="bottom"/>
          </w:tcPr>
          <w:p w14:paraId="31A5376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1.554</w:t>
            </w:r>
          </w:p>
        </w:tc>
        <w:tc>
          <w:tcPr>
            <w:tcW w:w="721" w:type="pct"/>
            <w:tcBorders>
              <w:top w:val="nil"/>
              <w:left w:val="nil"/>
              <w:bottom w:val="nil"/>
              <w:right w:val="nil"/>
            </w:tcBorders>
            <w:shd w:val="clear" w:color="auto" w:fill="auto"/>
            <w:hideMark/>
          </w:tcPr>
          <w:p w14:paraId="2A4AA616"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628329F4" w14:textId="77777777" w:rsidTr="00F150E9">
        <w:trPr>
          <w:trHeight w:val="242"/>
        </w:trPr>
        <w:tc>
          <w:tcPr>
            <w:tcW w:w="840" w:type="pct"/>
            <w:tcBorders>
              <w:top w:val="nil"/>
              <w:left w:val="nil"/>
              <w:bottom w:val="nil"/>
              <w:right w:val="nil"/>
            </w:tcBorders>
            <w:shd w:val="clear" w:color="auto" w:fill="auto"/>
          </w:tcPr>
          <w:p w14:paraId="7CECAF80"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215" w:type="pct"/>
            <w:tcBorders>
              <w:top w:val="nil"/>
              <w:left w:val="nil"/>
              <w:bottom w:val="nil"/>
              <w:right w:val="nil"/>
            </w:tcBorders>
            <w:shd w:val="clear" w:color="auto" w:fill="auto"/>
            <w:vAlign w:val="center"/>
          </w:tcPr>
          <w:p w14:paraId="1F15C4D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212DA2B5"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1.159</w:t>
            </w:r>
          </w:p>
        </w:tc>
        <w:tc>
          <w:tcPr>
            <w:tcW w:w="676" w:type="pct"/>
            <w:tcBorders>
              <w:top w:val="nil"/>
              <w:left w:val="nil"/>
              <w:bottom w:val="nil"/>
              <w:right w:val="nil"/>
            </w:tcBorders>
            <w:shd w:val="clear" w:color="auto" w:fill="auto"/>
          </w:tcPr>
          <w:p w14:paraId="6EC7C67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.920</w:t>
            </w:r>
          </w:p>
        </w:tc>
        <w:tc>
          <w:tcPr>
            <w:tcW w:w="676" w:type="pct"/>
            <w:tcBorders>
              <w:top w:val="nil"/>
              <w:left w:val="nil"/>
              <w:bottom w:val="nil"/>
              <w:right w:val="nil"/>
            </w:tcBorders>
            <w:shd w:val="clear" w:color="auto" w:fill="auto"/>
            <w:vAlign w:val="bottom"/>
          </w:tcPr>
          <w:p w14:paraId="0116368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1.447</w:t>
            </w:r>
          </w:p>
        </w:tc>
        <w:tc>
          <w:tcPr>
            <w:tcW w:w="721" w:type="pct"/>
            <w:tcBorders>
              <w:top w:val="nil"/>
              <w:left w:val="nil"/>
              <w:bottom w:val="nil"/>
              <w:right w:val="nil"/>
            </w:tcBorders>
            <w:shd w:val="clear" w:color="auto" w:fill="auto"/>
            <w:hideMark/>
          </w:tcPr>
          <w:p w14:paraId="4C36846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205C419D" w14:textId="77777777" w:rsidTr="00F150E9">
        <w:trPr>
          <w:trHeight w:val="233"/>
        </w:trPr>
        <w:tc>
          <w:tcPr>
            <w:tcW w:w="840" w:type="pct"/>
            <w:tcBorders>
              <w:top w:val="nil"/>
              <w:left w:val="nil"/>
              <w:bottom w:val="nil"/>
              <w:right w:val="nil"/>
            </w:tcBorders>
            <w:shd w:val="clear" w:color="auto" w:fill="auto"/>
          </w:tcPr>
          <w:p w14:paraId="5CED7192"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215" w:type="pct"/>
            <w:tcBorders>
              <w:top w:val="nil"/>
              <w:left w:val="nil"/>
              <w:bottom w:val="nil"/>
              <w:right w:val="nil"/>
            </w:tcBorders>
            <w:shd w:val="clear" w:color="auto" w:fill="auto"/>
            <w:vAlign w:val="center"/>
          </w:tcPr>
          <w:p w14:paraId="1C2AD884"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tcPr>
          <w:p w14:paraId="32C0F7B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676" w:type="pct"/>
            <w:tcBorders>
              <w:top w:val="nil"/>
              <w:left w:val="nil"/>
              <w:bottom w:val="nil"/>
              <w:right w:val="nil"/>
            </w:tcBorders>
            <w:shd w:val="clear" w:color="auto" w:fill="auto"/>
          </w:tcPr>
          <w:p w14:paraId="2FEB6D4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nil"/>
              <w:left w:val="nil"/>
              <w:bottom w:val="nil"/>
              <w:right w:val="nil"/>
            </w:tcBorders>
            <w:shd w:val="clear" w:color="auto" w:fill="auto"/>
            <w:vAlign w:val="bottom"/>
          </w:tcPr>
          <w:p w14:paraId="75CB780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nil"/>
              <w:left w:val="nil"/>
              <w:bottom w:val="nil"/>
              <w:right w:val="nil"/>
            </w:tcBorders>
            <w:shd w:val="clear" w:color="auto" w:fill="auto"/>
            <w:hideMark/>
          </w:tcPr>
          <w:p w14:paraId="19C7C84F"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EA3DB2" w:rsidRPr="0032506F" w14:paraId="27195442" w14:textId="77777777" w:rsidTr="00F150E9">
        <w:trPr>
          <w:trHeight w:val="206"/>
        </w:trPr>
        <w:tc>
          <w:tcPr>
            <w:tcW w:w="840" w:type="pct"/>
            <w:tcBorders>
              <w:top w:val="nil"/>
              <w:left w:val="nil"/>
              <w:bottom w:val="nil"/>
              <w:right w:val="nil"/>
            </w:tcBorders>
            <w:shd w:val="clear" w:color="auto" w:fill="auto"/>
            <w:vAlign w:val="center"/>
          </w:tcPr>
          <w:p w14:paraId="0E4DDF62"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215" w:type="pct"/>
            <w:tcBorders>
              <w:top w:val="nil"/>
              <w:left w:val="nil"/>
              <w:bottom w:val="nil"/>
              <w:right w:val="nil"/>
            </w:tcBorders>
            <w:shd w:val="clear" w:color="auto" w:fill="auto"/>
            <w:vAlign w:val="center"/>
          </w:tcPr>
          <w:p w14:paraId="5C7F60AE"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1DACE84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1.002</w:t>
            </w:r>
          </w:p>
        </w:tc>
        <w:tc>
          <w:tcPr>
            <w:tcW w:w="676" w:type="pct"/>
            <w:tcBorders>
              <w:top w:val="nil"/>
              <w:left w:val="nil"/>
              <w:bottom w:val="nil"/>
              <w:right w:val="nil"/>
            </w:tcBorders>
            <w:shd w:val="clear" w:color="auto" w:fill="auto"/>
          </w:tcPr>
          <w:p w14:paraId="0D56AE74"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.887</w:t>
            </w:r>
          </w:p>
        </w:tc>
        <w:tc>
          <w:tcPr>
            <w:tcW w:w="676" w:type="pct"/>
            <w:tcBorders>
              <w:top w:val="nil"/>
              <w:left w:val="nil"/>
              <w:bottom w:val="nil"/>
              <w:right w:val="nil"/>
            </w:tcBorders>
            <w:shd w:val="clear" w:color="auto" w:fill="auto"/>
            <w:vAlign w:val="bottom"/>
          </w:tcPr>
          <w:p w14:paraId="516F4B64"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1.134</w:t>
            </w:r>
          </w:p>
        </w:tc>
        <w:tc>
          <w:tcPr>
            <w:tcW w:w="721" w:type="pct"/>
            <w:tcBorders>
              <w:top w:val="nil"/>
              <w:left w:val="nil"/>
              <w:bottom w:val="nil"/>
              <w:right w:val="nil"/>
            </w:tcBorders>
            <w:shd w:val="clear" w:color="auto" w:fill="auto"/>
            <w:noWrap/>
            <w:hideMark/>
          </w:tcPr>
          <w:p w14:paraId="35AC1E76"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3F12AB66" w14:textId="77777777" w:rsidTr="00F150E9">
        <w:trPr>
          <w:trHeight w:val="161"/>
        </w:trPr>
        <w:tc>
          <w:tcPr>
            <w:tcW w:w="840" w:type="pct"/>
            <w:tcBorders>
              <w:top w:val="nil"/>
              <w:left w:val="nil"/>
              <w:bottom w:val="nil"/>
              <w:right w:val="nil"/>
            </w:tcBorders>
            <w:shd w:val="clear" w:color="auto" w:fill="auto"/>
          </w:tcPr>
          <w:p w14:paraId="11C23515"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215" w:type="pct"/>
            <w:tcBorders>
              <w:top w:val="nil"/>
              <w:left w:val="nil"/>
              <w:bottom w:val="nil"/>
              <w:right w:val="nil"/>
            </w:tcBorders>
            <w:shd w:val="clear" w:color="auto" w:fill="auto"/>
            <w:vAlign w:val="center"/>
            <w:hideMark/>
          </w:tcPr>
          <w:p w14:paraId="627B1695"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271E359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.837</w:t>
            </w:r>
          </w:p>
        </w:tc>
        <w:tc>
          <w:tcPr>
            <w:tcW w:w="676" w:type="pct"/>
            <w:tcBorders>
              <w:top w:val="nil"/>
              <w:left w:val="nil"/>
              <w:bottom w:val="nil"/>
              <w:right w:val="nil"/>
            </w:tcBorders>
            <w:shd w:val="clear" w:color="auto" w:fill="auto"/>
          </w:tcPr>
          <w:p w14:paraId="4CF98A36"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.721</w:t>
            </w:r>
          </w:p>
        </w:tc>
        <w:tc>
          <w:tcPr>
            <w:tcW w:w="676" w:type="pct"/>
            <w:tcBorders>
              <w:top w:val="nil"/>
              <w:left w:val="nil"/>
              <w:bottom w:val="nil"/>
              <w:right w:val="nil"/>
            </w:tcBorders>
            <w:shd w:val="clear" w:color="auto" w:fill="auto"/>
            <w:vAlign w:val="bottom"/>
          </w:tcPr>
          <w:p w14:paraId="1C381C9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.960</w:t>
            </w:r>
          </w:p>
        </w:tc>
        <w:tc>
          <w:tcPr>
            <w:tcW w:w="721" w:type="pct"/>
            <w:tcBorders>
              <w:top w:val="nil"/>
              <w:left w:val="nil"/>
              <w:bottom w:val="nil"/>
              <w:right w:val="nil"/>
            </w:tcBorders>
            <w:shd w:val="clear" w:color="auto" w:fill="auto"/>
            <w:noWrap/>
            <w:hideMark/>
          </w:tcPr>
          <w:p w14:paraId="2FADF166"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52997E8C" w14:textId="77777777" w:rsidTr="00F150E9">
        <w:trPr>
          <w:trHeight w:val="278"/>
        </w:trPr>
        <w:tc>
          <w:tcPr>
            <w:tcW w:w="840" w:type="pct"/>
            <w:tcBorders>
              <w:top w:val="nil"/>
              <w:left w:val="nil"/>
              <w:bottom w:val="nil"/>
              <w:right w:val="nil"/>
            </w:tcBorders>
            <w:shd w:val="clear" w:color="auto" w:fill="auto"/>
          </w:tcPr>
          <w:p w14:paraId="4A463D9F"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215" w:type="pct"/>
            <w:tcBorders>
              <w:top w:val="nil"/>
              <w:left w:val="nil"/>
              <w:bottom w:val="nil"/>
              <w:right w:val="nil"/>
            </w:tcBorders>
            <w:shd w:val="clear" w:color="auto" w:fill="auto"/>
            <w:vAlign w:val="center"/>
            <w:hideMark/>
          </w:tcPr>
          <w:p w14:paraId="03B6E73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1AD1C6E9"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1.043</w:t>
            </w:r>
          </w:p>
        </w:tc>
        <w:tc>
          <w:tcPr>
            <w:tcW w:w="676" w:type="pct"/>
            <w:tcBorders>
              <w:top w:val="nil"/>
              <w:left w:val="nil"/>
              <w:bottom w:val="nil"/>
              <w:right w:val="nil"/>
            </w:tcBorders>
            <w:shd w:val="clear" w:color="auto" w:fill="auto"/>
          </w:tcPr>
          <w:p w14:paraId="7CC8918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.939</w:t>
            </w:r>
          </w:p>
        </w:tc>
        <w:tc>
          <w:tcPr>
            <w:tcW w:w="676" w:type="pct"/>
            <w:tcBorders>
              <w:top w:val="nil"/>
              <w:left w:val="nil"/>
              <w:bottom w:val="nil"/>
              <w:right w:val="nil"/>
            </w:tcBorders>
            <w:shd w:val="clear" w:color="auto" w:fill="auto"/>
            <w:vAlign w:val="bottom"/>
          </w:tcPr>
          <w:p w14:paraId="358349A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1.170</w:t>
            </w:r>
          </w:p>
        </w:tc>
        <w:tc>
          <w:tcPr>
            <w:tcW w:w="721" w:type="pct"/>
            <w:tcBorders>
              <w:top w:val="nil"/>
              <w:left w:val="nil"/>
              <w:bottom w:val="nil"/>
              <w:right w:val="nil"/>
            </w:tcBorders>
            <w:shd w:val="clear" w:color="auto" w:fill="auto"/>
            <w:hideMark/>
          </w:tcPr>
          <w:p w14:paraId="08AC3C7F"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5705D85F" w14:textId="77777777" w:rsidTr="00F150E9">
        <w:trPr>
          <w:trHeight w:val="314"/>
        </w:trPr>
        <w:tc>
          <w:tcPr>
            <w:tcW w:w="840" w:type="pct"/>
            <w:tcBorders>
              <w:top w:val="nil"/>
              <w:left w:val="nil"/>
              <w:bottom w:val="nil"/>
              <w:right w:val="nil"/>
            </w:tcBorders>
            <w:shd w:val="clear" w:color="auto" w:fill="auto"/>
          </w:tcPr>
          <w:p w14:paraId="6598935A"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215" w:type="pct"/>
            <w:tcBorders>
              <w:top w:val="nil"/>
              <w:left w:val="nil"/>
              <w:bottom w:val="nil"/>
              <w:right w:val="nil"/>
            </w:tcBorders>
            <w:shd w:val="clear" w:color="auto" w:fill="auto"/>
            <w:vAlign w:val="center"/>
            <w:hideMark/>
          </w:tcPr>
          <w:p w14:paraId="2959E36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7874A12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.936</w:t>
            </w:r>
          </w:p>
        </w:tc>
        <w:tc>
          <w:tcPr>
            <w:tcW w:w="676" w:type="pct"/>
            <w:tcBorders>
              <w:top w:val="nil"/>
              <w:left w:val="nil"/>
              <w:bottom w:val="nil"/>
              <w:right w:val="nil"/>
            </w:tcBorders>
            <w:shd w:val="clear" w:color="auto" w:fill="auto"/>
          </w:tcPr>
          <w:p w14:paraId="2D56653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.817</w:t>
            </w:r>
          </w:p>
        </w:tc>
        <w:tc>
          <w:tcPr>
            <w:tcW w:w="676" w:type="pct"/>
            <w:tcBorders>
              <w:top w:val="nil"/>
              <w:left w:val="nil"/>
              <w:bottom w:val="nil"/>
              <w:right w:val="nil"/>
            </w:tcBorders>
            <w:shd w:val="clear" w:color="auto" w:fill="auto"/>
            <w:vAlign w:val="bottom"/>
          </w:tcPr>
          <w:p w14:paraId="66762DD2"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1.078</w:t>
            </w:r>
          </w:p>
        </w:tc>
        <w:tc>
          <w:tcPr>
            <w:tcW w:w="721" w:type="pct"/>
            <w:tcBorders>
              <w:top w:val="nil"/>
              <w:left w:val="nil"/>
              <w:bottom w:val="nil"/>
              <w:right w:val="nil"/>
            </w:tcBorders>
            <w:shd w:val="clear" w:color="auto" w:fill="auto"/>
            <w:hideMark/>
          </w:tcPr>
          <w:p w14:paraId="5EC8C3A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76C4C411" w14:textId="77777777" w:rsidTr="00F150E9">
        <w:trPr>
          <w:trHeight w:val="251"/>
        </w:trPr>
        <w:tc>
          <w:tcPr>
            <w:tcW w:w="840" w:type="pct"/>
            <w:tcBorders>
              <w:top w:val="nil"/>
              <w:left w:val="nil"/>
              <w:bottom w:val="nil"/>
              <w:right w:val="nil"/>
            </w:tcBorders>
            <w:shd w:val="clear" w:color="auto" w:fill="auto"/>
          </w:tcPr>
          <w:p w14:paraId="164A8909"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215" w:type="pct"/>
            <w:tcBorders>
              <w:top w:val="nil"/>
              <w:left w:val="nil"/>
              <w:bottom w:val="nil"/>
              <w:right w:val="nil"/>
            </w:tcBorders>
            <w:shd w:val="clear" w:color="auto" w:fill="auto"/>
            <w:vAlign w:val="center"/>
            <w:hideMark/>
          </w:tcPr>
          <w:p w14:paraId="4477CD8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4315654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1.071</w:t>
            </w:r>
          </w:p>
        </w:tc>
        <w:tc>
          <w:tcPr>
            <w:tcW w:w="676" w:type="pct"/>
            <w:tcBorders>
              <w:top w:val="nil"/>
              <w:left w:val="nil"/>
              <w:bottom w:val="nil"/>
              <w:right w:val="nil"/>
            </w:tcBorders>
            <w:shd w:val="clear" w:color="auto" w:fill="auto"/>
          </w:tcPr>
          <w:p w14:paraId="26DC14F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.957</w:t>
            </w:r>
          </w:p>
        </w:tc>
        <w:tc>
          <w:tcPr>
            <w:tcW w:w="676" w:type="pct"/>
            <w:tcBorders>
              <w:top w:val="nil"/>
              <w:left w:val="nil"/>
              <w:bottom w:val="nil"/>
              <w:right w:val="nil"/>
            </w:tcBorders>
            <w:shd w:val="clear" w:color="auto" w:fill="auto"/>
            <w:vAlign w:val="bottom"/>
          </w:tcPr>
          <w:p w14:paraId="641D00F9"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1.209</w:t>
            </w:r>
          </w:p>
        </w:tc>
        <w:tc>
          <w:tcPr>
            <w:tcW w:w="721" w:type="pct"/>
            <w:tcBorders>
              <w:top w:val="nil"/>
              <w:left w:val="nil"/>
              <w:bottom w:val="nil"/>
              <w:right w:val="nil"/>
            </w:tcBorders>
            <w:shd w:val="clear" w:color="auto" w:fill="auto"/>
            <w:hideMark/>
          </w:tcPr>
          <w:p w14:paraId="47BB47F8"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60E360A3" w14:textId="77777777" w:rsidTr="00F150E9">
        <w:trPr>
          <w:trHeight w:val="197"/>
        </w:trPr>
        <w:tc>
          <w:tcPr>
            <w:tcW w:w="840" w:type="pct"/>
            <w:tcBorders>
              <w:top w:val="nil"/>
              <w:left w:val="nil"/>
              <w:bottom w:val="nil"/>
              <w:right w:val="nil"/>
            </w:tcBorders>
            <w:shd w:val="clear" w:color="auto" w:fill="auto"/>
          </w:tcPr>
          <w:p w14:paraId="75A2AB3F"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215" w:type="pct"/>
            <w:tcBorders>
              <w:top w:val="nil"/>
              <w:left w:val="nil"/>
              <w:bottom w:val="nil"/>
              <w:right w:val="nil"/>
            </w:tcBorders>
            <w:shd w:val="clear" w:color="auto" w:fill="auto"/>
            <w:vAlign w:val="center"/>
            <w:hideMark/>
          </w:tcPr>
          <w:p w14:paraId="7C907F74"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4E7670D0"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.971</w:t>
            </w:r>
          </w:p>
        </w:tc>
        <w:tc>
          <w:tcPr>
            <w:tcW w:w="676" w:type="pct"/>
            <w:tcBorders>
              <w:top w:val="nil"/>
              <w:left w:val="nil"/>
              <w:bottom w:val="nil"/>
              <w:right w:val="nil"/>
            </w:tcBorders>
            <w:shd w:val="clear" w:color="auto" w:fill="auto"/>
          </w:tcPr>
          <w:p w14:paraId="30D2B62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.878</w:t>
            </w:r>
          </w:p>
        </w:tc>
        <w:tc>
          <w:tcPr>
            <w:tcW w:w="676" w:type="pct"/>
            <w:tcBorders>
              <w:top w:val="nil"/>
              <w:left w:val="nil"/>
              <w:bottom w:val="nil"/>
              <w:right w:val="nil"/>
            </w:tcBorders>
            <w:shd w:val="clear" w:color="auto" w:fill="auto"/>
            <w:vAlign w:val="bottom"/>
          </w:tcPr>
          <w:p w14:paraId="1EA2C0C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1.078</w:t>
            </w:r>
          </w:p>
        </w:tc>
        <w:tc>
          <w:tcPr>
            <w:tcW w:w="721" w:type="pct"/>
            <w:tcBorders>
              <w:top w:val="nil"/>
              <w:left w:val="nil"/>
              <w:bottom w:val="nil"/>
              <w:right w:val="nil"/>
            </w:tcBorders>
            <w:shd w:val="clear" w:color="auto" w:fill="auto"/>
            <w:hideMark/>
          </w:tcPr>
          <w:p w14:paraId="64CB28A6"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436A0826" w14:textId="77777777" w:rsidTr="00F150E9">
        <w:trPr>
          <w:trHeight w:val="206"/>
        </w:trPr>
        <w:tc>
          <w:tcPr>
            <w:tcW w:w="840" w:type="pct"/>
            <w:tcBorders>
              <w:top w:val="nil"/>
              <w:left w:val="nil"/>
              <w:bottom w:val="nil"/>
              <w:right w:val="nil"/>
            </w:tcBorders>
            <w:shd w:val="clear" w:color="auto" w:fill="auto"/>
          </w:tcPr>
          <w:p w14:paraId="0DFF427B"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215" w:type="pct"/>
            <w:tcBorders>
              <w:top w:val="nil"/>
              <w:left w:val="nil"/>
              <w:bottom w:val="nil"/>
              <w:right w:val="nil"/>
            </w:tcBorders>
            <w:shd w:val="clear" w:color="auto" w:fill="auto"/>
            <w:vAlign w:val="center"/>
            <w:hideMark/>
          </w:tcPr>
          <w:p w14:paraId="14A6266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51CF0D9"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1.000</w:t>
            </w:r>
          </w:p>
        </w:tc>
        <w:tc>
          <w:tcPr>
            <w:tcW w:w="676" w:type="pct"/>
            <w:tcBorders>
              <w:top w:val="nil"/>
              <w:left w:val="nil"/>
              <w:bottom w:val="nil"/>
              <w:right w:val="nil"/>
            </w:tcBorders>
            <w:shd w:val="clear" w:color="auto" w:fill="auto"/>
            <w:vAlign w:val="bottom"/>
          </w:tcPr>
          <w:p w14:paraId="0250991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676" w:type="pct"/>
            <w:tcBorders>
              <w:top w:val="nil"/>
              <w:left w:val="nil"/>
              <w:bottom w:val="nil"/>
              <w:right w:val="nil"/>
            </w:tcBorders>
            <w:shd w:val="clear" w:color="auto" w:fill="auto"/>
            <w:vAlign w:val="bottom"/>
          </w:tcPr>
          <w:p w14:paraId="690DBC2E"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1.000</w:t>
            </w:r>
          </w:p>
        </w:tc>
        <w:tc>
          <w:tcPr>
            <w:tcW w:w="721" w:type="pct"/>
            <w:tcBorders>
              <w:top w:val="nil"/>
              <w:left w:val="nil"/>
              <w:bottom w:val="nil"/>
              <w:right w:val="nil"/>
            </w:tcBorders>
            <w:shd w:val="clear" w:color="auto" w:fill="auto"/>
            <w:hideMark/>
          </w:tcPr>
          <w:p w14:paraId="4EF90CB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w:t>
            </w:r>
          </w:p>
        </w:tc>
      </w:tr>
      <w:tr w:rsidR="00EA3DB2" w:rsidRPr="0032506F" w14:paraId="3DEBA680" w14:textId="77777777" w:rsidTr="00F150E9">
        <w:trPr>
          <w:trHeight w:val="242"/>
        </w:trPr>
        <w:tc>
          <w:tcPr>
            <w:tcW w:w="840" w:type="pct"/>
            <w:tcBorders>
              <w:top w:val="nil"/>
              <w:left w:val="nil"/>
              <w:bottom w:val="nil"/>
              <w:right w:val="nil"/>
            </w:tcBorders>
            <w:shd w:val="clear" w:color="auto" w:fill="auto"/>
          </w:tcPr>
          <w:p w14:paraId="55C765B5"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215" w:type="pct"/>
            <w:tcBorders>
              <w:top w:val="nil"/>
              <w:left w:val="nil"/>
              <w:bottom w:val="nil"/>
              <w:right w:val="nil"/>
            </w:tcBorders>
            <w:shd w:val="clear" w:color="auto" w:fill="auto"/>
            <w:vAlign w:val="center"/>
            <w:hideMark/>
          </w:tcPr>
          <w:p w14:paraId="5D95AAAB"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1C13AC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.932</w:t>
            </w:r>
          </w:p>
        </w:tc>
        <w:tc>
          <w:tcPr>
            <w:tcW w:w="676" w:type="pct"/>
            <w:tcBorders>
              <w:top w:val="nil"/>
              <w:left w:val="nil"/>
              <w:bottom w:val="nil"/>
              <w:right w:val="nil"/>
            </w:tcBorders>
            <w:shd w:val="clear" w:color="auto" w:fill="auto"/>
            <w:vAlign w:val="bottom"/>
          </w:tcPr>
          <w:p w14:paraId="7CF8201B"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.784</w:t>
            </w:r>
          </w:p>
        </w:tc>
        <w:tc>
          <w:tcPr>
            <w:tcW w:w="676" w:type="pct"/>
            <w:tcBorders>
              <w:top w:val="nil"/>
              <w:left w:val="nil"/>
              <w:bottom w:val="nil"/>
              <w:right w:val="nil"/>
            </w:tcBorders>
            <w:shd w:val="clear" w:color="auto" w:fill="auto"/>
            <w:vAlign w:val="bottom"/>
          </w:tcPr>
          <w:p w14:paraId="55F4A0C5"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1.150</w:t>
            </w:r>
          </w:p>
        </w:tc>
        <w:tc>
          <w:tcPr>
            <w:tcW w:w="721" w:type="pct"/>
            <w:tcBorders>
              <w:top w:val="nil"/>
              <w:left w:val="nil"/>
              <w:bottom w:val="nil"/>
              <w:right w:val="nil"/>
            </w:tcBorders>
            <w:shd w:val="clear" w:color="auto" w:fill="auto"/>
            <w:hideMark/>
          </w:tcPr>
          <w:p w14:paraId="24C8943D"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EA3DB2" w:rsidRPr="0032506F" w14:paraId="13AC30A1" w14:textId="77777777" w:rsidTr="00F150E9">
        <w:trPr>
          <w:trHeight w:val="278"/>
        </w:trPr>
        <w:tc>
          <w:tcPr>
            <w:tcW w:w="840" w:type="pct"/>
            <w:tcBorders>
              <w:top w:val="nil"/>
              <w:left w:val="nil"/>
              <w:bottom w:val="nil"/>
              <w:right w:val="nil"/>
            </w:tcBorders>
            <w:shd w:val="clear" w:color="auto" w:fill="auto"/>
          </w:tcPr>
          <w:p w14:paraId="145F5B23"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OCE8</w:t>
            </w:r>
          </w:p>
        </w:tc>
        <w:tc>
          <w:tcPr>
            <w:tcW w:w="1215" w:type="pct"/>
            <w:tcBorders>
              <w:top w:val="nil"/>
              <w:left w:val="nil"/>
              <w:bottom w:val="nil"/>
              <w:right w:val="nil"/>
            </w:tcBorders>
            <w:shd w:val="clear" w:color="auto" w:fill="auto"/>
            <w:vAlign w:val="center"/>
            <w:hideMark/>
          </w:tcPr>
          <w:p w14:paraId="2938110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66F10B2F" w14:textId="77777777" w:rsidR="00EA3DB2" w:rsidRPr="0032506F" w:rsidRDefault="00EA3DB2" w:rsidP="00F150E9">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.855</w:t>
            </w:r>
          </w:p>
        </w:tc>
        <w:tc>
          <w:tcPr>
            <w:tcW w:w="676" w:type="pct"/>
            <w:tcBorders>
              <w:top w:val="nil"/>
              <w:left w:val="nil"/>
              <w:bottom w:val="nil"/>
              <w:right w:val="nil"/>
            </w:tcBorders>
            <w:shd w:val="clear" w:color="auto" w:fill="auto"/>
            <w:vAlign w:val="bottom"/>
          </w:tcPr>
          <w:p w14:paraId="4846F04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.692</w:t>
            </w:r>
          </w:p>
        </w:tc>
        <w:tc>
          <w:tcPr>
            <w:tcW w:w="676" w:type="pct"/>
            <w:tcBorders>
              <w:top w:val="nil"/>
              <w:left w:val="nil"/>
              <w:bottom w:val="nil"/>
              <w:right w:val="nil"/>
            </w:tcBorders>
            <w:shd w:val="clear" w:color="auto" w:fill="auto"/>
            <w:vAlign w:val="bottom"/>
          </w:tcPr>
          <w:p w14:paraId="647CA457"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1.062</w:t>
            </w:r>
          </w:p>
        </w:tc>
        <w:tc>
          <w:tcPr>
            <w:tcW w:w="721" w:type="pct"/>
            <w:tcBorders>
              <w:top w:val="nil"/>
              <w:left w:val="nil"/>
              <w:bottom w:val="nil"/>
              <w:right w:val="nil"/>
            </w:tcBorders>
            <w:shd w:val="clear" w:color="auto" w:fill="auto"/>
            <w:hideMark/>
          </w:tcPr>
          <w:p w14:paraId="1CB98190"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291641E7" w14:textId="77777777" w:rsidTr="00F150E9">
        <w:trPr>
          <w:trHeight w:val="278"/>
        </w:trPr>
        <w:tc>
          <w:tcPr>
            <w:tcW w:w="840" w:type="pct"/>
            <w:tcBorders>
              <w:top w:val="nil"/>
              <w:left w:val="nil"/>
              <w:bottom w:val="nil"/>
              <w:right w:val="nil"/>
            </w:tcBorders>
            <w:shd w:val="clear" w:color="auto" w:fill="auto"/>
          </w:tcPr>
          <w:p w14:paraId="4FD2569F"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215" w:type="pct"/>
            <w:tcBorders>
              <w:top w:val="nil"/>
              <w:left w:val="nil"/>
              <w:bottom w:val="nil"/>
              <w:right w:val="nil"/>
            </w:tcBorders>
            <w:shd w:val="clear" w:color="auto" w:fill="auto"/>
            <w:vAlign w:val="center"/>
          </w:tcPr>
          <w:p w14:paraId="5351EC33"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08DF4396"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1.088</w:t>
            </w:r>
          </w:p>
        </w:tc>
        <w:tc>
          <w:tcPr>
            <w:tcW w:w="676" w:type="pct"/>
            <w:tcBorders>
              <w:top w:val="nil"/>
              <w:left w:val="nil"/>
              <w:bottom w:val="nil"/>
              <w:right w:val="nil"/>
            </w:tcBorders>
            <w:shd w:val="clear" w:color="auto" w:fill="auto"/>
            <w:vAlign w:val="bottom"/>
          </w:tcPr>
          <w:p w14:paraId="783089E9"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.873</w:t>
            </w:r>
          </w:p>
        </w:tc>
        <w:tc>
          <w:tcPr>
            <w:tcW w:w="676" w:type="pct"/>
            <w:tcBorders>
              <w:top w:val="nil"/>
              <w:left w:val="nil"/>
              <w:bottom w:val="nil"/>
              <w:right w:val="nil"/>
            </w:tcBorders>
            <w:shd w:val="clear" w:color="auto" w:fill="auto"/>
            <w:vAlign w:val="bottom"/>
          </w:tcPr>
          <w:p w14:paraId="7927A73A"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1.366</w:t>
            </w:r>
          </w:p>
        </w:tc>
        <w:tc>
          <w:tcPr>
            <w:tcW w:w="721" w:type="pct"/>
            <w:tcBorders>
              <w:top w:val="nil"/>
              <w:left w:val="nil"/>
              <w:bottom w:val="nil"/>
              <w:right w:val="nil"/>
            </w:tcBorders>
            <w:shd w:val="clear" w:color="auto" w:fill="auto"/>
          </w:tcPr>
          <w:p w14:paraId="01475861"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44EF65B5" w14:textId="77777777" w:rsidTr="00F150E9">
        <w:trPr>
          <w:trHeight w:val="278"/>
        </w:trPr>
        <w:tc>
          <w:tcPr>
            <w:tcW w:w="840" w:type="pct"/>
            <w:tcBorders>
              <w:top w:val="nil"/>
              <w:left w:val="nil"/>
              <w:bottom w:val="nil"/>
              <w:right w:val="nil"/>
            </w:tcBorders>
            <w:shd w:val="clear" w:color="auto" w:fill="auto"/>
          </w:tcPr>
          <w:p w14:paraId="55EB0B64"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215" w:type="pct"/>
            <w:tcBorders>
              <w:top w:val="nil"/>
              <w:left w:val="nil"/>
              <w:bottom w:val="nil"/>
              <w:right w:val="nil"/>
            </w:tcBorders>
            <w:shd w:val="clear" w:color="auto" w:fill="auto"/>
            <w:vAlign w:val="center"/>
          </w:tcPr>
          <w:p w14:paraId="3520E3D1"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9D09B0C"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.820</w:t>
            </w:r>
          </w:p>
        </w:tc>
        <w:tc>
          <w:tcPr>
            <w:tcW w:w="676" w:type="pct"/>
            <w:tcBorders>
              <w:top w:val="nil"/>
              <w:left w:val="nil"/>
              <w:bottom w:val="nil"/>
              <w:right w:val="nil"/>
            </w:tcBorders>
            <w:shd w:val="clear" w:color="auto" w:fill="auto"/>
            <w:vAlign w:val="bottom"/>
          </w:tcPr>
          <w:p w14:paraId="62D8F832"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.660</w:t>
            </w:r>
          </w:p>
        </w:tc>
        <w:tc>
          <w:tcPr>
            <w:tcW w:w="676" w:type="pct"/>
            <w:tcBorders>
              <w:top w:val="nil"/>
              <w:left w:val="nil"/>
              <w:bottom w:val="nil"/>
              <w:right w:val="nil"/>
            </w:tcBorders>
            <w:shd w:val="clear" w:color="auto" w:fill="auto"/>
            <w:vAlign w:val="bottom"/>
          </w:tcPr>
          <w:p w14:paraId="38B67207"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1.032</w:t>
            </w:r>
          </w:p>
        </w:tc>
        <w:tc>
          <w:tcPr>
            <w:tcW w:w="721" w:type="pct"/>
            <w:tcBorders>
              <w:top w:val="nil"/>
              <w:left w:val="nil"/>
              <w:bottom w:val="nil"/>
              <w:right w:val="nil"/>
            </w:tcBorders>
            <w:shd w:val="clear" w:color="auto" w:fill="auto"/>
          </w:tcPr>
          <w:p w14:paraId="4A41448B"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03AD2E01" w14:textId="77777777" w:rsidTr="00F150E9">
        <w:trPr>
          <w:trHeight w:val="278"/>
        </w:trPr>
        <w:tc>
          <w:tcPr>
            <w:tcW w:w="840" w:type="pct"/>
            <w:tcBorders>
              <w:top w:val="nil"/>
              <w:left w:val="nil"/>
              <w:bottom w:val="nil"/>
              <w:right w:val="nil"/>
            </w:tcBorders>
            <w:shd w:val="clear" w:color="auto" w:fill="auto"/>
          </w:tcPr>
          <w:p w14:paraId="2F1DA919"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215" w:type="pct"/>
            <w:tcBorders>
              <w:top w:val="nil"/>
              <w:left w:val="nil"/>
              <w:bottom w:val="nil"/>
              <w:right w:val="nil"/>
            </w:tcBorders>
            <w:shd w:val="clear" w:color="auto" w:fill="auto"/>
            <w:vAlign w:val="center"/>
          </w:tcPr>
          <w:p w14:paraId="1FECDD7B"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CF97067"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.916</w:t>
            </w:r>
          </w:p>
        </w:tc>
        <w:tc>
          <w:tcPr>
            <w:tcW w:w="676" w:type="pct"/>
            <w:tcBorders>
              <w:top w:val="nil"/>
              <w:left w:val="nil"/>
              <w:bottom w:val="nil"/>
              <w:right w:val="nil"/>
            </w:tcBorders>
            <w:shd w:val="clear" w:color="auto" w:fill="auto"/>
            <w:vAlign w:val="bottom"/>
          </w:tcPr>
          <w:p w14:paraId="685A0C83"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.732</w:t>
            </w:r>
          </w:p>
        </w:tc>
        <w:tc>
          <w:tcPr>
            <w:tcW w:w="676" w:type="pct"/>
            <w:tcBorders>
              <w:top w:val="nil"/>
              <w:left w:val="nil"/>
              <w:bottom w:val="nil"/>
              <w:right w:val="nil"/>
            </w:tcBorders>
            <w:shd w:val="clear" w:color="auto" w:fill="auto"/>
            <w:vAlign w:val="bottom"/>
          </w:tcPr>
          <w:p w14:paraId="619EE969"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1.150</w:t>
            </w:r>
          </w:p>
        </w:tc>
        <w:tc>
          <w:tcPr>
            <w:tcW w:w="721" w:type="pct"/>
            <w:tcBorders>
              <w:top w:val="nil"/>
              <w:left w:val="nil"/>
              <w:bottom w:val="nil"/>
              <w:right w:val="nil"/>
            </w:tcBorders>
            <w:shd w:val="clear" w:color="auto" w:fill="auto"/>
          </w:tcPr>
          <w:p w14:paraId="286D4999"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18E0877D" w14:textId="77777777" w:rsidTr="00F150E9">
        <w:trPr>
          <w:trHeight w:val="278"/>
        </w:trPr>
        <w:tc>
          <w:tcPr>
            <w:tcW w:w="840" w:type="pct"/>
            <w:tcBorders>
              <w:top w:val="nil"/>
              <w:left w:val="nil"/>
              <w:bottom w:val="nil"/>
              <w:right w:val="nil"/>
            </w:tcBorders>
            <w:shd w:val="clear" w:color="auto" w:fill="auto"/>
          </w:tcPr>
          <w:p w14:paraId="25CA916A"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215" w:type="pct"/>
            <w:tcBorders>
              <w:top w:val="nil"/>
              <w:left w:val="nil"/>
              <w:bottom w:val="nil"/>
              <w:right w:val="nil"/>
            </w:tcBorders>
            <w:shd w:val="clear" w:color="auto" w:fill="auto"/>
            <w:vAlign w:val="center"/>
          </w:tcPr>
          <w:p w14:paraId="67395A0F"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1E40E764"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1.068</w:t>
            </w:r>
          </w:p>
        </w:tc>
        <w:tc>
          <w:tcPr>
            <w:tcW w:w="676" w:type="pct"/>
            <w:tcBorders>
              <w:top w:val="nil"/>
              <w:left w:val="nil"/>
              <w:bottom w:val="nil"/>
              <w:right w:val="nil"/>
            </w:tcBorders>
            <w:shd w:val="clear" w:color="auto" w:fill="auto"/>
            <w:vAlign w:val="bottom"/>
          </w:tcPr>
          <w:p w14:paraId="3AF9970F"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.890</w:t>
            </w:r>
          </w:p>
        </w:tc>
        <w:tc>
          <w:tcPr>
            <w:tcW w:w="676" w:type="pct"/>
            <w:tcBorders>
              <w:top w:val="nil"/>
              <w:left w:val="nil"/>
              <w:bottom w:val="nil"/>
              <w:right w:val="nil"/>
            </w:tcBorders>
            <w:shd w:val="clear" w:color="auto" w:fill="auto"/>
            <w:vAlign w:val="bottom"/>
          </w:tcPr>
          <w:p w14:paraId="1424E8FA"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1.283</w:t>
            </w:r>
          </w:p>
        </w:tc>
        <w:tc>
          <w:tcPr>
            <w:tcW w:w="721" w:type="pct"/>
            <w:tcBorders>
              <w:top w:val="nil"/>
              <w:left w:val="nil"/>
              <w:bottom w:val="nil"/>
              <w:right w:val="nil"/>
            </w:tcBorders>
            <w:shd w:val="clear" w:color="auto" w:fill="auto"/>
          </w:tcPr>
          <w:p w14:paraId="670A8015"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7F40D0E4" w14:textId="77777777" w:rsidTr="00F150E9">
        <w:trPr>
          <w:trHeight w:val="278"/>
        </w:trPr>
        <w:tc>
          <w:tcPr>
            <w:tcW w:w="840" w:type="pct"/>
            <w:tcBorders>
              <w:top w:val="nil"/>
              <w:left w:val="nil"/>
              <w:bottom w:val="nil"/>
              <w:right w:val="nil"/>
            </w:tcBorders>
            <w:shd w:val="clear" w:color="auto" w:fill="auto"/>
          </w:tcPr>
          <w:p w14:paraId="78BA826D"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215" w:type="pct"/>
            <w:tcBorders>
              <w:top w:val="nil"/>
              <w:left w:val="nil"/>
              <w:bottom w:val="nil"/>
              <w:right w:val="nil"/>
            </w:tcBorders>
            <w:shd w:val="clear" w:color="auto" w:fill="auto"/>
            <w:vAlign w:val="center"/>
          </w:tcPr>
          <w:p w14:paraId="262A7C65"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6F2FEA4"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.995</w:t>
            </w:r>
          </w:p>
        </w:tc>
        <w:tc>
          <w:tcPr>
            <w:tcW w:w="676" w:type="pct"/>
            <w:tcBorders>
              <w:top w:val="nil"/>
              <w:left w:val="nil"/>
              <w:bottom w:val="nil"/>
              <w:right w:val="nil"/>
            </w:tcBorders>
            <w:shd w:val="clear" w:color="auto" w:fill="auto"/>
            <w:vAlign w:val="bottom"/>
          </w:tcPr>
          <w:p w14:paraId="731FAC25"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.776</w:t>
            </w:r>
          </w:p>
        </w:tc>
        <w:tc>
          <w:tcPr>
            <w:tcW w:w="676" w:type="pct"/>
            <w:tcBorders>
              <w:top w:val="nil"/>
              <w:left w:val="nil"/>
              <w:bottom w:val="nil"/>
              <w:right w:val="nil"/>
            </w:tcBorders>
            <w:shd w:val="clear" w:color="auto" w:fill="auto"/>
            <w:vAlign w:val="bottom"/>
          </w:tcPr>
          <w:p w14:paraId="211C0E17"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1.280</w:t>
            </w:r>
          </w:p>
        </w:tc>
        <w:tc>
          <w:tcPr>
            <w:tcW w:w="721" w:type="pct"/>
            <w:tcBorders>
              <w:top w:val="nil"/>
              <w:left w:val="nil"/>
              <w:bottom w:val="nil"/>
              <w:right w:val="nil"/>
            </w:tcBorders>
            <w:shd w:val="clear" w:color="auto" w:fill="auto"/>
          </w:tcPr>
          <w:p w14:paraId="4C554B91"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EA3DB2" w:rsidRPr="0032506F" w14:paraId="40B60967" w14:textId="77777777" w:rsidTr="00F150E9">
        <w:trPr>
          <w:trHeight w:val="278"/>
        </w:trPr>
        <w:tc>
          <w:tcPr>
            <w:tcW w:w="840" w:type="pct"/>
            <w:tcBorders>
              <w:top w:val="nil"/>
              <w:left w:val="nil"/>
              <w:bottom w:val="single" w:sz="4" w:space="0" w:color="auto"/>
              <w:right w:val="nil"/>
            </w:tcBorders>
            <w:shd w:val="clear" w:color="auto" w:fill="auto"/>
          </w:tcPr>
          <w:p w14:paraId="749AA526" w14:textId="77777777" w:rsidR="00EA3DB2" w:rsidRPr="0032506F" w:rsidRDefault="00EA3DB2" w:rsidP="00F150E9">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215" w:type="pct"/>
            <w:tcBorders>
              <w:top w:val="nil"/>
              <w:left w:val="nil"/>
              <w:bottom w:val="single" w:sz="4" w:space="0" w:color="auto"/>
              <w:right w:val="nil"/>
            </w:tcBorders>
            <w:shd w:val="clear" w:color="auto" w:fill="auto"/>
            <w:vAlign w:val="center"/>
          </w:tcPr>
          <w:p w14:paraId="6BBE996A" w14:textId="77777777" w:rsidR="00EA3DB2" w:rsidRPr="0032506F" w:rsidRDefault="00EA3DB2" w:rsidP="00F150E9">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single" w:sz="4" w:space="0" w:color="auto"/>
              <w:right w:val="nil"/>
            </w:tcBorders>
            <w:shd w:val="clear" w:color="auto" w:fill="auto"/>
            <w:vAlign w:val="bottom"/>
          </w:tcPr>
          <w:p w14:paraId="0A106608" w14:textId="77777777" w:rsidR="00EA3DB2" w:rsidRPr="0032506F" w:rsidRDefault="00EA3DB2" w:rsidP="00F150E9">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.969</w:t>
            </w:r>
          </w:p>
        </w:tc>
        <w:tc>
          <w:tcPr>
            <w:tcW w:w="676" w:type="pct"/>
            <w:tcBorders>
              <w:top w:val="nil"/>
              <w:left w:val="nil"/>
              <w:bottom w:val="single" w:sz="4" w:space="0" w:color="auto"/>
              <w:right w:val="nil"/>
            </w:tcBorders>
            <w:shd w:val="clear" w:color="auto" w:fill="auto"/>
            <w:vAlign w:val="bottom"/>
          </w:tcPr>
          <w:p w14:paraId="3226F163"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.751</w:t>
            </w:r>
          </w:p>
        </w:tc>
        <w:tc>
          <w:tcPr>
            <w:tcW w:w="676" w:type="pct"/>
            <w:tcBorders>
              <w:top w:val="nil"/>
              <w:left w:val="nil"/>
              <w:bottom w:val="single" w:sz="4" w:space="0" w:color="auto"/>
              <w:right w:val="nil"/>
            </w:tcBorders>
            <w:shd w:val="clear" w:color="auto" w:fill="auto"/>
            <w:vAlign w:val="bottom"/>
          </w:tcPr>
          <w:p w14:paraId="1B072A73" w14:textId="77777777" w:rsidR="00EA3DB2" w:rsidRPr="0032506F" w:rsidRDefault="00EA3DB2" w:rsidP="00F150E9">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1.235</w:t>
            </w:r>
          </w:p>
        </w:tc>
        <w:tc>
          <w:tcPr>
            <w:tcW w:w="721" w:type="pct"/>
            <w:tcBorders>
              <w:top w:val="nil"/>
              <w:left w:val="nil"/>
              <w:bottom w:val="single" w:sz="4" w:space="0" w:color="auto"/>
              <w:right w:val="nil"/>
            </w:tcBorders>
            <w:shd w:val="clear" w:color="auto" w:fill="auto"/>
          </w:tcPr>
          <w:p w14:paraId="7CF43C30" w14:textId="77777777" w:rsidR="00EA3DB2" w:rsidRPr="0032506F" w:rsidRDefault="00EA3DB2" w:rsidP="00F150E9">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bl>
    <w:p w14:paraId="12768F8A" w14:textId="77777777" w:rsidR="004C5E89" w:rsidRPr="0032506F" w:rsidRDefault="004C5E89" w:rsidP="00EA3DB2">
      <w:pPr>
        <w:spacing w:after="0" w:line="480" w:lineRule="auto"/>
        <w:rPr>
          <w:rFonts w:ascii="Times New Roman" w:eastAsia="SimSun" w:hAnsi="Times New Roman" w:cs="Times New Roman"/>
          <w:i/>
          <w:iCs/>
          <w:sz w:val="24"/>
          <w:szCs w:val="24"/>
        </w:rPr>
      </w:pPr>
      <w:bookmarkStart w:id="234" w:name="_Hlk92209402"/>
    </w:p>
    <w:p w14:paraId="38CAEF35" w14:textId="77777777" w:rsidR="00570C0E" w:rsidRDefault="00570C0E" w:rsidP="00EA3DB2">
      <w:pPr>
        <w:spacing w:after="0" w:line="480" w:lineRule="auto"/>
        <w:rPr>
          <w:rFonts w:ascii="Times New Roman" w:eastAsia="SimSun" w:hAnsi="Times New Roman" w:cs="Times New Roman"/>
          <w:b/>
          <w:bCs/>
          <w:sz w:val="24"/>
          <w:szCs w:val="24"/>
        </w:rPr>
      </w:pPr>
    </w:p>
    <w:p w14:paraId="73C04925" w14:textId="77777777" w:rsidR="000128AE" w:rsidRDefault="000128AE" w:rsidP="00EA3DB2">
      <w:pPr>
        <w:spacing w:after="0" w:line="480" w:lineRule="auto"/>
        <w:rPr>
          <w:rFonts w:ascii="Times New Roman" w:eastAsia="SimSun" w:hAnsi="Times New Roman" w:cs="Times New Roman"/>
          <w:b/>
          <w:bCs/>
          <w:sz w:val="24"/>
          <w:szCs w:val="24"/>
        </w:rPr>
        <w:sectPr w:rsidR="000128AE" w:rsidSect="003F7AC0">
          <w:pgSz w:w="12240" w:h="15840"/>
          <w:pgMar w:top="1440" w:right="1440" w:bottom="1440" w:left="1440" w:header="720" w:footer="720" w:gutter="0"/>
          <w:cols w:space="720"/>
          <w:docGrid w:linePitch="360"/>
        </w:sectPr>
      </w:pPr>
    </w:p>
    <w:p w14:paraId="32C3040F" w14:textId="77777777" w:rsidR="000128AE" w:rsidRPr="0032506F" w:rsidRDefault="000128AE" w:rsidP="000128AE">
      <w:pPr>
        <w:spacing w:after="0" w:line="480" w:lineRule="auto"/>
        <w:rPr>
          <w:rFonts w:ascii="Times New Roman" w:eastAsia="SimSun" w:hAnsi="Times New Roman" w:cs="Times New Roman"/>
          <w:b/>
          <w:bCs/>
          <w:sz w:val="24"/>
          <w:szCs w:val="24"/>
        </w:rPr>
      </w:pPr>
      <w:r w:rsidRPr="0032506F">
        <w:rPr>
          <w:rFonts w:ascii="Times New Roman" w:eastAsia="SimSun" w:hAnsi="Times New Roman" w:cs="Times New Roman"/>
          <w:b/>
          <w:bCs/>
          <w:sz w:val="24"/>
          <w:szCs w:val="24"/>
        </w:rPr>
        <w:lastRenderedPageBreak/>
        <w:t>Standardized Factor Loadings with Bias-Corrected 95 % Confidence Intervals (N=235)</w:t>
      </w:r>
    </w:p>
    <w:tbl>
      <w:tblPr>
        <w:tblW w:w="4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78"/>
        <w:gridCol w:w="1994"/>
        <w:gridCol w:w="1433"/>
        <w:gridCol w:w="1110"/>
        <w:gridCol w:w="1110"/>
        <w:gridCol w:w="1182"/>
      </w:tblGrid>
      <w:tr w:rsidR="000128AE" w:rsidRPr="0032506F" w14:paraId="2D3323D9" w14:textId="77777777" w:rsidTr="002864C3">
        <w:trPr>
          <w:trHeight w:val="300"/>
        </w:trPr>
        <w:tc>
          <w:tcPr>
            <w:tcW w:w="840" w:type="pct"/>
            <w:tcBorders>
              <w:top w:val="single" w:sz="4" w:space="0" w:color="auto"/>
              <w:left w:val="nil"/>
              <w:bottom w:val="single" w:sz="4" w:space="0" w:color="auto"/>
              <w:right w:val="nil"/>
            </w:tcBorders>
            <w:shd w:val="clear" w:color="auto" w:fill="auto"/>
            <w:vAlign w:val="center"/>
            <w:hideMark/>
          </w:tcPr>
          <w:p w14:paraId="7E7F7169" w14:textId="77777777" w:rsidR="000128AE" w:rsidRPr="0032506F" w:rsidRDefault="000128AE" w:rsidP="002864C3">
            <w:pPr>
              <w:spacing w:after="0" w:line="240" w:lineRule="auto"/>
              <w:ind w:firstLineChars="100" w:firstLine="240"/>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Item</w:t>
            </w:r>
          </w:p>
        </w:tc>
        <w:tc>
          <w:tcPr>
            <w:tcW w:w="1215" w:type="pct"/>
            <w:tcBorders>
              <w:top w:val="single" w:sz="4" w:space="0" w:color="auto"/>
              <w:left w:val="nil"/>
              <w:bottom w:val="single" w:sz="4" w:space="0" w:color="auto"/>
              <w:right w:val="nil"/>
            </w:tcBorders>
            <w:shd w:val="clear" w:color="auto" w:fill="auto"/>
            <w:vAlign w:val="center"/>
            <w:hideMark/>
          </w:tcPr>
          <w:p w14:paraId="7A2ED1A9" w14:textId="77777777" w:rsidR="000128AE" w:rsidRPr="0032506F" w:rsidRDefault="000128AE" w:rsidP="002864C3">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Factor</w:t>
            </w:r>
          </w:p>
        </w:tc>
        <w:tc>
          <w:tcPr>
            <w:tcW w:w="873" w:type="pct"/>
            <w:tcBorders>
              <w:top w:val="single" w:sz="4" w:space="0" w:color="auto"/>
              <w:left w:val="nil"/>
              <w:bottom w:val="single" w:sz="4" w:space="0" w:color="auto"/>
              <w:right w:val="nil"/>
            </w:tcBorders>
            <w:shd w:val="clear" w:color="auto" w:fill="auto"/>
            <w:vAlign w:val="center"/>
            <w:hideMark/>
          </w:tcPr>
          <w:p w14:paraId="712E3ECC" w14:textId="77777777" w:rsidR="000128AE" w:rsidRPr="0032506F" w:rsidRDefault="000128AE" w:rsidP="002864C3">
            <w:pPr>
              <w:spacing w:after="0" w:line="240"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Estimate</w:t>
            </w:r>
          </w:p>
        </w:tc>
        <w:tc>
          <w:tcPr>
            <w:tcW w:w="676" w:type="pct"/>
            <w:tcBorders>
              <w:top w:val="single" w:sz="4" w:space="0" w:color="auto"/>
              <w:left w:val="nil"/>
              <w:bottom w:val="single" w:sz="4" w:space="0" w:color="auto"/>
              <w:right w:val="nil"/>
            </w:tcBorders>
            <w:shd w:val="clear" w:color="auto" w:fill="auto"/>
            <w:vAlign w:val="center"/>
            <w:hideMark/>
          </w:tcPr>
          <w:p w14:paraId="162C026F" w14:textId="77777777" w:rsidR="000128AE" w:rsidRPr="0032506F" w:rsidRDefault="000128AE" w:rsidP="002864C3">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Lower</w:t>
            </w:r>
          </w:p>
        </w:tc>
        <w:tc>
          <w:tcPr>
            <w:tcW w:w="676" w:type="pct"/>
            <w:tcBorders>
              <w:top w:val="single" w:sz="4" w:space="0" w:color="auto"/>
              <w:left w:val="nil"/>
              <w:bottom w:val="single" w:sz="4" w:space="0" w:color="auto"/>
              <w:right w:val="nil"/>
            </w:tcBorders>
            <w:shd w:val="clear" w:color="auto" w:fill="auto"/>
            <w:vAlign w:val="center"/>
            <w:hideMark/>
          </w:tcPr>
          <w:p w14:paraId="31662C93" w14:textId="77777777" w:rsidR="000128AE" w:rsidRPr="0032506F" w:rsidRDefault="000128AE" w:rsidP="002864C3">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Upper</w:t>
            </w:r>
          </w:p>
        </w:tc>
        <w:tc>
          <w:tcPr>
            <w:tcW w:w="721" w:type="pct"/>
            <w:tcBorders>
              <w:top w:val="single" w:sz="4" w:space="0" w:color="auto"/>
              <w:left w:val="nil"/>
              <w:bottom w:val="single" w:sz="4" w:space="0" w:color="auto"/>
              <w:right w:val="nil"/>
            </w:tcBorders>
            <w:shd w:val="clear" w:color="auto" w:fill="auto"/>
            <w:vAlign w:val="center"/>
            <w:hideMark/>
          </w:tcPr>
          <w:p w14:paraId="37C8CB7C" w14:textId="77777777" w:rsidR="000128AE" w:rsidRPr="0032506F" w:rsidRDefault="000128AE" w:rsidP="002864C3">
            <w:pPr>
              <w:spacing w:after="0" w:line="240"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P</w:t>
            </w:r>
          </w:p>
        </w:tc>
      </w:tr>
      <w:tr w:rsidR="000128AE" w:rsidRPr="0032506F" w14:paraId="4ADDE439" w14:textId="77777777" w:rsidTr="002864C3">
        <w:trPr>
          <w:trHeight w:val="233"/>
        </w:trPr>
        <w:tc>
          <w:tcPr>
            <w:tcW w:w="840" w:type="pct"/>
            <w:tcBorders>
              <w:top w:val="single" w:sz="4" w:space="0" w:color="auto"/>
              <w:left w:val="nil"/>
              <w:bottom w:val="nil"/>
              <w:right w:val="nil"/>
            </w:tcBorders>
            <w:shd w:val="clear" w:color="auto" w:fill="auto"/>
            <w:vAlign w:val="center"/>
          </w:tcPr>
          <w:p w14:paraId="1DF30078"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OBE3</w:t>
            </w:r>
          </w:p>
        </w:tc>
        <w:tc>
          <w:tcPr>
            <w:tcW w:w="1215" w:type="pct"/>
            <w:tcBorders>
              <w:top w:val="single" w:sz="4" w:space="0" w:color="auto"/>
              <w:left w:val="nil"/>
              <w:bottom w:val="nil"/>
              <w:right w:val="nil"/>
            </w:tcBorders>
            <w:shd w:val="clear" w:color="auto" w:fill="auto"/>
            <w:vAlign w:val="center"/>
          </w:tcPr>
          <w:p w14:paraId="0E65BDC2"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single" w:sz="4" w:space="0" w:color="auto"/>
              <w:left w:val="nil"/>
              <w:bottom w:val="nil"/>
              <w:right w:val="nil"/>
            </w:tcBorders>
            <w:shd w:val="clear" w:color="auto" w:fill="auto"/>
          </w:tcPr>
          <w:p w14:paraId="702D7DDC"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.731</w:t>
            </w:r>
          </w:p>
        </w:tc>
        <w:tc>
          <w:tcPr>
            <w:tcW w:w="676" w:type="pct"/>
            <w:tcBorders>
              <w:top w:val="single" w:sz="4" w:space="0" w:color="auto"/>
              <w:left w:val="nil"/>
              <w:bottom w:val="nil"/>
              <w:right w:val="nil"/>
            </w:tcBorders>
            <w:shd w:val="clear" w:color="auto" w:fill="auto"/>
          </w:tcPr>
          <w:p w14:paraId="1C425E9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.612</w:t>
            </w:r>
          </w:p>
        </w:tc>
        <w:tc>
          <w:tcPr>
            <w:tcW w:w="676" w:type="pct"/>
            <w:tcBorders>
              <w:top w:val="single" w:sz="4" w:space="0" w:color="auto"/>
              <w:left w:val="nil"/>
              <w:bottom w:val="nil"/>
              <w:right w:val="nil"/>
            </w:tcBorders>
            <w:shd w:val="clear" w:color="auto" w:fill="auto"/>
            <w:vAlign w:val="bottom"/>
          </w:tcPr>
          <w:p w14:paraId="39331EC5"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.830</w:t>
            </w:r>
          </w:p>
        </w:tc>
        <w:tc>
          <w:tcPr>
            <w:tcW w:w="721" w:type="pct"/>
            <w:tcBorders>
              <w:top w:val="single" w:sz="4" w:space="0" w:color="auto"/>
              <w:left w:val="nil"/>
              <w:bottom w:val="nil"/>
              <w:right w:val="nil"/>
            </w:tcBorders>
            <w:shd w:val="clear" w:color="auto" w:fill="auto"/>
            <w:vAlign w:val="center"/>
          </w:tcPr>
          <w:p w14:paraId="79303E95"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6B2D3B88" w14:textId="77777777" w:rsidTr="002864C3">
        <w:trPr>
          <w:trHeight w:val="170"/>
        </w:trPr>
        <w:tc>
          <w:tcPr>
            <w:tcW w:w="840" w:type="pct"/>
            <w:tcBorders>
              <w:top w:val="nil"/>
              <w:left w:val="nil"/>
              <w:bottom w:val="nil"/>
              <w:right w:val="nil"/>
            </w:tcBorders>
            <w:shd w:val="clear" w:color="auto" w:fill="auto"/>
          </w:tcPr>
          <w:p w14:paraId="3D892F8E"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OBE4</w:t>
            </w:r>
          </w:p>
        </w:tc>
        <w:tc>
          <w:tcPr>
            <w:tcW w:w="1215" w:type="pct"/>
            <w:tcBorders>
              <w:top w:val="nil"/>
              <w:left w:val="nil"/>
              <w:bottom w:val="nil"/>
              <w:right w:val="nil"/>
            </w:tcBorders>
            <w:shd w:val="clear" w:color="auto" w:fill="auto"/>
            <w:vAlign w:val="center"/>
          </w:tcPr>
          <w:p w14:paraId="52F2340D"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30C3ABEB" w14:textId="77777777" w:rsidR="000128AE" w:rsidRPr="0032506F" w:rsidRDefault="000128AE" w:rsidP="002864C3">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.333</w:t>
            </w:r>
          </w:p>
        </w:tc>
        <w:tc>
          <w:tcPr>
            <w:tcW w:w="676" w:type="pct"/>
            <w:tcBorders>
              <w:top w:val="nil"/>
              <w:left w:val="nil"/>
              <w:bottom w:val="nil"/>
              <w:right w:val="nil"/>
            </w:tcBorders>
            <w:shd w:val="clear" w:color="auto" w:fill="auto"/>
          </w:tcPr>
          <w:p w14:paraId="5DA71E00"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.181</w:t>
            </w:r>
          </w:p>
        </w:tc>
        <w:tc>
          <w:tcPr>
            <w:tcW w:w="676" w:type="pct"/>
            <w:tcBorders>
              <w:top w:val="nil"/>
              <w:left w:val="nil"/>
              <w:bottom w:val="nil"/>
              <w:right w:val="nil"/>
            </w:tcBorders>
            <w:shd w:val="clear" w:color="auto" w:fill="auto"/>
            <w:vAlign w:val="bottom"/>
          </w:tcPr>
          <w:p w14:paraId="6F36D8B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.475</w:t>
            </w:r>
          </w:p>
        </w:tc>
        <w:tc>
          <w:tcPr>
            <w:tcW w:w="721" w:type="pct"/>
            <w:tcBorders>
              <w:top w:val="nil"/>
              <w:left w:val="nil"/>
              <w:bottom w:val="nil"/>
              <w:right w:val="nil"/>
            </w:tcBorders>
            <w:shd w:val="clear" w:color="auto" w:fill="auto"/>
            <w:noWrap/>
            <w:vAlign w:val="bottom"/>
          </w:tcPr>
          <w:p w14:paraId="2624C1D8"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1916C073" w14:textId="77777777" w:rsidTr="002864C3">
        <w:trPr>
          <w:trHeight w:val="296"/>
        </w:trPr>
        <w:tc>
          <w:tcPr>
            <w:tcW w:w="840" w:type="pct"/>
            <w:tcBorders>
              <w:top w:val="nil"/>
              <w:left w:val="nil"/>
              <w:bottom w:val="nil"/>
              <w:right w:val="nil"/>
            </w:tcBorders>
            <w:shd w:val="clear" w:color="auto" w:fill="auto"/>
          </w:tcPr>
          <w:p w14:paraId="4151B5DC"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OBE6</w:t>
            </w:r>
          </w:p>
        </w:tc>
        <w:tc>
          <w:tcPr>
            <w:tcW w:w="1215" w:type="pct"/>
            <w:tcBorders>
              <w:top w:val="nil"/>
              <w:left w:val="nil"/>
              <w:bottom w:val="nil"/>
              <w:right w:val="nil"/>
            </w:tcBorders>
            <w:shd w:val="clear" w:color="auto" w:fill="auto"/>
            <w:vAlign w:val="center"/>
          </w:tcPr>
          <w:p w14:paraId="76BA90A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6E4C9821"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.504</w:t>
            </w:r>
          </w:p>
        </w:tc>
        <w:tc>
          <w:tcPr>
            <w:tcW w:w="676" w:type="pct"/>
            <w:tcBorders>
              <w:top w:val="nil"/>
              <w:left w:val="nil"/>
              <w:bottom w:val="nil"/>
              <w:right w:val="nil"/>
            </w:tcBorders>
            <w:shd w:val="clear" w:color="auto" w:fill="auto"/>
          </w:tcPr>
          <w:p w14:paraId="0B752A32"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.346</w:t>
            </w:r>
          </w:p>
        </w:tc>
        <w:tc>
          <w:tcPr>
            <w:tcW w:w="676" w:type="pct"/>
            <w:tcBorders>
              <w:top w:val="nil"/>
              <w:left w:val="nil"/>
              <w:bottom w:val="nil"/>
              <w:right w:val="nil"/>
            </w:tcBorders>
            <w:shd w:val="clear" w:color="auto" w:fill="auto"/>
            <w:vAlign w:val="bottom"/>
          </w:tcPr>
          <w:p w14:paraId="28E06B8D"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.642</w:t>
            </w:r>
          </w:p>
        </w:tc>
        <w:tc>
          <w:tcPr>
            <w:tcW w:w="721" w:type="pct"/>
            <w:tcBorders>
              <w:top w:val="nil"/>
              <w:left w:val="nil"/>
              <w:bottom w:val="nil"/>
              <w:right w:val="nil"/>
            </w:tcBorders>
            <w:shd w:val="clear" w:color="auto" w:fill="auto"/>
            <w:hideMark/>
          </w:tcPr>
          <w:p w14:paraId="448ABA38"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7EB1E868" w14:textId="77777777" w:rsidTr="002864C3">
        <w:trPr>
          <w:trHeight w:val="242"/>
        </w:trPr>
        <w:tc>
          <w:tcPr>
            <w:tcW w:w="840" w:type="pct"/>
            <w:tcBorders>
              <w:top w:val="nil"/>
              <w:left w:val="nil"/>
              <w:bottom w:val="nil"/>
              <w:right w:val="nil"/>
            </w:tcBorders>
            <w:shd w:val="clear" w:color="auto" w:fill="auto"/>
          </w:tcPr>
          <w:p w14:paraId="18E1C7E8"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OBE7</w:t>
            </w:r>
          </w:p>
        </w:tc>
        <w:tc>
          <w:tcPr>
            <w:tcW w:w="1215" w:type="pct"/>
            <w:tcBorders>
              <w:top w:val="nil"/>
              <w:left w:val="nil"/>
              <w:bottom w:val="nil"/>
              <w:right w:val="nil"/>
            </w:tcBorders>
            <w:shd w:val="clear" w:color="auto" w:fill="auto"/>
            <w:vAlign w:val="center"/>
          </w:tcPr>
          <w:p w14:paraId="28BED7BD"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OBE</w:t>
            </w:r>
          </w:p>
        </w:tc>
        <w:tc>
          <w:tcPr>
            <w:tcW w:w="873" w:type="pct"/>
            <w:tcBorders>
              <w:top w:val="nil"/>
              <w:left w:val="nil"/>
              <w:bottom w:val="nil"/>
              <w:right w:val="nil"/>
            </w:tcBorders>
            <w:shd w:val="clear" w:color="auto" w:fill="auto"/>
          </w:tcPr>
          <w:p w14:paraId="3C6739F0"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.700</w:t>
            </w:r>
          </w:p>
        </w:tc>
        <w:tc>
          <w:tcPr>
            <w:tcW w:w="676" w:type="pct"/>
            <w:tcBorders>
              <w:top w:val="nil"/>
              <w:left w:val="nil"/>
              <w:bottom w:val="nil"/>
              <w:right w:val="nil"/>
            </w:tcBorders>
            <w:shd w:val="clear" w:color="auto" w:fill="auto"/>
          </w:tcPr>
          <w:p w14:paraId="5F26829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.545</w:t>
            </w:r>
          </w:p>
        </w:tc>
        <w:tc>
          <w:tcPr>
            <w:tcW w:w="676" w:type="pct"/>
            <w:tcBorders>
              <w:top w:val="nil"/>
              <w:left w:val="nil"/>
              <w:bottom w:val="nil"/>
              <w:right w:val="nil"/>
            </w:tcBorders>
            <w:shd w:val="clear" w:color="auto" w:fill="auto"/>
            <w:vAlign w:val="bottom"/>
          </w:tcPr>
          <w:p w14:paraId="636C522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.812</w:t>
            </w:r>
          </w:p>
        </w:tc>
        <w:tc>
          <w:tcPr>
            <w:tcW w:w="721" w:type="pct"/>
            <w:tcBorders>
              <w:top w:val="nil"/>
              <w:left w:val="nil"/>
              <w:bottom w:val="nil"/>
              <w:right w:val="nil"/>
            </w:tcBorders>
            <w:shd w:val="clear" w:color="auto" w:fill="auto"/>
            <w:hideMark/>
          </w:tcPr>
          <w:p w14:paraId="4D98EC6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0128AE" w:rsidRPr="0032506F" w14:paraId="46FD2D55" w14:textId="77777777" w:rsidTr="002864C3">
        <w:trPr>
          <w:trHeight w:val="233"/>
        </w:trPr>
        <w:tc>
          <w:tcPr>
            <w:tcW w:w="840" w:type="pct"/>
            <w:tcBorders>
              <w:top w:val="nil"/>
              <w:left w:val="nil"/>
              <w:bottom w:val="nil"/>
              <w:right w:val="nil"/>
            </w:tcBorders>
            <w:shd w:val="clear" w:color="auto" w:fill="auto"/>
          </w:tcPr>
          <w:p w14:paraId="0A2DD871"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OEE1</w:t>
            </w:r>
          </w:p>
        </w:tc>
        <w:tc>
          <w:tcPr>
            <w:tcW w:w="1215" w:type="pct"/>
            <w:tcBorders>
              <w:top w:val="nil"/>
              <w:left w:val="nil"/>
              <w:bottom w:val="nil"/>
              <w:right w:val="nil"/>
            </w:tcBorders>
            <w:shd w:val="clear" w:color="auto" w:fill="auto"/>
            <w:vAlign w:val="center"/>
          </w:tcPr>
          <w:p w14:paraId="1BD527DE"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tcPr>
          <w:p w14:paraId="5B6727B2"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.814</w:t>
            </w:r>
          </w:p>
        </w:tc>
        <w:tc>
          <w:tcPr>
            <w:tcW w:w="676" w:type="pct"/>
            <w:tcBorders>
              <w:top w:val="nil"/>
              <w:left w:val="nil"/>
              <w:bottom w:val="nil"/>
              <w:right w:val="nil"/>
            </w:tcBorders>
            <w:shd w:val="clear" w:color="auto" w:fill="auto"/>
          </w:tcPr>
          <w:p w14:paraId="1F6AAC6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.755</w:t>
            </w:r>
          </w:p>
        </w:tc>
        <w:tc>
          <w:tcPr>
            <w:tcW w:w="676" w:type="pct"/>
            <w:tcBorders>
              <w:top w:val="nil"/>
              <w:left w:val="nil"/>
              <w:bottom w:val="nil"/>
              <w:right w:val="nil"/>
            </w:tcBorders>
            <w:shd w:val="clear" w:color="auto" w:fill="auto"/>
            <w:vAlign w:val="bottom"/>
          </w:tcPr>
          <w:p w14:paraId="5A64FC5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.865</w:t>
            </w:r>
          </w:p>
        </w:tc>
        <w:tc>
          <w:tcPr>
            <w:tcW w:w="721" w:type="pct"/>
            <w:tcBorders>
              <w:top w:val="nil"/>
              <w:left w:val="nil"/>
              <w:bottom w:val="nil"/>
              <w:right w:val="nil"/>
            </w:tcBorders>
            <w:shd w:val="clear" w:color="auto" w:fill="auto"/>
            <w:hideMark/>
          </w:tcPr>
          <w:p w14:paraId="6F31079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4865E658" w14:textId="77777777" w:rsidTr="002864C3">
        <w:trPr>
          <w:trHeight w:val="206"/>
        </w:trPr>
        <w:tc>
          <w:tcPr>
            <w:tcW w:w="840" w:type="pct"/>
            <w:tcBorders>
              <w:top w:val="nil"/>
              <w:left w:val="nil"/>
              <w:bottom w:val="nil"/>
              <w:right w:val="nil"/>
            </w:tcBorders>
            <w:shd w:val="clear" w:color="auto" w:fill="auto"/>
            <w:vAlign w:val="center"/>
          </w:tcPr>
          <w:p w14:paraId="79C0EAEB"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OEE2</w:t>
            </w:r>
          </w:p>
        </w:tc>
        <w:tc>
          <w:tcPr>
            <w:tcW w:w="1215" w:type="pct"/>
            <w:tcBorders>
              <w:top w:val="nil"/>
              <w:left w:val="nil"/>
              <w:bottom w:val="nil"/>
              <w:right w:val="nil"/>
            </w:tcBorders>
            <w:shd w:val="clear" w:color="auto" w:fill="auto"/>
            <w:vAlign w:val="center"/>
          </w:tcPr>
          <w:p w14:paraId="79013FCA"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3FF9237E"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.812</w:t>
            </w:r>
          </w:p>
        </w:tc>
        <w:tc>
          <w:tcPr>
            <w:tcW w:w="676" w:type="pct"/>
            <w:tcBorders>
              <w:top w:val="nil"/>
              <w:left w:val="nil"/>
              <w:bottom w:val="nil"/>
              <w:right w:val="nil"/>
            </w:tcBorders>
            <w:shd w:val="clear" w:color="auto" w:fill="auto"/>
          </w:tcPr>
          <w:p w14:paraId="53D35D08"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.745</w:t>
            </w:r>
          </w:p>
        </w:tc>
        <w:tc>
          <w:tcPr>
            <w:tcW w:w="676" w:type="pct"/>
            <w:tcBorders>
              <w:top w:val="nil"/>
              <w:left w:val="nil"/>
              <w:bottom w:val="nil"/>
              <w:right w:val="nil"/>
            </w:tcBorders>
            <w:shd w:val="clear" w:color="auto" w:fill="auto"/>
            <w:vAlign w:val="bottom"/>
          </w:tcPr>
          <w:p w14:paraId="6EA4E7F3"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.865</w:t>
            </w:r>
          </w:p>
        </w:tc>
        <w:tc>
          <w:tcPr>
            <w:tcW w:w="721" w:type="pct"/>
            <w:tcBorders>
              <w:top w:val="nil"/>
              <w:left w:val="nil"/>
              <w:bottom w:val="nil"/>
              <w:right w:val="nil"/>
            </w:tcBorders>
            <w:shd w:val="clear" w:color="auto" w:fill="auto"/>
            <w:noWrap/>
            <w:hideMark/>
          </w:tcPr>
          <w:p w14:paraId="476352A2"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744496CB" w14:textId="77777777" w:rsidTr="002864C3">
        <w:trPr>
          <w:trHeight w:val="161"/>
        </w:trPr>
        <w:tc>
          <w:tcPr>
            <w:tcW w:w="840" w:type="pct"/>
            <w:tcBorders>
              <w:top w:val="nil"/>
              <w:left w:val="nil"/>
              <w:bottom w:val="nil"/>
              <w:right w:val="nil"/>
            </w:tcBorders>
            <w:shd w:val="clear" w:color="auto" w:fill="auto"/>
          </w:tcPr>
          <w:p w14:paraId="0842A17A"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OEE3</w:t>
            </w:r>
          </w:p>
        </w:tc>
        <w:tc>
          <w:tcPr>
            <w:tcW w:w="1215" w:type="pct"/>
            <w:tcBorders>
              <w:top w:val="nil"/>
              <w:left w:val="nil"/>
              <w:bottom w:val="nil"/>
              <w:right w:val="nil"/>
            </w:tcBorders>
            <w:shd w:val="clear" w:color="auto" w:fill="auto"/>
            <w:vAlign w:val="center"/>
            <w:hideMark/>
          </w:tcPr>
          <w:p w14:paraId="7F39812F"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C1DED4C"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.685</w:t>
            </w:r>
          </w:p>
        </w:tc>
        <w:tc>
          <w:tcPr>
            <w:tcW w:w="676" w:type="pct"/>
            <w:tcBorders>
              <w:top w:val="nil"/>
              <w:left w:val="nil"/>
              <w:bottom w:val="nil"/>
              <w:right w:val="nil"/>
            </w:tcBorders>
            <w:shd w:val="clear" w:color="auto" w:fill="auto"/>
          </w:tcPr>
          <w:p w14:paraId="032554F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.589</w:t>
            </w:r>
          </w:p>
        </w:tc>
        <w:tc>
          <w:tcPr>
            <w:tcW w:w="676" w:type="pct"/>
            <w:tcBorders>
              <w:top w:val="nil"/>
              <w:left w:val="nil"/>
              <w:bottom w:val="nil"/>
              <w:right w:val="nil"/>
            </w:tcBorders>
            <w:shd w:val="clear" w:color="auto" w:fill="auto"/>
            <w:vAlign w:val="bottom"/>
          </w:tcPr>
          <w:p w14:paraId="4A38CE0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.769</w:t>
            </w:r>
          </w:p>
        </w:tc>
        <w:tc>
          <w:tcPr>
            <w:tcW w:w="721" w:type="pct"/>
            <w:tcBorders>
              <w:top w:val="nil"/>
              <w:left w:val="nil"/>
              <w:bottom w:val="nil"/>
              <w:right w:val="nil"/>
            </w:tcBorders>
            <w:shd w:val="clear" w:color="auto" w:fill="auto"/>
            <w:noWrap/>
            <w:hideMark/>
          </w:tcPr>
          <w:p w14:paraId="00450E5C"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61C6824F" w14:textId="77777777" w:rsidTr="002864C3">
        <w:trPr>
          <w:trHeight w:val="278"/>
        </w:trPr>
        <w:tc>
          <w:tcPr>
            <w:tcW w:w="840" w:type="pct"/>
            <w:tcBorders>
              <w:top w:val="nil"/>
              <w:left w:val="nil"/>
              <w:bottom w:val="nil"/>
              <w:right w:val="nil"/>
            </w:tcBorders>
            <w:shd w:val="clear" w:color="auto" w:fill="auto"/>
          </w:tcPr>
          <w:p w14:paraId="0659CC82"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OEE5</w:t>
            </w:r>
          </w:p>
        </w:tc>
        <w:tc>
          <w:tcPr>
            <w:tcW w:w="1215" w:type="pct"/>
            <w:tcBorders>
              <w:top w:val="nil"/>
              <w:left w:val="nil"/>
              <w:bottom w:val="nil"/>
              <w:right w:val="nil"/>
            </w:tcBorders>
            <w:shd w:val="clear" w:color="auto" w:fill="auto"/>
            <w:vAlign w:val="center"/>
            <w:hideMark/>
          </w:tcPr>
          <w:p w14:paraId="3E07422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3781FBCE"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.884</w:t>
            </w:r>
          </w:p>
        </w:tc>
        <w:tc>
          <w:tcPr>
            <w:tcW w:w="676" w:type="pct"/>
            <w:tcBorders>
              <w:top w:val="nil"/>
              <w:left w:val="nil"/>
              <w:bottom w:val="nil"/>
              <w:right w:val="nil"/>
            </w:tcBorders>
            <w:shd w:val="clear" w:color="auto" w:fill="auto"/>
          </w:tcPr>
          <w:p w14:paraId="10A5F0AB"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.841</w:t>
            </w:r>
          </w:p>
        </w:tc>
        <w:tc>
          <w:tcPr>
            <w:tcW w:w="676" w:type="pct"/>
            <w:tcBorders>
              <w:top w:val="nil"/>
              <w:left w:val="nil"/>
              <w:bottom w:val="nil"/>
              <w:right w:val="nil"/>
            </w:tcBorders>
            <w:shd w:val="clear" w:color="auto" w:fill="auto"/>
            <w:vAlign w:val="bottom"/>
          </w:tcPr>
          <w:p w14:paraId="490E9A00"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.917</w:t>
            </w:r>
          </w:p>
        </w:tc>
        <w:tc>
          <w:tcPr>
            <w:tcW w:w="721" w:type="pct"/>
            <w:tcBorders>
              <w:top w:val="nil"/>
              <w:left w:val="nil"/>
              <w:bottom w:val="nil"/>
              <w:right w:val="nil"/>
            </w:tcBorders>
            <w:shd w:val="clear" w:color="auto" w:fill="auto"/>
            <w:hideMark/>
          </w:tcPr>
          <w:p w14:paraId="5036CF9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4C210908" w14:textId="77777777" w:rsidTr="002864C3">
        <w:trPr>
          <w:trHeight w:val="314"/>
        </w:trPr>
        <w:tc>
          <w:tcPr>
            <w:tcW w:w="840" w:type="pct"/>
            <w:tcBorders>
              <w:top w:val="nil"/>
              <w:left w:val="nil"/>
              <w:bottom w:val="nil"/>
              <w:right w:val="nil"/>
            </w:tcBorders>
            <w:shd w:val="clear" w:color="auto" w:fill="auto"/>
          </w:tcPr>
          <w:p w14:paraId="17820238"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OEE6</w:t>
            </w:r>
          </w:p>
        </w:tc>
        <w:tc>
          <w:tcPr>
            <w:tcW w:w="1215" w:type="pct"/>
            <w:tcBorders>
              <w:top w:val="nil"/>
              <w:left w:val="nil"/>
              <w:bottom w:val="nil"/>
              <w:right w:val="nil"/>
            </w:tcBorders>
            <w:shd w:val="clear" w:color="auto" w:fill="auto"/>
            <w:vAlign w:val="center"/>
            <w:hideMark/>
          </w:tcPr>
          <w:p w14:paraId="719BD8EF"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02DE4AAE"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.815</w:t>
            </w:r>
          </w:p>
        </w:tc>
        <w:tc>
          <w:tcPr>
            <w:tcW w:w="676" w:type="pct"/>
            <w:tcBorders>
              <w:top w:val="nil"/>
              <w:left w:val="nil"/>
              <w:bottom w:val="nil"/>
              <w:right w:val="nil"/>
            </w:tcBorders>
            <w:shd w:val="clear" w:color="auto" w:fill="auto"/>
          </w:tcPr>
          <w:p w14:paraId="24E3A072"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.757</w:t>
            </w:r>
          </w:p>
        </w:tc>
        <w:tc>
          <w:tcPr>
            <w:tcW w:w="676" w:type="pct"/>
            <w:tcBorders>
              <w:top w:val="nil"/>
              <w:left w:val="nil"/>
              <w:bottom w:val="nil"/>
              <w:right w:val="nil"/>
            </w:tcBorders>
            <w:shd w:val="clear" w:color="auto" w:fill="auto"/>
            <w:vAlign w:val="bottom"/>
          </w:tcPr>
          <w:p w14:paraId="4B8F07D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.866</w:t>
            </w:r>
          </w:p>
        </w:tc>
        <w:tc>
          <w:tcPr>
            <w:tcW w:w="721" w:type="pct"/>
            <w:tcBorders>
              <w:top w:val="nil"/>
              <w:left w:val="nil"/>
              <w:bottom w:val="nil"/>
              <w:right w:val="nil"/>
            </w:tcBorders>
            <w:shd w:val="clear" w:color="auto" w:fill="auto"/>
            <w:hideMark/>
          </w:tcPr>
          <w:p w14:paraId="492C861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6EF9E048" w14:textId="77777777" w:rsidTr="002864C3">
        <w:trPr>
          <w:trHeight w:val="251"/>
        </w:trPr>
        <w:tc>
          <w:tcPr>
            <w:tcW w:w="840" w:type="pct"/>
            <w:tcBorders>
              <w:top w:val="nil"/>
              <w:left w:val="nil"/>
              <w:bottom w:val="nil"/>
              <w:right w:val="nil"/>
            </w:tcBorders>
            <w:shd w:val="clear" w:color="auto" w:fill="auto"/>
          </w:tcPr>
          <w:p w14:paraId="2A64483B"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OEE7</w:t>
            </w:r>
          </w:p>
        </w:tc>
        <w:tc>
          <w:tcPr>
            <w:tcW w:w="1215" w:type="pct"/>
            <w:tcBorders>
              <w:top w:val="nil"/>
              <w:left w:val="nil"/>
              <w:bottom w:val="nil"/>
              <w:right w:val="nil"/>
            </w:tcBorders>
            <w:shd w:val="clear" w:color="auto" w:fill="auto"/>
            <w:vAlign w:val="center"/>
            <w:hideMark/>
          </w:tcPr>
          <w:p w14:paraId="6433CE7B"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328536BA"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.813</w:t>
            </w:r>
          </w:p>
        </w:tc>
        <w:tc>
          <w:tcPr>
            <w:tcW w:w="676" w:type="pct"/>
            <w:tcBorders>
              <w:top w:val="nil"/>
              <w:left w:val="nil"/>
              <w:bottom w:val="nil"/>
              <w:right w:val="nil"/>
            </w:tcBorders>
            <w:shd w:val="clear" w:color="auto" w:fill="auto"/>
          </w:tcPr>
          <w:p w14:paraId="3B91429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.731</w:t>
            </w:r>
          </w:p>
        </w:tc>
        <w:tc>
          <w:tcPr>
            <w:tcW w:w="676" w:type="pct"/>
            <w:tcBorders>
              <w:top w:val="nil"/>
              <w:left w:val="nil"/>
              <w:bottom w:val="nil"/>
              <w:right w:val="nil"/>
            </w:tcBorders>
            <w:shd w:val="clear" w:color="auto" w:fill="auto"/>
            <w:vAlign w:val="bottom"/>
          </w:tcPr>
          <w:p w14:paraId="4EB40CC5"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.870</w:t>
            </w:r>
          </w:p>
        </w:tc>
        <w:tc>
          <w:tcPr>
            <w:tcW w:w="721" w:type="pct"/>
            <w:tcBorders>
              <w:top w:val="nil"/>
              <w:left w:val="nil"/>
              <w:bottom w:val="nil"/>
              <w:right w:val="nil"/>
            </w:tcBorders>
            <w:shd w:val="clear" w:color="auto" w:fill="auto"/>
            <w:hideMark/>
          </w:tcPr>
          <w:p w14:paraId="6C5AB5B5"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0128AE" w:rsidRPr="0032506F" w14:paraId="57E219A9" w14:textId="77777777" w:rsidTr="002864C3">
        <w:trPr>
          <w:trHeight w:val="197"/>
        </w:trPr>
        <w:tc>
          <w:tcPr>
            <w:tcW w:w="840" w:type="pct"/>
            <w:tcBorders>
              <w:top w:val="nil"/>
              <w:left w:val="nil"/>
              <w:bottom w:val="nil"/>
              <w:right w:val="nil"/>
            </w:tcBorders>
            <w:shd w:val="clear" w:color="auto" w:fill="auto"/>
          </w:tcPr>
          <w:p w14:paraId="031E09FE"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OEE8</w:t>
            </w:r>
          </w:p>
        </w:tc>
        <w:tc>
          <w:tcPr>
            <w:tcW w:w="1215" w:type="pct"/>
            <w:tcBorders>
              <w:top w:val="nil"/>
              <w:left w:val="nil"/>
              <w:bottom w:val="nil"/>
              <w:right w:val="nil"/>
            </w:tcBorders>
            <w:shd w:val="clear" w:color="auto" w:fill="auto"/>
            <w:vAlign w:val="center"/>
            <w:hideMark/>
          </w:tcPr>
          <w:p w14:paraId="3272150A"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OEE</w:t>
            </w:r>
          </w:p>
        </w:tc>
        <w:tc>
          <w:tcPr>
            <w:tcW w:w="873" w:type="pct"/>
            <w:tcBorders>
              <w:top w:val="nil"/>
              <w:left w:val="nil"/>
              <w:bottom w:val="nil"/>
              <w:right w:val="nil"/>
            </w:tcBorders>
            <w:shd w:val="clear" w:color="auto" w:fill="auto"/>
            <w:vAlign w:val="bottom"/>
          </w:tcPr>
          <w:p w14:paraId="5D9DEA3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.868</w:t>
            </w:r>
          </w:p>
        </w:tc>
        <w:tc>
          <w:tcPr>
            <w:tcW w:w="676" w:type="pct"/>
            <w:tcBorders>
              <w:top w:val="nil"/>
              <w:left w:val="nil"/>
              <w:bottom w:val="nil"/>
              <w:right w:val="nil"/>
            </w:tcBorders>
            <w:shd w:val="clear" w:color="auto" w:fill="auto"/>
          </w:tcPr>
          <w:p w14:paraId="0E2F18B3"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.816</w:t>
            </w:r>
          </w:p>
        </w:tc>
        <w:tc>
          <w:tcPr>
            <w:tcW w:w="676" w:type="pct"/>
            <w:tcBorders>
              <w:top w:val="nil"/>
              <w:left w:val="nil"/>
              <w:bottom w:val="nil"/>
              <w:right w:val="nil"/>
            </w:tcBorders>
            <w:shd w:val="clear" w:color="auto" w:fill="auto"/>
            <w:vAlign w:val="bottom"/>
          </w:tcPr>
          <w:p w14:paraId="3FD340E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.903</w:t>
            </w:r>
          </w:p>
        </w:tc>
        <w:tc>
          <w:tcPr>
            <w:tcW w:w="721" w:type="pct"/>
            <w:tcBorders>
              <w:top w:val="nil"/>
              <w:left w:val="nil"/>
              <w:bottom w:val="nil"/>
              <w:right w:val="nil"/>
            </w:tcBorders>
            <w:shd w:val="clear" w:color="auto" w:fill="auto"/>
            <w:hideMark/>
          </w:tcPr>
          <w:p w14:paraId="266DA86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.002</w:t>
            </w:r>
          </w:p>
        </w:tc>
      </w:tr>
      <w:tr w:rsidR="000128AE" w:rsidRPr="0032506F" w14:paraId="0A2500E1" w14:textId="77777777" w:rsidTr="002864C3">
        <w:trPr>
          <w:trHeight w:val="206"/>
        </w:trPr>
        <w:tc>
          <w:tcPr>
            <w:tcW w:w="840" w:type="pct"/>
            <w:tcBorders>
              <w:top w:val="nil"/>
              <w:left w:val="nil"/>
              <w:bottom w:val="nil"/>
              <w:right w:val="nil"/>
            </w:tcBorders>
            <w:shd w:val="clear" w:color="auto" w:fill="auto"/>
          </w:tcPr>
          <w:p w14:paraId="17FF429C"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OCE6</w:t>
            </w:r>
          </w:p>
        </w:tc>
        <w:tc>
          <w:tcPr>
            <w:tcW w:w="1215" w:type="pct"/>
            <w:tcBorders>
              <w:top w:val="nil"/>
              <w:left w:val="nil"/>
              <w:bottom w:val="nil"/>
              <w:right w:val="nil"/>
            </w:tcBorders>
            <w:shd w:val="clear" w:color="auto" w:fill="auto"/>
            <w:vAlign w:val="center"/>
            <w:hideMark/>
          </w:tcPr>
          <w:p w14:paraId="36AB28D3"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F49EB6F"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.639</w:t>
            </w:r>
          </w:p>
        </w:tc>
        <w:tc>
          <w:tcPr>
            <w:tcW w:w="676" w:type="pct"/>
            <w:tcBorders>
              <w:top w:val="nil"/>
              <w:left w:val="nil"/>
              <w:bottom w:val="nil"/>
              <w:right w:val="nil"/>
            </w:tcBorders>
            <w:shd w:val="clear" w:color="auto" w:fill="auto"/>
            <w:vAlign w:val="bottom"/>
          </w:tcPr>
          <w:p w14:paraId="31D9F7C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.537</w:t>
            </w:r>
          </w:p>
        </w:tc>
        <w:tc>
          <w:tcPr>
            <w:tcW w:w="676" w:type="pct"/>
            <w:tcBorders>
              <w:top w:val="nil"/>
              <w:left w:val="nil"/>
              <w:bottom w:val="nil"/>
              <w:right w:val="nil"/>
            </w:tcBorders>
            <w:shd w:val="clear" w:color="auto" w:fill="auto"/>
            <w:vAlign w:val="bottom"/>
          </w:tcPr>
          <w:p w14:paraId="1203BA88"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.728</w:t>
            </w:r>
          </w:p>
        </w:tc>
        <w:tc>
          <w:tcPr>
            <w:tcW w:w="721" w:type="pct"/>
            <w:tcBorders>
              <w:top w:val="nil"/>
              <w:left w:val="nil"/>
              <w:bottom w:val="nil"/>
              <w:right w:val="nil"/>
            </w:tcBorders>
            <w:shd w:val="clear" w:color="auto" w:fill="auto"/>
            <w:hideMark/>
          </w:tcPr>
          <w:p w14:paraId="3417A51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3F98BD48" w14:textId="77777777" w:rsidTr="002864C3">
        <w:trPr>
          <w:trHeight w:val="242"/>
        </w:trPr>
        <w:tc>
          <w:tcPr>
            <w:tcW w:w="840" w:type="pct"/>
            <w:tcBorders>
              <w:top w:val="nil"/>
              <w:left w:val="nil"/>
              <w:bottom w:val="nil"/>
              <w:right w:val="nil"/>
            </w:tcBorders>
            <w:shd w:val="clear" w:color="auto" w:fill="auto"/>
          </w:tcPr>
          <w:p w14:paraId="489F80F1"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OCE7</w:t>
            </w:r>
          </w:p>
        </w:tc>
        <w:tc>
          <w:tcPr>
            <w:tcW w:w="1215" w:type="pct"/>
            <w:tcBorders>
              <w:top w:val="nil"/>
              <w:left w:val="nil"/>
              <w:bottom w:val="nil"/>
              <w:right w:val="nil"/>
            </w:tcBorders>
            <w:shd w:val="clear" w:color="auto" w:fill="auto"/>
            <w:vAlign w:val="center"/>
            <w:hideMark/>
          </w:tcPr>
          <w:p w14:paraId="2A22892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09F44A5A"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.718</w:t>
            </w:r>
          </w:p>
        </w:tc>
        <w:tc>
          <w:tcPr>
            <w:tcW w:w="676" w:type="pct"/>
            <w:tcBorders>
              <w:top w:val="nil"/>
              <w:left w:val="nil"/>
              <w:bottom w:val="nil"/>
              <w:right w:val="nil"/>
            </w:tcBorders>
            <w:shd w:val="clear" w:color="auto" w:fill="auto"/>
            <w:vAlign w:val="bottom"/>
          </w:tcPr>
          <w:p w14:paraId="7BD52679"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.632</w:t>
            </w:r>
          </w:p>
        </w:tc>
        <w:tc>
          <w:tcPr>
            <w:tcW w:w="676" w:type="pct"/>
            <w:tcBorders>
              <w:top w:val="nil"/>
              <w:left w:val="nil"/>
              <w:bottom w:val="nil"/>
              <w:right w:val="nil"/>
            </w:tcBorders>
            <w:shd w:val="clear" w:color="auto" w:fill="auto"/>
            <w:vAlign w:val="bottom"/>
          </w:tcPr>
          <w:p w14:paraId="3B31F09C"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.792</w:t>
            </w:r>
          </w:p>
        </w:tc>
        <w:tc>
          <w:tcPr>
            <w:tcW w:w="721" w:type="pct"/>
            <w:tcBorders>
              <w:top w:val="nil"/>
              <w:left w:val="nil"/>
              <w:bottom w:val="nil"/>
              <w:right w:val="nil"/>
            </w:tcBorders>
            <w:shd w:val="clear" w:color="auto" w:fill="auto"/>
            <w:hideMark/>
          </w:tcPr>
          <w:p w14:paraId="05E865DF"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.001</w:t>
            </w:r>
          </w:p>
        </w:tc>
      </w:tr>
      <w:tr w:rsidR="000128AE" w:rsidRPr="0032506F" w14:paraId="3D1FA159" w14:textId="77777777" w:rsidTr="002864C3">
        <w:trPr>
          <w:trHeight w:val="278"/>
        </w:trPr>
        <w:tc>
          <w:tcPr>
            <w:tcW w:w="840" w:type="pct"/>
            <w:tcBorders>
              <w:top w:val="nil"/>
              <w:left w:val="nil"/>
              <w:bottom w:val="nil"/>
              <w:right w:val="nil"/>
            </w:tcBorders>
            <w:shd w:val="clear" w:color="auto" w:fill="auto"/>
          </w:tcPr>
          <w:p w14:paraId="61A23F82"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OCE8</w:t>
            </w:r>
          </w:p>
        </w:tc>
        <w:tc>
          <w:tcPr>
            <w:tcW w:w="1215" w:type="pct"/>
            <w:tcBorders>
              <w:top w:val="nil"/>
              <w:left w:val="nil"/>
              <w:bottom w:val="nil"/>
              <w:right w:val="nil"/>
            </w:tcBorders>
            <w:shd w:val="clear" w:color="auto" w:fill="auto"/>
            <w:vAlign w:val="center"/>
            <w:hideMark/>
          </w:tcPr>
          <w:p w14:paraId="286B3B9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34D9CFC5" w14:textId="77777777" w:rsidR="000128AE" w:rsidRPr="0032506F" w:rsidRDefault="000128AE" w:rsidP="002864C3">
            <w:pPr>
              <w:spacing w:after="0" w:line="276" w:lineRule="auto"/>
              <w:ind w:firstLineChars="100" w:firstLine="240"/>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 xml:space="preserve">      .642</w:t>
            </w:r>
          </w:p>
        </w:tc>
        <w:tc>
          <w:tcPr>
            <w:tcW w:w="676" w:type="pct"/>
            <w:tcBorders>
              <w:top w:val="nil"/>
              <w:left w:val="nil"/>
              <w:bottom w:val="nil"/>
              <w:right w:val="nil"/>
            </w:tcBorders>
            <w:shd w:val="clear" w:color="auto" w:fill="auto"/>
            <w:vAlign w:val="bottom"/>
          </w:tcPr>
          <w:p w14:paraId="23049016"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.553</w:t>
            </w:r>
          </w:p>
        </w:tc>
        <w:tc>
          <w:tcPr>
            <w:tcW w:w="676" w:type="pct"/>
            <w:tcBorders>
              <w:top w:val="nil"/>
              <w:left w:val="nil"/>
              <w:bottom w:val="nil"/>
              <w:right w:val="nil"/>
            </w:tcBorders>
            <w:shd w:val="clear" w:color="auto" w:fill="auto"/>
            <w:vAlign w:val="bottom"/>
          </w:tcPr>
          <w:p w14:paraId="01185577"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SimSun" w:hAnsi="Times New Roman" w:cs="Times New Roman"/>
                <w:sz w:val="24"/>
                <w:szCs w:val="24"/>
              </w:rPr>
              <w:t>.727</w:t>
            </w:r>
          </w:p>
        </w:tc>
        <w:tc>
          <w:tcPr>
            <w:tcW w:w="721" w:type="pct"/>
            <w:tcBorders>
              <w:top w:val="nil"/>
              <w:left w:val="nil"/>
              <w:bottom w:val="nil"/>
              <w:right w:val="nil"/>
            </w:tcBorders>
            <w:shd w:val="clear" w:color="auto" w:fill="auto"/>
            <w:hideMark/>
          </w:tcPr>
          <w:p w14:paraId="1D9375EC"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26A4B779" w14:textId="77777777" w:rsidTr="002864C3">
        <w:trPr>
          <w:trHeight w:val="278"/>
        </w:trPr>
        <w:tc>
          <w:tcPr>
            <w:tcW w:w="840" w:type="pct"/>
            <w:tcBorders>
              <w:top w:val="nil"/>
              <w:left w:val="nil"/>
              <w:bottom w:val="nil"/>
              <w:right w:val="nil"/>
            </w:tcBorders>
            <w:shd w:val="clear" w:color="auto" w:fill="auto"/>
          </w:tcPr>
          <w:p w14:paraId="017DA4AC"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OCE13</w:t>
            </w:r>
          </w:p>
        </w:tc>
        <w:tc>
          <w:tcPr>
            <w:tcW w:w="1215" w:type="pct"/>
            <w:tcBorders>
              <w:top w:val="nil"/>
              <w:left w:val="nil"/>
              <w:bottom w:val="nil"/>
              <w:right w:val="nil"/>
            </w:tcBorders>
            <w:shd w:val="clear" w:color="auto" w:fill="auto"/>
            <w:vAlign w:val="center"/>
          </w:tcPr>
          <w:p w14:paraId="4C23014C"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75F59DE5"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.727</w:t>
            </w:r>
          </w:p>
        </w:tc>
        <w:tc>
          <w:tcPr>
            <w:tcW w:w="676" w:type="pct"/>
            <w:tcBorders>
              <w:top w:val="nil"/>
              <w:left w:val="nil"/>
              <w:bottom w:val="nil"/>
              <w:right w:val="nil"/>
            </w:tcBorders>
            <w:shd w:val="clear" w:color="auto" w:fill="auto"/>
            <w:vAlign w:val="bottom"/>
          </w:tcPr>
          <w:p w14:paraId="6AB744F6"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.636</w:t>
            </w:r>
          </w:p>
        </w:tc>
        <w:tc>
          <w:tcPr>
            <w:tcW w:w="676" w:type="pct"/>
            <w:tcBorders>
              <w:top w:val="nil"/>
              <w:left w:val="nil"/>
              <w:bottom w:val="nil"/>
              <w:right w:val="nil"/>
            </w:tcBorders>
            <w:shd w:val="clear" w:color="auto" w:fill="auto"/>
            <w:vAlign w:val="bottom"/>
          </w:tcPr>
          <w:p w14:paraId="13DD8B6E"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.812</w:t>
            </w:r>
          </w:p>
        </w:tc>
        <w:tc>
          <w:tcPr>
            <w:tcW w:w="721" w:type="pct"/>
            <w:tcBorders>
              <w:top w:val="nil"/>
              <w:left w:val="nil"/>
              <w:bottom w:val="nil"/>
              <w:right w:val="nil"/>
            </w:tcBorders>
            <w:shd w:val="clear" w:color="auto" w:fill="auto"/>
          </w:tcPr>
          <w:p w14:paraId="353AAA51"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641B9A0E" w14:textId="77777777" w:rsidTr="002864C3">
        <w:trPr>
          <w:trHeight w:val="278"/>
        </w:trPr>
        <w:tc>
          <w:tcPr>
            <w:tcW w:w="840" w:type="pct"/>
            <w:tcBorders>
              <w:top w:val="nil"/>
              <w:left w:val="nil"/>
              <w:bottom w:val="nil"/>
              <w:right w:val="nil"/>
            </w:tcBorders>
            <w:shd w:val="clear" w:color="auto" w:fill="auto"/>
          </w:tcPr>
          <w:p w14:paraId="181F72D4"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OCE14</w:t>
            </w:r>
          </w:p>
        </w:tc>
        <w:tc>
          <w:tcPr>
            <w:tcW w:w="1215" w:type="pct"/>
            <w:tcBorders>
              <w:top w:val="nil"/>
              <w:left w:val="nil"/>
              <w:bottom w:val="nil"/>
              <w:right w:val="nil"/>
            </w:tcBorders>
            <w:shd w:val="clear" w:color="auto" w:fill="auto"/>
            <w:vAlign w:val="center"/>
          </w:tcPr>
          <w:p w14:paraId="0984E8A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4ADD82D7"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.701</w:t>
            </w:r>
          </w:p>
        </w:tc>
        <w:tc>
          <w:tcPr>
            <w:tcW w:w="676" w:type="pct"/>
            <w:tcBorders>
              <w:top w:val="nil"/>
              <w:left w:val="nil"/>
              <w:bottom w:val="nil"/>
              <w:right w:val="nil"/>
            </w:tcBorders>
            <w:shd w:val="clear" w:color="auto" w:fill="auto"/>
            <w:vAlign w:val="bottom"/>
          </w:tcPr>
          <w:p w14:paraId="2EF152D7"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.594</w:t>
            </w:r>
          </w:p>
        </w:tc>
        <w:tc>
          <w:tcPr>
            <w:tcW w:w="676" w:type="pct"/>
            <w:tcBorders>
              <w:top w:val="nil"/>
              <w:left w:val="nil"/>
              <w:bottom w:val="nil"/>
              <w:right w:val="nil"/>
            </w:tcBorders>
            <w:shd w:val="clear" w:color="auto" w:fill="auto"/>
            <w:vAlign w:val="bottom"/>
          </w:tcPr>
          <w:p w14:paraId="7B03C8AF"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.788</w:t>
            </w:r>
          </w:p>
        </w:tc>
        <w:tc>
          <w:tcPr>
            <w:tcW w:w="721" w:type="pct"/>
            <w:tcBorders>
              <w:top w:val="nil"/>
              <w:left w:val="nil"/>
              <w:bottom w:val="nil"/>
              <w:right w:val="nil"/>
            </w:tcBorders>
            <w:shd w:val="clear" w:color="auto" w:fill="auto"/>
          </w:tcPr>
          <w:p w14:paraId="5B36E5D2"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.002</w:t>
            </w:r>
          </w:p>
        </w:tc>
      </w:tr>
      <w:tr w:rsidR="000128AE" w:rsidRPr="0032506F" w14:paraId="1FE5D096" w14:textId="77777777" w:rsidTr="002864C3">
        <w:trPr>
          <w:trHeight w:val="278"/>
        </w:trPr>
        <w:tc>
          <w:tcPr>
            <w:tcW w:w="840" w:type="pct"/>
            <w:tcBorders>
              <w:top w:val="nil"/>
              <w:left w:val="nil"/>
              <w:bottom w:val="nil"/>
              <w:right w:val="nil"/>
            </w:tcBorders>
            <w:shd w:val="clear" w:color="auto" w:fill="auto"/>
          </w:tcPr>
          <w:p w14:paraId="11F1F317"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OCE15</w:t>
            </w:r>
          </w:p>
        </w:tc>
        <w:tc>
          <w:tcPr>
            <w:tcW w:w="1215" w:type="pct"/>
            <w:tcBorders>
              <w:top w:val="nil"/>
              <w:left w:val="nil"/>
              <w:bottom w:val="nil"/>
              <w:right w:val="nil"/>
            </w:tcBorders>
            <w:shd w:val="clear" w:color="auto" w:fill="auto"/>
            <w:vAlign w:val="center"/>
          </w:tcPr>
          <w:p w14:paraId="0A077155"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A93714A"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.647</w:t>
            </w:r>
          </w:p>
        </w:tc>
        <w:tc>
          <w:tcPr>
            <w:tcW w:w="676" w:type="pct"/>
            <w:tcBorders>
              <w:top w:val="nil"/>
              <w:left w:val="nil"/>
              <w:bottom w:val="nil"/>
              <w:right w:val="nil"/>
            </w:tcBorders>
            <w:shd w:val="clear" w:color="auto" w:fill="auto"/>
            <w:vAlign w:val="bottom"/>
          </w:tcPr>
          <w:p w14:paraId="656E128D"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.539</w:t>
            </w:r>
          </w:p>
        </w:tc>
        <w:tc>
          <w:tcPr>
            <w:tcW w:w="676" w:type="pct"/>
            <w:tcBorders>
              <w:top w:val="nil"/>
              <w:left w:val="nil"/>
              <w:bottom w:val="nil"/>
              <w:right w:val="nil"/>
            </w:tcBorders>
            <w:shd w:val="clear" w:color="auto" w:fill="auto"/>
            <w:vAlign w:val="bottom"/>
          </w:tcPr>
          <w:p w14:paraId="4ACA8FED"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.738</w:t>
            </w:r>
          </w:p>
        </w:tc>
        <w:tc>
          <w:tcPr>
            <w:tcW w:w="721" w:type="pct"/>
            <w:tcBorders>
              <w:top w:val="nil"/>
              <w:left w:val="nil"/>
              <w:bottom w:val="nil"/>
              <w:right w:val="nil"/>
            </w:tcBorders>
            <w:shd w:val="clear" w:color="auto" w:fill="auto"/>
          </w:tcPr>
          <w:p w14:paraId="580055BB"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32506F" w14:paraId="55319E6C" w14:textId="77777777" w:rsidTr="002864C3">
        <w:trPr>
          <w:trHeight w:val="278"/>
        </w:trPr>
        <w:tc>
          <w:tcPr>
            <w:tcW w:w="840" w:type="pct"/>
            <w:tcBorders>
              <w:top w:val="nil"/>
              <w:left w:val="nil"/>
              <w:bottom w:val="nil"/>
              <w:right w:val="nil"/>
            </w:tcBorders>
            <w:shd w:val="clear" w:color="auto" w:fill="auto"/>
          </w:tcPr>
          <w:p w14:paraId="4E7FC250"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OCE17</w:t>
            </w:r>
          </w:p>
        </w:tc>
        <w:tc>
          <w:tcPr>
            <w:tcW w:w="1215" w:type="pct"/>
            <w:tcBorders>
              <w:top w:val="nil"/>
              <w:left w:val="nil"/>
              <w:bottom w:val="nil"/>
              <w:right w:val="nil"/>
            </w:tcBorders>
            <w:shd w:val="clear" w:color="auto" w:fill="auto"/>
            <w:vAlign w:val="center"/>
          </w:tcPr>
          <w:p w14:paraId="164E5D44"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75CCA40"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.859</w:t>
            </w:r>
          </w:p>
        </w:tc>
        <w:tc>
          <w:tcPr>
            <w:tcW w:w="676" w:type="pct"/>
            <w:tcBorders>
              <w:top w:val="nil"/>
              <w:left w:val="nil"/>
              <w:bottom w:val="nil"/>
              <w:right w:val="nil"/>
            </w:tcBorders>
            <w:shd w:val="clear" w:color="auto" w:fill="auto"/>
            <w:vAlign w:val="bottom"/>
          </w:tcPr>
          <w:p w14:paraId="1DC7DD35"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.796</w:t>
            </w:r>
          </w:p>
        </w:tc>
        <w:tc>
          <w:tcPr>
            <w:tcW w:w="676" w:type="pct"/>
            <w:tcBorders>
              <w:top w:val="nil"/>
              <w:left w:val="nil"/>
              <w:bottom w:val="nil"/>
              <w:right w:val="nil"/>
            </w:tcBorders>
            <w:shd w:val="clear" w:color="auto" w:fill="auto"/>
            <w:vAlign w:val="bottom"/>
          </w:tcPr>
          <w:p w14:paraId="177DF992"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.907</w:t>
            </w:r>
          </w:p>
        </w:tc>
        <w:tc>
          <w:tcPr>
            <w:tcW w:w="721" w:type="pct"/>
            <w:tcBorders>
              <w:top w:val="nil"/>
              <w:left w:val="nil"/>
              <w:bottom w:val="nil"/>
              <w:right w:val="nil"/>
            </w:tcBorders>
            <w:shd w:val="clear" w:color="auto" w:fill="auto"/>
          </w:tcPr>
          <w:p w14:paraId="56DC1C2C"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.002</w:t>
            </w:r>
          </w:p>
        </w:tc>
      </w:tr>
      <w:tr w:rsidR="000128AE" w:rsidRPr="0032506F" w14:paraId="3A547B78" w14:textId="77777777" w:rsidTr="002864C3">
        <w:trPr>
          <w:trHeight w:val="278"/>
        </w:trPr>
        <w:tc>
          <w:tcPr>
            <w:tcW w:w="840" w:type="pct"/>
            <w:tcBorders>
              <w:top w:val="nil"/>
              <w:left w:val="nil"/>
              <w:bottom w:val="nil"/>
              <w:right w:val="nil"/>
            </w:tcBorders>
            <w:shd w:val="clear" w:color="auto" w:fill="auto"/>
          </w:tcPr>
          <w:p w14:paraId="6B97784A"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OCE18</w:t>
            </w:r>
          </w:p>
        </w:tc>
        <w:tc>
          <w:tcPr>
            <w:tcW w:w="1215" w:type="pct"/>
            <w:tcBorders>
              <w:top w:val="nil"/>
              <w:left w:val="nil"/>
              <w:bottom w:val="nil"/>
              <w:right w:val="nil"/>
            </w:tcBorders>
            <w:shd w:val="clear" w:color="auto" w:fill="auto"/>
            <w:vAlign w:val="center"/>
          </w:tcPr>
          <w:p w14:paraId="2CEE8DAB"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nil"/>
              <w:right w:val="nil"/>
            </w:tcBorders>
            <w:shd w:val="clear" w:color="auto" w:fill="auto"/>
            <w:vAlign w:val="bottom"/>
          </w:tcPr>
          <w:p w14:paraId="56BDAA6B"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.662</w:t>
            </w:r>
          </w:p>
        </w:tc>
        <w:tc>
          <w:tcPr>
            <w:tcW w:w="676" w:type="pct"/>
            <w:tcBorders>
              <w:top w:val="nil"/>
              <w:left w:val="nil"/>
              <w:bottom w:val="nil"/>
              <w:right w:val="nil"/>
            </w:tcBorders>
            <w:shd w:val="clear" w:color="auto" w:fill="auto"/>
            <w:vAlign w:val="bottom"/>
          </w:tcPr>
          <w:p w14:paraId="453FA7C8"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.549</w:t>
            </w:r>
          </w:p>
        </w:tc>
        <w:tc>
          <w:tcPr>
            <w:tcW w:w="676" w:type="pct"/>
            <w:tcBorders>
              <w:top w:val="nil"/>
              <w:left w:val="nil"/>
              <w:bottom w:val="nil"/>
              <w:right w:val="nil"/>
            </w:tcBorders>
            <w:shd w:val="clear" w:color="auto" w:fill="auto"/>
            <w:vAlign w:val="bottom"/>
          </w:tcPr>
          <w:p w14:paraId="3614867D"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.756</w:t>
            </w:r>
          </w:p>
        </w:tc>
        <w:tc>
          <w:tcPr>
            <w:tcW w:w="721" w:type="pct"/>
            <w:tcBorders>
              <w:top w:val="nil"/>
              <w:left w:val="nil"/>
              <w:bottom w:val="nil"/>
              <w:right w:val="nil"/>
            </w:tcBorders>
            <w:shd w:val="clear" w:color="auto" w:fill="auto"/>
          </w:tcPr>
          <w:p w14:paraId="4C78334A" w14:textId="77777777" w:rsidR="000128AE" w:rsidRPr="0032506F"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r w:rsidR="000128AE" w:rsidRPr="007E1C2B" w14:paraId="4F3EE708" w14:textId="77777777" w:rsidTr="002864C3">
        <w:trPr>
          <w:trHeight w:val="278"/>
        </w:trPr>
        <w:tc>
          <w:tcPr>
            <w:tcW w:w="840" w:type="pct"/>
            <w:tcBorders>
              <w:top w:val="nil"/>
              <w:left w:val="nil"/>
              <w:bottom w:val="single" w:sz="4" w:space="0" w:color="auto"/>
              <w:right w:val="nil"/>
            </w:tcBorders>
            <w:shd w:val="clear" w:color="auto" w:fill="auto"/>
          </w:tcPr>
          <w:p w14:paraId="56117F69" w14:textId="77777777" w:rsidR="000128AE" w:rsidRPr="0032506F" w:rsidRDefault="000128AE" w:rsidP="002864C3">
            <w:pPr>
              <w:spacing w:after="0" w:line="276" w:lineRule="auto"/>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OCE19</w:t>
            </w:r>
          </w:p>
        </w:tc>
        <w:tc>
          <w:tcPr>
            <w:tcW w:w="1215" w:type="pct"/>
            <w:tcBorders>
              <w:top w:val="nil"/>
              <w:left w:val="nil"/>
              <w:bottom w:val="single" w:sz="4" w:space="0" w:color="auto"/>
              <w:right w:val="nil"/>
            </w:tcBorders>
            <w:shd w:val="clear" w:color="auto" w:fill="auto"/>
            <w:vAlign w:val="center"/>
          </w:tcPr>
          <w:p w14:paraId="7851D0A8" w14:textId="77777777" w:rsidR="000128AE" w:rsidRPr="0032506F" w:rsidRDefault="000128AE" w:rsidP="002864C3">
            <w:pPr>
              <w:spacing w:after="0" w:line="276" w:lineRule="auto"/>
              <w:ind w:firstLineChars="100" w:firstLine="240"/>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OCE</w:t>
            </w:r>
          </w:p>
        </w:tc>
        <w:tc>
          <w:tcPr>
            <w:tcW w:w="873" w:type="pct"/>
            <w:tcBorders>
              <w:top w:val="nil"/>
              <w:left w:val="nil"/>
              <w:bottom w:val="single" w:sz="4" w:space="0" w:color="auto"/>
              <w:right w:val="nil"/>
            </w:tcBorders>
            <w:shd w:val="clear" w:color="auto" w:fill="auto"/>
            <w:vAlign w:val="bottom"/>
          </w:tcPr>
          <w:p w14:paraId="75BEC459" w14:textId="77777777" w:rsidR="000128AE" w:rsidRPr="0032506F" w:rsidRDefault="000128AE" w:rsidP="002864C3">
            <w:pPr>
              <w:spacing w:after="0" w:line="276" w:lineRule="auto"/>
              <w:ind w:firstLineChars="100" w:firstLine="240"/>
              <w:rPr>
                <w:rFonts w:ascii="Times New Roman" w:eastAsia="SimSun" w:hAnsi="Times New Roman" w:cs="Times New Roman"/>
                <w:sz w:val="24"/>
                <w:szCs w:val="24"/>
              </w:rPr>
            </w:pPr>
            <w:r w:rsidRPr="0032506F">
              <w:rPr>
                <w:rFonts w:ascii="Times New Roman" w:eastAsia="SimSun" w:hAnsi="Times New Roman" w:cs="Times New Roman"/>
                <w:sz w:val="24"/>
                <w:szCs w:val="24"/>
              </w:rPr>
              <w:t xml:space="preserve">      .693</w:t>
            </w:r>
          </w:p>
        </w:tc>
        <w:tc>
          <w:tcPr>
            <w:tcW w:w="676" w:type="pct"/>
            <w:tcBorders>
              <w:top w:val="nil"/>
              <w:left w:val="nil"/>
              <w:bottom w:val="single" w:sz="4" w:space="0" w:color="auto"/>
              <w:right w:val="nil"/>
            </w:tcBorders>
            <w:shd w:val="clear" w:color="auto" w:fill="auto"/>
            <w:vAlign w:val="bottom"/>
          </w:tcPr>
          <w:p w14:paraId="327F8C55"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.581</w:t>
            </w:r>
          </w:p>
        </w:tc>
        <w:tc>
          <w:tcPr>
            <w:tcW w:w="676" w:type="pct"/>
            <w:tcBorders>
              <w:top w:val="nil"/>
              <w:left w:val="nil"/>
              <w:bottom w:val="single" w:sz="4" w:space="0" w:color="auto"/>
              <w:right w:val="nil"/>
            </w:tcBorders>
            <w:shd w:val="clear" w:color="auto" w:fill="auto"/>
            <w:vAlign w:val="bottom"/>
          </w:tcPr>
          <w:p w14:paraId="62377869" w14:textId="77777777" w:rsidR="000128AE" w:rsidRPr="0032506F" w:rsidRDefault="000128AE" w:rsidP="002864C3">
            <w:pPr>
              <w:spacing w:after="0" w:line="276" w:lineRule="auto"/>
              <w:ind w:firstLineChars="100" w:firstLine="240"/>
              <w:jc w:val="center"/>
              <w:rPr>
                <w:rFonts w:ascii="Times New Roman" w:eastAsia="SimSun" w:hAnsi="Times New Roman" w:cs="Times New Roman"/>
                <w:sz w:val="24"/>
                <w:szCs w:val="24"/>
              </w:rPr>
            </w:pPr>
            <w:r w:rsidRPr="0032506F">
              <w:rPr>
                <w:rFonts w:ascii="Times New Roman" w:eastAsia="SimSun" w:hAnsi="Times New Roman" w:cs="Times New Roman"/>
                <w:sz w:val="24"/>
                <w:szCs w:val="24"/>
              </w:rPr>
              <w:t>.787</w:t>
            </w:r>
          </w:p>
        </w:tc>
        <w:tc>
          <w:tcPr>
            <w:tcW w:w="721" w:type="pct"/>
            <w:tcBorders>
              <w:top w:val="nil"/>
              <w:left w:val="nil"/>
              <w:bottom w:val="single" w:sz="4" w:space="0" w:color="auto"/>
              <w:right w:val="nil"/>
            </w:tcBorders>
            <w:shd w:val="clear" w:color="auto" w:fill="auto"/>
          </w:tcPr>
          <w:p w14:paraId="051344B1" w14:textId="77777777" w:rsidR="000128AE" w:rsidRPr="007E1C2B" w:rsidRDefault="000128AE" w:rsidP="002864C3">
            <w:pPr>
              <w:spacing w:after="0" w:line="276" w:lineRule="auto"/>
              <w:jc w:val="center"/>
              <w:rPr>
                <w:rFonts w:ascii="Times New Roman" w:eastAsia="Times New Roman" w:hAnsi="Times New Roman" w:cs="Times New Roman"/>
                <w:sz w:val="24"/>
                <w:szCs w:val="24"/>
                <w:lang w:eastAsia="tr-TR"/>
              </w:rPr>
            </w:pPr>
            <w:r w:rsidRPr="0032506F">
              <w:rPr>
                <w:rFonts w:ascii="Times New Roman" w:eastAsia="Times New Roman" w:hAnsi="Times New Roman" w:cs="Times New Roman"/>
                <w:sz w:val="24"/>
                <w:szCs w:val="24"/>
                <w:lang w:eastAsia="tr-TR"/>
              </w:rPr>
              <w:t xml:space="preserve">   .001</w:t>
            </w:r>
          </w:p>
        </w:tc>
      </w:tr>
    </w:tbl>
    <w:p w14:paraId="3B32089B" w14:textId="77777777" w:rsidR="000128AE" w:rsidRPr="00A6523C" w:rsidRDefault="000128AE" w:rsidP="000128AE">
      <w:pPr>
        <w:rPr>
          <w:rFonts w:ascii="Times New Roman" w:hAnsi="Times New Roman" w:cs="Times New Roman"/>
          <w:sz w:val="24"/>
          <w:szCs w:val="24"/>
        </w:rPr>
      </w:pPr>
    </w:p>
    <w:p w14:paraId="5E129629" w14:textId="3EA0C5A4" w:rsidR="000128AE" w:rsidRDefault="000128AE" w:rsidP="00EA3DB2">
      <w:pPr>
        <w:spacing w:after="0" w:line="480" w:lineRule="auto"/>
        <w:rPr>
          <w:rFonts w:ascii="Times New Roman" w:eastAsia="SimSun" w:hAnsi="Times New Roman" w:cs="Times New Roman"/>
          <w:b/>
          <w:bCs/>
          <w:sz w:val="24"/>
          <w:szCs w:val="24"/>
        </w:rPr>
        <w:sectPr w:rsidR="000128AE" w:rsidSect="003F7AC0">
          <w:pgSz w:w="12240" w:h="15840"/>
          <w:pgMar w:top="1440" w:right="1440" w:bottom="1440" w:left="1440" w:header="720" w:footer="720" w:gutter="0"/>
          <w:cols w:space="720"/>
          <w:docGrid w:linePitch="360"/>
        </w:sectPr>
      </w:pPr>
    </w:p>
    <w:p w14:paraId="0A179E3B" w14:textId="154D1C6F" w:rsidR="00570C0E" w:rsidRPr="0032506F" w:rsidRDefault="00570C0E" w:rsidP="00570C0E">
      <w:pPr>
        <w:pStyle w:val="Heading2"/>
      </w:pPr>
      <w:bookmarkStart w:id="235" w:name="_Appendix_O_Final"/>
      <w:bookmarkStart w:id="236" w:name="_Toc102489493"/>
      <w:bookmarkEnd w:id="235"/>
      <w:r w:rsidRPr="0032506F">
        <w:lastRenderedPageBreak/>
        <w:t xml:space="preserve">Appendix </w:t>
      </w:r>
      <w:r>
        <w:t>O</w:t>
      </w:r>
      <w:r w:rsidRPr="0032506F">
        <w:t xml:space="preserve"> </w:t>
      </w:r>
      <w:r w:rsidRPr="0032506F">
        <w:rPr>
          <w:rFonts w:eastAsia="SimSun"/>
        </w:rPr>
        <w:t>Final Version of the OEHE (20 Items) (N=235</w:t>
      </w:r>
      <w:r w:rsidRPr="0032506F">
        <w:rPr>
          <w:rFonts w:eastAsia="SimSun"/>
          <w:i/>
          <w:iCs/>
        </w:rPr>
        <w:t>)</w:t>
      </w:r>
      <w:bookmarkEnd w:id="236"/>
    </w:p>
    <w:tbl>
      <w:tblPr>
        <w:tblStyle w:val="TableGrid1"/>
        <w:tblW w:w="4851" w:type="pct"/>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1"/>
        <w:gridCol w:w="6658"/>
        <w:gridCol w:w="723"/>
        <w:gridCol w:w="799"/>
      </w:tblGrid>
      <w:tr w:rsidR="00570C0E" w:rsidRPr="0032506F" w14:paraId="445E7BB9" w14:textId="77777777" w:rsidTr="002864C3">
        <w:trPr>
          <w:trHeight w:val="350"/>
        </w:trPr>
        <w:tc>
          <w:tcPr>
            <w:tcW w:w="496" w:type="pct"/>
            <w:tcBorders>
              <w:top w:val="single" w:sz="4" w:space="0" w:color="auto"/>
              <w:bottom w:val="single" w:sz="4" w:space="0" w:color="auto"/>
            </w:tcBorders>
          </w:tcPr>
          <w:p w14:paraId="471DF029" w14:textId="77777777" w:rsidR="00570C0E" w:rsidRPr="0032506F" w:rsidRDefault="00570C0E" w:rsidP="002864C3">
            <w:pPr>
              <w:jc w:val="center"/>
              <w:rPr>
                <w:rFonts w:ascii="Times New Roman" w:eastAsia="Times New Roman" w:hAnsi="Times New Roman" w:cs="Times New Roman"/>
                <w:b/>
                <w:bCs/>
              </w:rPr>
            </w:pPr>
            <w:r w:rsidRPr="0032506F">
              <w:rPr>
                <w:rFonts w:ascii="Times New Roman" w:eastAsia="Times New Roman" w:hAnsi="Times New Roman" w:cs="Times New Roman"/>
              </w:rPr>
              <w:t>Item Code</w:t>
            </w:r>
          </w:p>
        </w:tc>
        <w:tc>
          <w:tcPr>
            <w:tcW w:w="3666" w:type="pct"/>
            <w:tcBorders>
              <w:top w:val="single" w:sz="4" w:space="0" w:color="auto"/>
              <w:bottom w:val="single" w:sz="4" w:space="0" w:color="auto"/>
            </w:tcBorders>
          </w:tcPr>
          <w:p w14:paraId="62932D9C" w14:textId="77777777" w:rsidR="00570C0E" w:rsidRPr="0032506F" w:rsidRDefault="00570C0E" w:rsidP="002864C3">
            <w:pPr>
              <w:jc w:val="center"/>
              <w:rPr>
                <w:rFonts w:ascii="Times New Roman" w:eastAsia="Times New Roman" w:hAnsi="Times New Roman" w:cs="Times New Roman"/>
              </w:rPr>
            </w:pPr>
            <w:r w:rsidRPr="0032506F">
              <w:rPr>
                <w:rFonts w:ascii="Times New Roman" w:eastAsia="Times New Roman" w:hAnsi="Times New Roman" w:cs="Times New Roman"/>
              </w:rPr>
              <w:t>Item Content</w:t>
            </w:r>
          </w:p>
        </w:tc>
        <w:tc>
          <w:tcPr>
            <w:tcW w:w="398" w:type="pct"/>
            <w:tcBorders>
              <w:top w:val="single" w:sz="4" w:space="0" w:color="auto"/>
              <w:bottom w:val="single" w:sz="4" w:space="0" w:color="auto"/>
            </w:tcBorders>
          </w:tcPr>
          <w:p w14:paraId="434995E9" w14:textId="77777777" w:rsidR="00570C0E" w:rsidRPr="0032506F" w:rsidRDefault="00570C0E" w:rsidP="002864C3">
            <w:pPr>
              <w:jc w:val="center"/>
              <w:rPr>
                <w:rFonts w:ascii="Times New Roman" w:eastAsia="Times New Roman" w:hAnsi="Times New Roman" w:cs="Times New Roman"/>
              </w:rPr>
            </w:pPr>
            <w:r w:rsidRPr="0032506F">
              <w:rPr>
                <w:rFonts w:ascii="Times New Roman" w:eastAsia="Times New Roman" w:hAnsi="Times New Roman" w:cs="Times New Roman"/>
              </w:rPr>
              <w:t>Mean</w:t>
            </w:r>
          </w:p>
        </w:tc>
        <w:tc>
          <w:tcPr>
            <w:tcW w:w="440" w:type="pct"/>
            <w:tcBorders>
              <w:top w:val="single" w:sz="4" w:space="0" w:color="auto"/>
              <w:bottom w:val="single" w:sz="4" w:space="0" w:color="auto"/>
            </w:tcBorders>
          </w:tcPr>
          <w:p w14:paraId="7908D61F" w14:textId="77777777" w:rsidR="00570C0E" w:rsidRPr="0032506F" w:rsidRDefault="00570C0E" w:rsidP="002864C3">
            <w:pPr>
              <w:jc w:val="center"/>
              <w:rPr>
                <w:rFonts w:ascii="Times New Roman" w:eastAsia="Times New Roman" w:hAnsi="Times New Roman" w:cs="Times New Roman"/>
              </w:rPr>
            </w:pPr>
            <w:r w:rsidRPr="0032506F">
              <w:rPr>
                <w:rFonts w:ascii="Times New Roman" w:eastAsia="Times New Roman" w:hAnsi="Times New Roman" w:cs="Times New Roman"/>
              </w:rPr>
              <w:t>SD</w:t>
            </w:r>
          </w:p>
          <w:p w14:paraId="630B523B" w14:textId="77777777" w:rsidR="00570C0E" w:rsidRPr="0032506F" w:rsidRDefault="00570C0E" w:rsidP="002864C3">
            <w:pPr>
              <w:jc w:val="center"/>
              <w:rPr>
                <w:rFonts w:ascii="Times New Roman" w:eastAsia="Times New Roman" w:hAnsi="Times New Roman" w:cs="Times New Roman"/>
              </w:rPr>
            </w:pPr>
          </w:p>
        </w:tc>
      </w:tr>
      <w:tr w:rsidR="00570C0E" w:rsidRPr="0032506F" w14:paraId="3B9B784A" w14:textId="77777777" w:rsidTr="002864C3">
        <w:trPr>
          <w:trHeight w:val="44"/>
        </w:trPr>
        <w:tc>
          <w:tcPr>
            <w:tcW w:w="496" w:type="pct"/>
            <w:tcBorders>
              <w:top w:val="single" w:sz="4" w:space="0" w:color="auto"/>
            </w:tcBorders>
          </w:tcPr>
          <w:p w14:paraId="77BD3D53" w14:textId="77777777" w:rsidR="00570C0E" w:rsidRPr="0032506F" w:rsidRDefault="00570C0E" w:rsidP="002864C3">
            <w:pPr>
              <w:spacing w:line="276" w:lineRule="auto"/>
              <w:rPr>
                <w:rFonts w:ascii="Times New Roman" w:eastAsia="Times New Roman" w:hAnsi="Times New Roman" w:cs="Times New Roman"/>
              </w:rPr>
            </w:pPr>
            <w:r w:rsidRPr="0032506F">
              <w:rPr>
                <w:rFonts w:ascii="Times New Roman" w:eastAsia="Times New Roman" w:hAnsi="Times New Roman" w:cs="Times New Roman"/>
              </w:rPr>
              <w:t>OBE3</w:t>
            </w:r>
          </w:p>
        </w:tc>
        <w:tc>
          <w:tcPr>
            <w:tcW w:w="3666" w:type="pct"/>
            <w:tcBorders>
              <w:top w:val="single" w:sz="4" w:space="0" w:color="auto"/>
            </w:tcBorders>
          </w:tcPr>
          <w:p w14:paraId="31E6802E" w14:textId="77777777" w:rsidR="00570C0E" w:rsidRPr="0032506F" w:rsidRDefault="00570C0E" w:rsidP="002864C3">
            <w:pPr>
              <w:spacing w:line="276" w:lineRule="auto"/>
              <w:rPr>
                <w:rFonts w:ascii="Times New Roman" w:eastAsia="Times New Roman" w:hAnsi="Times New Roman" w:cs="Times New Roman"/>
                <w:b/>
                <w:bCs/>
              </w:rPr>
            </w:pPr>
            <w:r w:rsidRPr="0032506F">
              <w:rPr>
                <w:rFonts w:ascii="Times New Roman" w:eastAsia="Times New Roman" w:hAnsi="Times New Roman" w:cs="Times New Roman"/>
              </w:rPr>
              <w:t>I read my peers’ posts during online discussions on the discussion board.</w:t>
            </w:r>
          </w:p>
        </w:tc>
        <w:tc>
          <w:tcPr>
            <w:tcW w:w="398" w:type="pct"/>
            <w:tcBorders>
              <w:top w:val="single" w:sz="4" w:space="0" w:color="auto"/>
            </w:tcBorders>
          </w:tcPr>
          <w:p w14:paraId="72D03542" w14:textId="77777777" w:rsidR="00570C0E" w:rsidRPr="0032506F" w:rsidRDefault="00570C0E" w:rsidP="002864C3">
            <w:pPr>
              <w:spacing w:line="276" w:lineRule="auto"/>
              <w:rPr>
                <w:rFonts w:ascii="Times New Roman" w:eastAsia="Times New Roman" w:hAnsi="Times New Roman" w:cs="Times New Roman"/>
                <w:b/>
                <w:bCs/>
              </w:rPr>
            </w:pPr>
            <w:r w:rsidRPr="0032506F">
              <w:rPr>
                <w:rFonts w:ascii="Times New Roman" w:eastAsia="Times New Roman" w:hAnsi="Times New Roman" w:cs="Times New Roman"/>
              </w:rPr>
              <w:t>4.12</w:t>
            </w:r>
          </w:p>
        </w:tc>
        <w:tc>
          <w:tcPr>
            <w:tcW w:w="440" w:type="pct"/>
            <w:tcBorders>
              <w:top w:val="single" w:sz="4" w:space="0" w:color="auto"/>
            </w:tcBorders>
          </w:tcPr>
          <w:p w14:paraId="389808EF"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  .881</w:t>
            </w:r>
          </w:p>
        </w:tc>
      </w:tr>
      <w:tr w:rsidR="00570C0E" w:rsidRPr="0032506F" w14:paraId="52F8447A" w14:textId="77777777" w:rsidTr="002864C3">
        <w:trPr>
          <w:trHeight w:val="486"/>
        </w:trPr>
        <w:tc>
          <w:tcPr>
            <w:tcW w:w="496" w:type="pct"/>
          </w:tcPr>
          <w:p w14:paraId="566282F4"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OBE4</w:t>
            </w:r>
          </w:p>
        </w:tc>
        <w:tc>
          <w:tcPr>
            <w:tcW w:w="3666" w:type="pct"/>
          </w:tcPr>
          <w:p w14:paraId="1C469CD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respond to the instructor when he/she leaves a comment/question on my posts during online discussions on the discussion board.</w:t>
            </w:r>
          </w:p>
        </w:tc>
        <w:tc>
          <w:tcPr>
            <w:tcW w:w="398" w:type="pct"/>
          </w:tcPr>
          <w:p w14:paraId="5BFBA18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3.47</w:t>
            </w:r>
          </w:p>
        </w:tc>
        <w:tc>
          <w:tcPr>
            <w:tcW w:w="440" w:type="pct"/>
          </w:tcPr>
          <w:p w14:paraId="5F714F9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1.412</w:t>
            </w:r>
          </w:p>
          <w:p w14:paraId="19079553" w14:textId="77777777" w:rsidR="00570C0E" w:rsidRPr="0032506F" w:rsidRDefault="00570C0E" w:rsidP="002864C3">
            <w:pPr>
              <w:rPr>
                <w:rFonts w:ascii="Times New Roman" w:eastAsia="Times New Roman" w:hAnsi="Times New Roman" w:cs="Times New Roman"/>
              </w:rPr>
            </w:pPr>
          </w:p>
        </w:tc>
      </w:tr>
      <w:tr w:rsidR="00570C0E" w:rsidRPr="0032506F" w14:paraId="7B501728" w14:textId="77777777" w:rsidTr="002864C3">
        <w:trPr>
          <w:trHeight w:val="783"/>
        </w:trPr>
        <w:tc>
          <w:tcPr>
            <w:tcW w:w="496" w:type="pct"/>
          </w:tcPr>
          <w:p w14:paraId="1967E66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OBE6</w:t>
            </w:r>
          </w:p>
        </w:tc>
        <w:tc>
          <w:tcPr>
            <w:tcW w:w="3666" w:type="pct"/>
          </w:tcPr>
          <w:p w14:paraId="41FF7881"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participate in content-related dialogues with the course instructor when he/she leaves a comment/question on my posts during online discussions on the discussion board.</w:t>
            </w:r>
          </w:p>
        </w:tc>
        <w:tc>
          <w:tcPr>
            <w:tcW w:w="398" w:type="pct"/>
          </w:tcPr>
          <w:p w14:paraId="00BEBA58"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3.47         </w:t>
            </w:r>
          </w:p>
        </w:tc>
        <w:tc>
          <w:tcPr>
            <w:tcW w:w="440" w:type="pct"/>
          </w:tcPr>
          <w:p w14:paraId="2FFF6E6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1.375</w:t>
            </w:r>
          </w:p>
          <w:p w14:paraId="753B343E" w14:textId="77777777" w:rsidR="00570C0E" w:rsidRPr="0032506F" w:rsidRDefault="00570C0E" w:rsidP="002864C3">
            <w:pPr>
              <w:rPr>
                <w:rFonts w:ascii="Times New Roman" w:eastAsia="Times New Roman" w:hAnsi="Times New Roman" w:cs="Times New Roman"/>
              </w:rPr>
            </w:pPr>
          </w:p>
        </w:tc>
      </w:tr>
      <w:tr w:rsidR="00570C0E" w:rsidRPr="0032506F" w14:paraId="197FC36F" w14:textId="77777777" w:rsidTr="002864C3">
        <w:trPr>
          <w:trHeight w:val="486"/>
        </w:trPr>
        <w:tc>
          <w:tcPr>
            <w:tcW w:w="496" w:type="pct"/>
          </w:tcPr>
          <w:p w14:paraId="4A95600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OBE7</w:t>
            </w:r>
          </w:p>
        </w:tc>
        <w:tc>
          <w:tcPr>
            <w:tcW w:w="3666" w:type="pct"/>
          </w:tcPr>
          <w:p w14:paraId="5F91C82E"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participate in content-related dialogues with my peers during online discussions on the discussion board.</w:t>
            </w:r>
          </w:p>
        </w:tc>
        <w:tc>
          <w:tcPr>
            <w:tcW w:w="398" w:type="pct"/>
          </w:tcPr>
          <w:p w14:paraId="76B96C2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3.97</w:t>
            </w:r>
          </w:p>
          <w:p w14:paraId="4277973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         </w:t>
            </w:r>
          </w:p>
        </w:tc>
        <w:tc>
          <w:tcPr>
            <w:tcW w:w="440" w:type="pct"/>
          </w:tcPr>
          <w:p w14:paraId="00F03076"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1.066</w:t>
            </w:r>
          </w:p>
        </w:tc>
      </w:tr>
      <w:tr w:rsidR="00570C0E" w:rsidRPr="0032506F" w14:paraId="3426DD62" w14:textId="77777777" w:rsidTr="002864C3">
        <w:trPr>
          <w:trHeight w:val="216"/>
        </w:trPr>
        <w:tc>
          <w:tcPr>
            <w:tcW w:w="496" w:type="pct"/>
          </w:tcPr>
          <w:p w14:paraId="55794560"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OEE1</w:t>
            </w:r>
          </w:p>
        </w:tc>
        <w:tc>
          <w:tcPr>
            <w:tcW w:w="3666" w:type="pct"/>
          </w:tcPr>
          <w:p w14:paraId="2867673B" w14:textId="77777777" w:rsidR="00570C0E" w:rsidRPr="0032506F" w:rsidRDefault="00570C0E" w:rsidP="002864C3">
            <w:pPr>
              <w:ind w:hanging="13"/>
              <w:rPr>
                <w:rFonts w:ascii="Times New Roman" w:eastAsia="Times New Roman" w:hAnsi="Times New Roman" w:cs="Times New Roman"/>
              </w:rPr>
            </w:pPr>
            <w:r w:rsidRPr="0032506F">
              <w:rPr>
                <w:rFonts w:ascii="Times New Roman" w:eastAsia="Times New Roman" w:hAnsi="Times New Roman" w:cs="Times New Roman"/>
              </w:rPr>
              <w:t>I enjoy discussing course concepts/issues/ideas with my peers during online discussions on the discussion board.</w:t>
            </w:r>
          </w:p>
        </w:tc>
        <w:tc>
          <w:tcPr>
            <w:tcW w:w="398" w:type="pct"/>
          </w:tcPr>
          <w:p w14:paraId="21EFFB15"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3.60</w:t>
            </w:r>
          </w:p>
          <w:p w14:paraId="0E801465" w14:textId="77777777" w:rsidR="00570C0E" w:rsidRPr="0032506F" w:rsidRDefault="00570C0E" w:rsidP="002864C3">
            <w:pPr>
              <w:rPr>
                <w:rFonts w:ascii="Times New Roman" w:eastAsia="Times New Roman" w:hAnsi="Times New Roman" w:cs="Times New Roman"/>
              </w:rPr>
            </w:pPr>
          </w:p>
        </w:tc>
        <w:tc>
          <w:tcPr>
            <w:tcW w:w="440" w:type="pct"/>
          </w:tcPr>
          <w:p w14:paraId="629B3045"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1.017</w:t>
            </w:r>
          </w:p>
          <w:p w14:paraId="7697AF24" w14:textId="77777777" w:rsidR="00570C0E" w:rsidRPr="0032506F" w:rsidRDefault="00570C0E" w:rsidP="002864C3">
            <w:pPr>
              <w:rPr>
                <w:rFonts w:ascii="Times New Roman" w:eastAsia="Times New Roman" w:hAnsi="Times New Roman" w:cs="Times New Roman"/>
              </w:rPr>
            </w:pPr>
          </w:p>
        </w:tc>
      </w:tr>
      <w:tr w:rsidR="00570C0E" w:rsidRPr="0032506F" w14:paraId="454CDC40" w14:textId="77777777" w:rsidTr="002864C3">
        <w:trPr>
          <w:trHeight w:val="549"/>
        </w:trPr>
        <w:tc>
          <w:tcPr>
            <w:tcW w:w="496" w:type="pct"/>
          </w:tcPr>
          <w:p w14:paraId="5207C241"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OEE2</w:t>
            </w:r>
          </w:p>
        </w:tc>
        <w:tc>
          <w:tcPr>
            <w:tcW w:w="3666" w:type="pct"/>
          </w:tcPr>
          <w:p w14:paraId="0EB426A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Reading my peers' posts during online discussions on the   discussion board is enjoyable to me.</w:t>
            </w:r>
          </w:p>
        </w:tc>
        <w:tc>
          <w:tcPr>
            <w:tcW w:w="398" w:type="pct"/>
          </w:tcPr>
          <w:p w14:paraId="303BDC3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3.40</w:t>
            </w:r>
          </w:p>
        </w:tc>
        <w:tc>
          <w:tcPr>
            <w:tcW w:w="440" w:type="pct"/>
          </w:tcPr>
          <w:p w14:paraId="037BF403"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1.022</w:t>
            </w:r>
          </w:p>
        </w:tc>
      </w:tr>
      <w:tr w:rsidR="00570C0E" w:rsidRPr="0032506F" w14:paraId="2809A73D" w14:textId="77777777" w:rsidTr="002864C3">
        <w:trPr>
          <w:trHeight w:val="540"/>
        </w:trPr>
        <w:tc>
          <w:tcPr>
            <w:tcW w:w="496" w:type="pct"/>
          </w:tcPr>
          <w:p w14:paraId="30AA4FD4"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OEE3</w:t>
            </w:r>
          </w:p>
        </w:tc>
        <w:tc>
          <w:tcPr>
            <w:tcW w:w="3666" w:type="pct"/>
          </w:tcPr>
          <w:p w14:paraId="10C543E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enjoy reading the instructor’s comment/question posts in online discussions on the discussion board.</w:t>
            </w:r>
          </w:p>
        </w:tc>
        <w:tc>
          <w:tcPr>
            <w:tcW w:w="398" w:type="pct"/>
          </w:tcPr>
          <w:p w14:paraId="7ACB6848"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3.83</w:t>
            </w:r>
          </w:p>
        </w:tc>
        <w:tc>
          <w:tcPr>
            <w:tcW w:w="440" w:type="pct"/>
          </w:tcPr>
          <w:p w14:paraId="686C9128"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1.012</w:t>
            </w:r>
          </w:p>
        </w:tc>
      </w:tr>
      <w:tr w:rsidR="00570C0E" w:rsidRPr="0032506F" w14:paraId="063E53AB" w14:textId="77777777" w:rsidTr="002864C3">
        <w:trPr>
          <w:trHeight w:val="441"/>
        </w:trPr>
        <w:tc>
          <w:tcPr>
            <w:tcW w:w="496" w:type="pct"/>
          </w:tcPr>
          <w:p w14:paraId="1561A4B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OEE5</w:t>
            </w:r>
          </w:p>
        </w:tc>
        <w:tc>
          <w:tcPr>
            <w:tcW w:w="3666" w:type="pct"/>
          </w:tcPr>
          <w:p w14:paraId="5DF95E0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enjoy contributing to the development of peer dialogues in online discussions on the discussion board.</w:t>
            </w:r>
          </w:p>
        </w:tc>
        <w:tc>
          <w:tcPr>
            <w:tcW w:w="398" w:type="pct"/>
          </w:tcPr>
          <w:p w14:paraId="4299AA1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3.77</w:t>
            </w:r>
          </w:p>
        </w:tc>
        <w:tc>
          <w:tcPr>
            <w:tcW w:w="440" w:type="pct"/>
          </w:tcPr>
          <w:p w14:paraId="1C1FAD0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.978</w:t>
            </w:r>
          </w:p>
        </w:tc>
      </w:tr>
      <w:tr w:rsidR="00570C0E" w:rsidRPr="0032506F" w14:paraId="22355E15" w14:textId="77777777" w:rsidTr="002864C3">
        <w:trPr>
          <w:trHeight w:val="522"/>
        </w:trPr>
        <w:tc>
          <w:tcPr>
            <w:tcW w:w="496" w:type="pct"/>
          </w:tcPr>
          <w:p w14:paraId="201C845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OEE6</w:t>
            </w:r>
          </w:p>
        </w:tc>
        <w:tc>
          <w:tcPr>
            <w:tcW w:w="3666" w:type="pct"/>
          </w:tcPr>
          <w:p w14:paraId="010DC07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feel curious about my peers' perspectives/experiences in each online discussion on the discussion board.</w:t>
            </w:r>
          </w:p>
        </w:tc>
        <w:tc>
          <w:tcPr>
            <w:tcW w:w="398" w:type="pct"/>
          </w:tcPr>
          <w:p w14:paraId="079C89C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3.89</w:t>
            </w:r>
          </w:p>
        </w:tc>
        <w:tc>
          <w:tcPr>
            <w:tcW w:w="440" w:type="pct"/>
          </w:tcPr>
          <w:p w14:paraId="1B5EE2F4"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 .952</w:t>
            </w:r>
          </w:p>
        </w:tc>
      </w:tr>
      <w:tr w:rsidR="00570C0E" w:rsidRPr="0032506F" w14:paraId="517C9C4F" w14:textId="77777777" w:rsidTr="002864C3">
        <w:trPr>
          <w:trHeight w:val="423"/>
        </w:trPr>
        <w:tc>
          <w:tcPr>
            <w:tcW w:w="496" w:type="pct"/>
          </w:tcPr>
          <w:p w14:paraId="746706A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OEE7</w:t>
            </w:r>
          </w:p>
        </w:tc>
        <w:tc>
          <w:tcPr>
            <w:tcW w:w="3666" w:type="pct"/>
          </w:tcPr>
          <w:p w14:paraId="2F76637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enjoy sharing my responses to the instructor's discussion prompts/discussion questions during online discussions on the discussion board.</w:t>
            </w:r>
          </w:p>
        </w:tc>
        <w:tc>
          <w:tcPr>
            <w:tcW w:w="398" w:type="pct"/>
          </w:tcPr>
          <w:p w14:paraId="6BD35A3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3.60</w:t>
            </w:r>
          </w:p>
        </w:tc>
        <w:tc>
          <w:tcPr>
            <w:tcW w:w="440" w:type="pct"/>
          </w:tcPr>
          <w:p w14:paraId="26381B50"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1.091</w:t>
            </w:r>
          </w:p>
        </w:tc>
      </w:tr>
      <w:tr w:rsidR="00570C0E" w:rsidRPr="0032506F" w14:paraId="0E77BBD7" w14:textId="77777777" w:rsidTr="002864C3">
        <w:trPr>
          <w:trHeight w:val="405"/>
        </w:trPr>
        <w:tc>
          <w:tcPr>
            <w:tcW w:w="496" w:type="pct"/>
          </w:tcPr>
          <w:p w14:paraId="34857125"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OEE8</w:t>
            </w:r>
          </w:p>
        </w:tc>
        <w:tc>
          <w:tcPr>
            <w:tcW w:w="3666" w:type="pct"/>
          </w:tcPr>
          <w:p w14:paraId="7E52683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enjoy sharing my perspectives/experiences with my peers during online discussions on the discussion board.</w:t>
            </w:r>
          </w:p>
        </w:tc>
        <w:tc>
          <w:tcPr>
            <w:tcW w:w="398" w:type="pct"/>
          </w:tcPr>
          <w:p w14:paraId="3A75D72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3.76</w:t>
            </w:r>
          </w:p>
        </w:tc>
        <w:tc>
          <w:tcPr>
            <w:tcW w:w="440" w:type="pct"/>
          </w:tcPr>
          <w:p w14:paraId="55CC020E"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 .927</w:t>
            </w:r>
          </w:p>
        </w:tc>
      </w:tr>
      <w:tr w:rsidR="00570C0E" w:rsidRPr="0032506F" w14:paraId="22BBFAAB" w14:textId="77777777" w:rsidTr="002864C3">
        <w:trPr>
          <w:trHeight w:val="396"/>
        </w:trPr>
        <w:tc>
          <w:tcPr>
            <w:tcW w:w="496" w:type="pct"/>
          </w:tcPr>
          <w:p w14:paraId="226DD80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OCE6</w:t>
            </w:r>
          </w:p>
        </w:tc>
        <w:tc>
          <w:tcPr>
            <w:tcW w:w="3666" w:type="pct"/>
          </w:tcPr>
          <w:p w14:paraId="6B059C3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explain the course concepts/ideas/issues in depth during online discussions on the discussion board.</w:t>
            </w:r>
          </w:p>
        </w:tc>
        <w:tc>
          <w:tcPr>
            <w:tcW w:w="398" w:type="pct"/>
          </w:tcPr>
          <w:p w14:paraId="51461C94"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4.30</w:t>
            </w:r>
          </w:p>
        </w:tc>
        <w:tc>
          <w:tcPr>
            <w:tcW w:w="440" w:type="pct"/>
          </w:tcPr>
          <w:p w14:paraId="09C341B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 xml:space="preserve"> .755</w:t>
            </w:r>
          </w:p>
        </w:tc>
      </w:tr>
      <w:tr w:rsidR="00570C0E" w:rsidRPr="0032506F" w14:paraId="70951F6B" w14:textId="77777777" w:rsidTr="002864C3">
        <w:trPr>
          <w:trHeight w:val="207"/>
        </w:trPr>
        <w:tc>
          <w:tcPr>
            <w:tcW w:w="496" w:type="pct"/>
          </w:tcPr>
          <w:p w14:paraId="208C4405"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OCE7</w:t>
            </w:r>
          </w:p>
        </w:tc>
        <w:tc>
          <w:tcPr>
            <w:tcW w:w="3666" w:type="pct"/>
          </w:tcPr>
          <w:p w14:paraId="401A3BBF"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relate the content of this online course to my prior knowledge.</w:t>
            </w:r>
          </w:p>
        </w:tc>
        <w:tc>
          <w:tcPr>
            <w:tcW w:w="398" w:type="pct"/>
          </w:tcPr>
          <w:p w14:paraId="4972F69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4.48</w:t>
            </w:r>
          </w:p>
        </w:tc>
        <w:tc>
          <w:tcPr>
            <w:tcW w:w="440" w:type="pct"/>
          </w:tcPr>
          <w:p w14:paraId="5A6BB1E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.629</w:t>
            </w:r>
          </w:p>
        </w:tc>
      </w:tr>
      <w:tr w:rsidR="00570C0E" w:rsidRPr="0032506F" w14:paraId="08C8D167" w14:textId="77777777" w:rsidTr="002864C3">
        <w:trPr>
          <w:trHeight w:val="279"/>
        </w:trPr>
        <w:tc>
          <w:tcPr>
            <w:tcW w:w="496" w:type="pct"/>
          </w:tcPr>
          <w:p w14:paraId="23E33BA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OCE8</w:t>
            </w:r>
          </w:p>
        </w:tc>
        <w:tc>
          <w:tcPr>
            <w:tcW w:w="3666" w:type="pct"/>
          </w:tcPr>
          <w:p w14:paraId="5F74C2E5"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relate the content of this online course to my own experiences.</w:t>
            </w:r>
          </w:p>
        </w:tc>
        <w:tc>
          <w:tcPr>
            <w:tcW w:w="398" w:type="pct"/>
          </w:tcPr>
          <w:p w14:paraId="1D65B8B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4.50</w:t>
            </w:r>
          </w:p>
        </w:tc>
        <w:tc>
          <w:tcPr>
            <w:tcW w:w="440" w:type="pct"/>
          </w:tcPr>
          <w:p w14:paraId="626CF390"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.643</w:t>
            </w:r>
          </w:p>
        </w:tc>
      </w:tr>
      <w:tr w:rsidR="00570C0E" w:rsidRPr="0032506F" w14:paraId="0A4ED5D8" w14:textId="77777777" w:rsidTr="002864C3">
        <w:trPr>
          <w:trHeight w:val="189"/>
        </w:trPr>
        <w:tc>
          <w:tcPr>
            <w:tcW w:w="496" w:type="pct"/>
          </w:tcPr>
          <w:p w14:paraId="1B161A16"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OCE13</w:t>
            </w:r>
          </w:p>
        </w:tc>
        <w:tc>
          <w:tcPr>
            <w:tcW w:w="3666" w:type="pct"/>
          </w:tcPr>
          <w:p w14:paraId="39F3844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reflect on my own understanding of the concepts/ideas/issues in this online course.</w:t>
            </w:r>
          </w:p>
        </w:tc>
        <w:tc>
          <w:tcPr>
            <w:tcW w:w="398" w:type="pct"/>
          </w:tcPr>
          <w:p w14:paraId="4E2659CE"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4.33</w:t>
            </w:r>
          </w:p>
        </w:tc>
        <w:tc>
          <w:tcPr>
            <w:tcW w:w="440" w:type="pct"/>
          </w:tcPr>
          <w:p w14:paraId="30500EA6"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.722</w:t>
            </w:r>
          </w:p>
        </w:tc>
      </w:tr>
      <w:tr w:rsidR="00570C0E" w:rsidRPr="0032506F" w14:paraId="25AFB026" w14:textId="77777777" w:rsidTr="002864C3">
        <w:trPr>
          <w:trHeight w:val="270"/>
        </w:trPr>
        <w:tc>
          <w:tcPr>
            <w:tcW w:w="496" w:type="pct"/>
          </w:tcPr>
          <w:p w14:paraId="0D6E634A"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OCE14</w:t>
            </w:r>
          </w:p>
        </w:tc>
        <w:tc>
          <w:tcPr>
            <w:tcW w:w="3666" w:type="pct"/>
          </w:tcPr>
          <w:p w14:paraId="5EE3BA9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comprehend the concepts/ideas/issues in this online course.</w:t>
            </w:r>
          </w:p>
        </w:tc>
        <w:tc>
          <w:tcPr>
            <w:tcW w:w="398" w:type="pct"/>
          </w:tcPr>
          <w:p w14:paraId="617B03B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4.59</w:t>
            </w:r>
          </w:p>
        </w:tc>
        <w:tc>
          <w:tcPr>
            <w:tcW w:w="440" w:type="pct"/>
          </w:tcPr>
          <w:p w14:paraId="474B0FF3"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.565</w:t>
            </w:r>
          </w:p>
        </w:tc>
      </w:tr>
      <w:tr w:rsidR="00570C0E" w:rsidRPr="0032506F" w14:paraId="12C035A2" w14:textId="77777777" w:rsidTr="002864C3">
        <w:trPr>
          <w:trHeight w:val="477"/>
        </w:trPr>
        <w:tc>
          <w:tcPr>
            <w:tcW w:w="496" w:type="pct"/>
          </w:tcPr>
          <w:p w14:paraId="6005779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OCE15</w:t>
            </w:r>
          </w:p>
        </w:tc>
        <w:tc>
          <w:tcPr>
            <w:tcW w:w="3666" w:type="pct"/>
          </w:tcPr>
          <w:p w14:paraId="4CCA0199"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understand diverse perspectives during online discussions on the discussion board.</w:t>
            </w:r>
          </w:p>
        </w:tc>
        <w:tc>
          <w:tcPr>
            <w:tcW w:w="398" w:type="pct"/>
          </w:tcPr>
          <w:p w14:paraId="7CAC1C53"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4.43</w:t>
            </w:r>
          </w:p>
        </w:tc>
        <w:tc>
          <w:tcPr>
            <w:tcW w:w="440" w:type="pct"/>
          </w:tcPr>
          <w:p w14:paraId="71C7A2DF"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.684</w:t>
            </w:r>
          </w:p>
        </w:tc>
      </w:tr>
      <w:tr w:rsidR="00570C0E" w:rsidRPr="0032506F" w14:paraId="7EA9BB88" w14:textId="77777777" w:rsidTr="002864C3">
        <w:trPr>
          <w:trHeight w:val="432"/>
        </w:trPr>
        <w:tc>
          <w:tcPr>
            <w:tcW w:w="496" w:type="pct"/>
          </w:tcPr>
          <w:p w14:paraId="72D63BA0"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OCE17</w:t>
            </w:r>
          </w:p>
        </w:tc>
        <w:tc>
          <w:tcPr>
            <w:tcW w:w="3666" w:type="pct"/>
          </w:tcPr>
          <w:p w14:paraId="1FBA56AC"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put forth effort to make connections between the   concepts/ideas/issues in this online course.</w:t>
            </w:r>
          </w:p>
        </w:tc>
        <w:tc>
          <w:tcPr>
            <w:tcW w:w="398" w:type="pct"/>
          </w:tcPr>
          <w:p w14:paraId="4A9BCD8A"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4.46</w:t>
            </w:r>
          </w:p>
        </w:tc>
        <w:tc>
          <w:tcPr>
            <w:tcW w:w="440" w:type="pct"/>
          </w:tcPr>
          <w:p w14:paraId="562904CB"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.600</w:t>
            </w:r>
          </w:p>
        </w:tc>
      </w:tr>
      <w:tr w:rsidR="00570C0E" w:rsidRPr="0032506F" w14:paraId="591DB870" w14:textId="77777777" w:rsidTr="002864C3">
        <w:trPr>
          <w:trHeight w:val="423"/>
        </w:trPr>
        <w:tc>
          <w:tcPr>
            <w:tcW w:w="496" w:type="pct"/>
          </w:tcPr>
          <w:p w14:paraId="508C3DC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OCE18</w:t>
            </w:r>
          </w:p>
        </w:tc>
        <w:tc>
          <w:tcPr>
            <w:tcW w:w="3666" w:type="pct"/>
          </w:tcPr>
          <w:p w14:paraId="2F2BC2CE"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try to create my own examples to better understand the concepts/ideas/issues being taught in this online course.</w:t>
            </w:r>
          </w:p>
        </w:tc>
        <w:tc>
          <w:tcPr>
            <w:tcW w:w="398" w:type="pct"/>
          </w:tcPr>
          <w:p w14:paraId="3CDD30CD"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4.28</w:t>
            </w:r>
          </w:p>
        </w:tc>
        <w:tc>
          <w:tcPr>
            <w:tcW w:w="440" w:type="pct"/>
          </w:tcPr>
          <w:p w14:paraId="0CA60BC2"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.726</w:t>
            </w:r>
          </w:p>
        </w:tc>
      </w:tr>
      <w:tr w:rsidR="00570C0E" w:rsidRPr="0032506F" w14:paraId="51B0D585" w14:textId="77777777" w:rsidTr="002864C3">
        <w:trPr>
          <w:trHeight w:val="495"/>
        </w:trPr>
        <w:tc>
          <w:tcPr>
            <w:tcW w:w="496" w:type="pct"/>
            <w:tcBorders>
              <w:bottom w:val="single" w:sz="4" w:space="0" w:color="auto"/>
            </w:tcBorders>
          </w:tcPr>
          <w:p w14:paraId="64398BE8"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OCE19</w:t>
            </w:r>
          </w:p>
        </w:tc>
        <w:tc>
          <w:tcPr>
            <w:tcW w:w="3666" w:type="pct"/>
            <w:tcBorders>
              <w:bottom w:val="single" w:sz="4" w:space="0" w:color="auto"/>
            </w:tcBorders>
          </w:tcPr>
          <w:p w14:paraId="0EB940B7"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I reflect on my understanding of the feedback that I get in this online course.</w:t>
            </w:r>
          </w:p>
        </w:tc>
        <w:tc>
          <w:tcPr>
            <w:tcW w:w="398" w:type="pct"/>
            <w:tcBorders>
              <w:bottom w:val="single" w:sz="4" w:space="0" w:color="auto"/>
            </w:tcBorders>
          </w:tcPr>
          <w:p w14:paraId="73F46280"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4.49</w:t>
            </w:r>
          </w:p>
        </w:tc>
        <w:tc>
          <w:tcPr>
            <w:tcW w:w="440" w:type="pct"/>
            <w:tcBorders>
              <w:bottom w:val="single" w:sz="4" w:space="0" w:color="auto"/>
            </w:tcBorders>
          </w:tcPr>
          <w:p w14:paraId="0173C748" w14:textId="77777777" w:rsidR="00570C0E" w:rsidRPr="0032506F" w:rsidRDefault="00570C0E" w:rsidP="002864C3">
            <w:pPr>
              <w:rPr>
                <w:rFonts w:ascii="Times New Roman" w:eastAsia="Times New Roman" w:hAnsi="Times New Roman" w:cs="Times New Roman"/>
              </w:rPr>
            </w:pPr>
            <w:r w:rsidRPr="0032506F">
              <w:rPr>
                <w:rFonts w:ascii="Times New Roman" w:eastAsia="Times New Roman" w:hAnsi="Times New Roman" w:cs="Times New Roman"/>
              </w:rPr>
              <w:t>.675</w:t>
            </w:r>
          </w:p>
        </w:tc>
      </w:tr>
    </w:tbl>
    <w:p w14:paraId="07FC2A49" w14:textId="77777777" w:rsidR="00570C0E" w:rsidRPr="0032506F" w:rsidRDefault="00570C0E" w:rsidP="00570C0E">
      <w:pPr>
        <w:spacing w:after="0" w:line="240" w:lineRule="auto"/>
        <w:rPr>
          <w:rFonts w:ascii="Times New Roman" w:hAnsi="Times New Roman" w:cs="Times New Roman"/>
          <w:szCs w:val="24"/>
        </w:rPr>
      </w:pPr>
      <w:r w:rsidRPr="0032506F">
        <w:rPr>
          <w:rFonts w:ascii="Times New Roman" w:hAnsi="Times New Roman" w:cs="Times New Roman"/>
          <w:i/>
          <w:szCs w:val="24"/>
        </w:rPr>
        <w:t>Note:</w:t>
      </w:r>
      <w:r w:rsidRPr="0032506F">
        <w:rPr>
          <w:rFonts w:ascii="Times New Roman" w:hAnsi="Times New Roman" w:cs="Times New Roman"/>
          <w:szCs w:val="24"/>
        </w:rPr>
        <w:t xml:space="preserve"> OBE=Online Behavioral Engagement, OEE=Online Emotional Engagement, OCE=Online Cognitive Engagement</w:t>
      </w:r>
    </w:p>
    <w:p w14:paraId="6FEEDEBA" w14:textId="77777777" w:rsidR="00570C0E" w:rsidRPr="0032506F" w:rsidRDefault="00570C0E" w:rsidP="00570C0E">
      <w:pPr>
        <w:spacing w:after="0" w:line="480" w:lineRule="auto"/>
        <w:rPr>
          <w:rFonts w:ascii="Times New Roman" w:hAnsi="Times New Roman"/>
          <w:color w:val="000000" w:themeColor="text1"/>
          <w:sz w:val="24"/>
          <w:szCs w:val="24"/>
        </w:rPr>
      </w:pPr>
      <w:r w:rsidRPr="0032506F">
        <w:rPr>
          <w:rFonts w:ascii="Times New Roman" w:hAnsi="Times New Roman"/>
          <w:color w:val="000000" w:themeColor="text1"/>
          <w:sz w:val="24"/>
          <w:szCs w:val="24"/>
        </w:rPr>
        <w:tab/>
      </w:r>
    </w:p>
    <w:bookmarkEnd w:id="234"/>
    <w:p w14:paraId="6A3DB8CC" w14:textId="63473843" w:rsidR="00EA3DB2" w:rsidRPr="00A6523C" w:rsidRDefault="00EA3DB2" w:rsidP="000128AE">
      <w:pPr>
        <w:spacing w:after="0" w:line="480" w:lineRule="auto"/>
        <w:rPr>
          <w:rFonts w:ascii="Times New Roman" w:hAnsi="Times New Roman" w:cs="Times New Roman"/>
          <w:sz w:val="24"/>
          <w:szCs w:val="24"/>
        </w:rPr>
      </w:pPr>
    </w:p>
    <w:sectPr w:rsidR="00EA3DB2" w:rsidRPr="00A6523C" w:rsidSect="003F7A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ABE14" w14:textId="77777777" w:rsidR="00F767C8" w:rsidRDefault="00F767C8" w:rsidP="00925C14">
      <w:pPr>
        <w:spacing w:after="0" w:line="240" w:lineRule="auto"/>
      </w:pPr>
      <w:r>
        <w:separator/>
      </w:r>
    </w:p>
  </w:endnote>
  <w:endnote w:type="continuationSeparator" w:id="0">
    <w:p w14:paraId="604FE28C" w14:textId="77777777" w:rsidR="00F767C8" w:rsidRDefault="00F767C8" w:rsidP="00925C14">
      <w:pPr>
        <w:spacing w:after="0" w:line="240" w:lineRule="auto"/>
      </w:pPr>
      <w:r>
        <w:continuationSeparator/>
      </w:r>
    </w:p>
  </w:endnote>
  <w:endnote w:type="continuationNotice" w:id="1">
    <w:p w14:paraId="368CABE2" w14:textId="77777777" w:rsidR="00F767C8" w:rsidRDefault="00F767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Times New Roman"/>
    <w:charset w:val="00"/>
    <w:family w:val="roman"/>
    <w:pitch w:val="default"/>
    <w:sig w:usb0="00000003" w:usb1="00000000" w:usb2="00000000" w:usb3="00000000" w:csb0="00000001" w:csb1="00000000"/>
  </w:font>
  <w:font w:name="GFSNeohellenic-Regular">
    <w:altName w:val="Calibri"/>
    <w:charset w:val="A1"/>
    <w:family w:val="swiss"/>
    <w:pitch w:val="default"/>
    <w:sig w:usb0="00000081" w:usb1="00000000" w:usb2="00000000" w:usb3="00000000" w:csb0="00000008" w:csb1="00000000"/>
  </w:font>
  <w:font w:name="AdvPTimes">
    <w:altName w:val="Cambria"/>
    <w:charset w:val="00"/>
    <w:family w:val="roman"/>
    <w:pitch w:val="default"/>
    <w:sig w:usb0="00000003" w:usb1="00000000" w:usb2="00000000" w:usb3="00000000" w:csb0="00000001" w:csb1="00000000"/>
  </w:font>
  <w:font w:name="AdvEPSTIM">
    <w:altName w:val="Calibri"/>
    <w:charset w:val="00"/>
    <w:family w:val="auto"/>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B2FBE" w14:textId="50CDA7B2" w:rsidR="00905C3F" w:rsidRDefault="00905C3F">
    <w:pPr>
      <w:pStyle w:val="Footer"/>
      <w:jc w:val="right"/>
    </w:pPr>
  </w:p>
  <w:p w14:paraId="000D412F" w14:textId="77777777" w:rsidR="00905C3F" w:rsidRDefault="00905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FE82C" w14:textId="77777777" w:rsidR="00F767C8" w:rsidRDefault="00F767C8" w:rsidP="00925C14">
      <w:pPr>
        <w:spacing w:after="0" w:line="240" w:lineRule="auto"/>
      </w:pPr>
      <w:r>
        <w:separator/>
      </w:r>
    </w:p>
  </w:footnote>
  <w:footnote w:type="continuationSeparator" w:id="0">
    <w:p w14:paraId="5EE19ADD" w14:textId="77777777" w:rsidR="00F767C8" w:rsidRDefault="00F767C8" w:rsidP="00925C14">
      <w:pPr>
        <w:spacing w:after="0" w:line="240" w:lineRule="auto"/>
      </w:pPr>
      <w:r>
        <w:continuationSeparator/>
      </w:r>
    </w:p>
  </w:footnote>
  <w:footnote w:type="continuationNotice" w:id="1">
    <w:p w14:paraId="440F00C7" w14:textId="77777777" w:rsidR="00F767C8" w:rsidRDefault="00F767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3597410"/>
      <w:docPartObj>
        <w:docPartGallery w:val="Page Numbers (Top of Page)"/>
        <w:docPartUnique/>
      </w:docPartObj>
    </w:sdtPr>
    <w:sdtEndPr>
      <w:rPr>
        <w:rFonts w:ascii="Times New Roman" w:hAnsi="Times New Roman" w:cs="Times New Roman"/>
        <w:noProof/>
        <w:sz w:val="24"/>
        <w:szCs w:val="24"/>
      </w:rPr>
    </w:sdtEndPr>
    <w:sdtContent>
      <w:p w14:paraId="7B45D113" w14:textId="26ABB22B" w:rsidR="00ED2339" w:rsidRPr="00E876B7" w:rsidRDefault="00ED2339">
        <w:pPr>
          <w:pStyle w:val="Header"/>
          <w:jc w:val="right"/>
          <w:rPr>
            <w:rFonts w:ascii="Times New Roman" w:hAnsi="Times New Roman" w:cs="Times New Roman"/>
            <w:sz w:val="24"/>
            <w:szCs w:val="24"/>
          </w:rPr>
        </w:pPr>
        <w:r w:rsidRPr="00E876B7">
          <w:rPr>
            <w:rFonts w:ascii="Times New Roman" w:hAnsi="Times New Roman" w:cs="Times New Roman"/>
            <w:sz w:val="24"/>
            <w:szCs w:val="24"/>
          </w:rPr>
          <w:fldChar w:fldCharType="begin"/>
        </w:r>
        <w:r w:rsidRPr="00E876B7">
          <w:rPr>
            <w:rFonts w:ascii="Times New Roman" w:hAnsi="Times New Roman" w:cs="Times New Roman"/>
            <w:sz w:val="24"/>
            <w:szCs w:val="24"/>
          </w:rPr>
          <w:instrText xml:space="preserve"> PAGE   \* MERGEFORMAT </w:instrText>
        </w:r>
        <w:r w:rsidRPr="00E876B7">
          <w:rPr>
            <w:rFonts w:ascii="Times New Roman" w:hAnsi="Times New Roman" w:cs="Times New Roman"/>
            <w:sz w:val="24"/>
            <w:szCs w:val="24"/>
          </w:rPr>
          <w:fldChar w:fldCharType="separate"/>
        </w:r>
        <w:r w:rsidRPr="00E876B7">
          <w:rPr>
            <w:rFonts w:ascii="Times New Roman" w:hAnsi="Times New Roman" w:cs="Times New Roman"/>
            <w:noProof/>
            <w:sz w:val="24"/>
            <w:szCs w:val="24"/>
          </w:rPr>
          <w:t>2</w:t>
        </w:r>
        <w:r w:rsidRPr="00E876B7">
          <w:rPr>
            <w:rFonts w:ascii="Times New Roman" w:hAnsi="Times New Roman" w:cs="Times New Roman"/>
            <w:noProof/>
            <w:sz w:val="24"/>
            <w:szCs w:val="24"/>
          </w:rPr>
          <w:fldChar w:fldCharType="end"/>
        </w:r>
      </w:p>
    </w:sdtContent>
  </w:sdt>
  <w:p w14:paraId="0001D1C9" w14:textId="77777777" w:rsidR="00B27EBB" w:rsidRDefault="00B27E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E12C" w14:textId="1403CD5B" w:rsidR="009350FC" w:rsidRDefault="009350FC">
    <w:pPr>
      <w:pStyle w:val="Header"/>
      <w:jc w:val="right"/>
    </w:pPr>
  </w:p>
  <w:p w14:paraId="1BCF1F95" w14:textId="77777777" w:rsidR="00E9515E" w:rsidRDefault="00E951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358803"/>
      <w:docPartObj>
        <w:docPartGallery w:val="Page Numbers (Top of Page)"/>
        <w:docPartUnique/>
      </w:docPartObj>
    </w:sdtPr>
    <w:sdtEndPr>
      <w:rPr>
        <w:rFonts w:ascii="Times New Roman" w:hAnsi="Times New Roman" w:cs="Times New Roman"/>
        <w:noProof/>
        <w:sz w:val="24"/>
      </w:rPr>
    </w:sdtEndPr>
    <w:sdtContent>
      <w:p w14:paraId="55C36D06" w14:textId="77777777" w:rsidR="007E1C2B" w:rsidRPr="00213B56" w:rsidRDefault="007E1C2B">
        <w:pPr>
          <w:pStyle w:val="Header"/>
          <w:jc w:val="right"/>
          <w:rPr>
            <w:rFonts w:ascii="Times New Roman" w:hAnsi="Times New Roman" w:cs="Times New Roman"/>
            <w:sz w:val="24"/>
          </w:rPr>
        </w:pPr>
        <w:r w:rsidRPr="00213B56">
          <w:rPr>
            <w:rFonts w:ascii="Times New Roman" w:hAnsi="Times New Roman" w:cs="Times New Roman"/>
            <w:sz w:val="24"/>
          </w:rPr>
          <w:fldChar w:fldCharType="begin"/>
        </w:r>
        <w:r w:rsidRPr="00213B56">
          <w:rPr>
            <w:rFonts w:ascii="Times New Roman" w:hAnsi="Times New Roman" w:cs="Times New Roman"/>
            <w:sz w:val="24"/>
          </w:rPr>
          <w:instrText xml:space="preserve"> PAGE   \* MERGEFORMAT </w:instrText>
        </w:r>
        <w:r w:rsidRPr="00213B56">
          <w:rPr>
            <w:rFonts w:ascii="Times New Roman" w:hAnsi="Times New Roman" w:cs="Times New Roman"/>
            <w:sz w:val="24"/>
          </w:rPr>
          <w:fldChar w:fldCharType="separate"/>
        </w:r>
        <w:r w:rsidR="001E3EA5">
          <w:rPr>
            <w:rFonts w:ascii="Times New Roman" w:hAnsi="Times New Roman" w:cs="Times New Roman"/>
            <w:noProof/>
            <w:sz w:val="24"/>
          </w:rPr>
          <w:t>395</w:t>
        </w:r>
        <w:r w:rsidRPr="00213B56">
          <w:rPr>
            <w:rFonts w:ascii="Times New Roman" w:hAnsi="Times New Roman" w:cs="Times New Roman"/>
            <w:noProof/>
            <w:sz w:val="24"/>
          </w:rPr>
          <w:fldChar w:fldCharType="end"/>
        </w:r>
      </w:p>
    </w:sdtContent>
  </w:sdt>
  <w:p w14:paraId="453A69CD" w14:textId="77777777" w:rsidR="007E1C2B" w:rsidRDefault="007E1C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7683973"/>
      <w:docPartObj>
        <w:docPartGallery w:val="Page Numbers (Top of Page)"/>
        <w:docPartUnique/>
      </w:docPartObj>
    </w:sdtPr>
    <w:sdtEndPr>
      <w:rPr>
        <w:rFonts w:ascii="Times New Roman" w:hAnsi="Times New Roman" w:cs="Times New Roman"/>
        <w:noProof/>
        <w:sz w:val="24"/>
        <w:szCs w:val="24"/>
      </w:rPr>
    </w:sdtEndPr>
    <w:sdtContent>
      <w:p w14:paraId="1ED21166" w14:textId="77777777" w:rsidR="00B27EBB" w:rsidRPr="002C097E" w:rsidRDefault="00B27EBB">
        <w:pPr>
          <w:pStyle w:val="Header1"/>
          <w:jc w:val="right"/>
          <w:rPr>
            <w:rFonts w:ascii="Times New Roman" w:hAnsi="Times New Roman" w:cs="Times New Roman"/>
            <w:sz w:val="24"/>
            <w:szCs w:val="24"/>
          </w:rPr>
        </w:pPr>
        <w:r w:rsidRPr="002C097E">
          <w:rPr>
            <w:rFonts w:ascii="Times New Roman" w:hAnsi="Times New Roman" w:cs="Times New Roman"/>
            <w:sz w:val="24"/>
            <w:szCs w:val="24"/>
          </w:rPr>
          <w:fldChar w:fldCharType="begin"/>
        </w:r>
        <w:r w:rsidRPr="002C097E">
          <w:rPr>
            <w:rFonts w:ascii="Times New Roman" w:hAnsi="Times New Roman" w:cs="Times New Roman"/>
            <w:sz w:val="24"/>
            <w:szCs w:val="24"/>
          </w:rPr>
          <w:instrText xml:space="preserve"> PAGE   \* MERGEFORMAT </w:instrText>
        </w:r>
        <w:r w:rsidRPr="002C097E">
          <w:rPr>
            <w:rFonts w:ascii="Times New Roman" w:hAnsi="Times New Roman" w:cs="Times New Roman"/>
            <w:sz w:val="24"/>
            <w:szCs w:val="24"/>
          </w:rPr>
          <w:fldChar w:fldCharType="separate"/>
        </w:r>
        <w:r w:rsidR="001E3EA5">
          <w:rPr>
            <w:rFonts w:ascii="Times New Roman" w:hAnsi="Times New Roman" w:cs="Times New Roman"/>
            <w:noProof/>
            <w:sz w:val="24"/>
            <w:szCs w:val="24"/>
          </w:rPr>
          <w:t>455</w:t>
        </w:r>
        <w:r w:rsidRPr="002C097E">
          <w:rPr>
            <w:rFonts w:ascii="Times New Roman" w:hAnsi="Times New Roman" w:cs="Times New Roman"/>
            <w:noProof/>
            <w:sz w:val="24"/>
            <w:szCs w:val="24"/>
          </w:rPr>
          <w:fldChar w:fldCharType="end"/>
        </w:r>
      </w:p>
    </w:sdtContent>
  </w:sdt>
  <w:p w14:paraId="7BF23FDB" w14:textId="77777777" w:rsidR="00B27EBB" w:rsidRDefault="00B27EBB" w:rsidP="003F7AC0">
    <w:pPr>
      <w:pStyle w:val="Header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726FF"/>
    <w:multiLevelType w:val="hybridMultilevel"/>
    <w:tmpl w:val="6B4CA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586165"/>
    <w:multiLevelType w:val="hybridMultilevel"/>
    <w:tmpl w:val="781654AC"/>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C6096"/>
    <w:multiLevelType w:val="hybridMultilevel"/>
    <w:tmpl w:val="7744EA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3B3216"/>
    <w:multiLevelType w:val="hybridMultilevel"/>
    <w:tmpl w:val="483E025A"/>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FA309C"/>
    <w:multiLevelType w:val="hybridMultilevel"/>
    <w:tmpl w:val="942A7D76"/>
    <w:lvl w:ilvl="0" w:tplc="94A60C4E">
      <w:start w:val="1"/>
      <w:numFmt w:val="decimal"/>
      <w:lvlText w:val="%1."/>
      <w:lvlJc w:val="left"/>
      <w:pPr>
        <w:ind w:left="54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640EBF"/>
    <w:multiLevelType w:val="hybridMultilevel"/>
    <w:tmpl w:val="74485E24"/>
    <w:lvl w:ilvl="0" w:tplc="0E88E500">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6F455E"/>
    <w:multiLevelType w:val="hybridMultilevel"/>
    <w:tmpl w:val="CD2A7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8F03BF"/>
    <w:multiLevelType w:val="hybridMultilevel"/>
    <w:tmpl w:val="D8CE0F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9836D1"/>
    <w:multiLevelType w:val="multilevel"/>
    <w:tmpl w:val="7930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382C88"/>
    <w:multiLevelType w:val="hybridMultilevel"/>
    <w:tmpl w:val="45649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93D6FA1"/>
    <w:multiLevelType w:val="hybridMultilevel"/>
    <w:tmpl w:val="20FE1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F17DFC"/>
    <w:multiLevelType w:val="hybridMultilevel"/>
    <w:tmpl w:val="EBD28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9759ED"/>
    <w:multiLevelType w:val="hybridMultilevel"/>
    <w:tmpl w:val="5FB04F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B41813"/>
    <w:multiLevelType w:val="hybridMultilevel"/>
    <w:tmpl w:val="7FE4F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A72F67"/>
    <w:multiLevelType w:val="multilevel"/>
    <w:tmpl w:val="7930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AC4C1C"/>
    <w:multiLevelType w:val="hybridMultilevel"/>
    <w:tmpl w:val="CC9AC5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1D15EB7"/>
    <w:multiLevelType w:val="hybridMultilevel"/>
    <w:tmpl w:val="CCB2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BB1D60"/>
    <w:multiLevelType w:val="multilevel"/>
    <w:tmpl w:val="7930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7491839"/>
    <w:multiLevelType w:val="hybridMultilevel"/>
    <w:tmpl w:val="0E540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0A6B0E"/>
    <w:multiLevelType w:val="hybridMultilevel"/>
    <w:tmpl w:val="35880A10"/>
    <w:lvl w:ilvl="0" w:tplc="A886A2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2D2198"/>
    <w:multiLevelType w:val="hybridMultilevel"/>
    <w:tmpl w:val="072C77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E935F76"/>
    <w:multiLevelType w:val="hybridMultilevel"/>
    <w:tmpl w:val="F9CCA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A3ACE"/>
    <w:multiLevelType w:val="hybridMultilevel"/>
    <w:tmpl w:val="81BA39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B348BF"/>
    <w:multiLevelType w:val="hybridMultilevel"/>
    <w:tmpl w:val="65D646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69185D"/>
    <w:multiLevelType w:val="hybridMultilevel"/>
    <w:tmpl w:val="9DD8F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FA33B2"/>
    <w:multiLevelType w:val="hybridMultilevel"/>
    <w:tmpl w:val="873ED85C"/>
    <w:lvl w:ilvl="0" w:tplc="8FFC1A98">
      <w:start w:val="1"/>
      <w:numFmt w:val="decimal"/>
      <w:lvlText w:val="%1."/>
      <w:lvlJc w:val="left"/>
      <w:pPr>
        <w:ind w:left="720" w:hanging="360"/>
      </w:pPr>
      <w:rPr>
        <w:i w:val="0"/>
      </w:rPr>
    </w:lvl>
    <w:lvl w:ilvl="1" w:tplc="9A727074">
      <w:start w:val="1"/>
      <w:numFmt w:val="lowerLetter"/>
      <w:lvlText w:val="%2)"/>
      <w:lvlJc w:val="left"/>
      <w:pPr>
        <w:ind w:left="1440" w:hanging="360"/>
      </w:pPr>
      <w:rPr>
        <w:rFonts w:hint="default"/>
      </w:rPr>
    </w:lvl>
    <w:lvl w:ilvl="2" w:tplc="E6DAFFB4">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7287A72"/>
    <w:multiLevelType w:val="hybridMultilevel"/>
    <w:tmpl w:val="53B6F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A3B0ACD"/>
    <w:multiLevelType w:val="hybridMultilevel"/>
    <w:tmpl w:val="14903204"/>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C2132E"/>
    <w:multiLevelType w:val="hybridMultilevel"/>
    <w:tmpl w:val="E35244DA"/>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A27410"/>
    <w:multiLevelType w:val="hybridMultilevel"/>
    <w:tmpl w:val="F41423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7">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9C7820"/>
    <w:multiLevelType w:val="hybridMultilevel"/>
    <w:tmpl w:val="7FF66B98"/>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B60198"/>
    <w:multiLevelType w:val="hybridMultilevel"/>
    <w:tmpl w:val="9FCA6EBA"/>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68F6CD3"/>
    <w:multiLevelType w:val="hybridMultilevel"/>
    <w:tmpl w:val="3AA40CFE"/>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9F46A5"/>
    <w:multiLevelType w:val="hybridMultilevel"/>
    <w:tmpl w:val="C51C6DB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DB3AC7"/>
    <w:multiLevelType w:val="hybridMultilevel"/>
    <w:tmpl w:val="6A3E4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E94AA9"/>
    <w:multiLevelType w:val="hybridMultilevel"/>
    <w:tmpl w:val="ED02F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C474A49"/>
    <w:multiLevelType w:val="hybridMultilevel"/>
    <w:tmpl w:val="40346B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60FF5186"/>
    <w:multiLevelType w:val="hybridMultilevel"/>
    <w:tmpl w:val="74D8E5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B1A03DE"/>
    <w:multiLevelType w:val="hybridMultilevel"/>
    <w:tmpl w:val="942A7D76"/>
    <w:lvl w:ilvl="0" w:tplc="FFFFFFFF">
      <w:start w:val="1"/>
      <w:numFmt w:val="decimal"/>
      <w:lvlText w:val="%1."/>
      <w:lvlJc w:val="left"/>
      <w:pPr>
        <w:ind w:left="540"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D134A67"/>
    <w:multiLevelType w:val="hybridMultilevel"/>
    <w:tmpl w:val="3864A404"/>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D384D75"/>
    <w:multiLevelType w:val="hybridMultilevel"/>
    <w:tmpl w:val="7102E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E047F2"/>
    <w:multiLevelType w:val="hybridMultilevel"/>
    <w:tmpl w:val="7624D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EF16F5D"/>
    <w:multiLevelType w:val="hybridMultilevel"/>
    <w:tmpl w:val="17207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11E6C1A"/>
    <w:multiLevelType w:val="hybridMultilevel"/>
    <w:tmpl w:val="F294C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0E4110"/>
    <w:multiLevelType w:val="hybridMultilevel"/>
    <w:tmpl w:val="ADC04BB4"/>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33E4F38"/>
    <w:multiLevelType w:val="hybridMultilevel"/>
    <w:tmpl w:val="B802C55A"/>
    <w:lvl w:ilvl="0" w:tplc="041F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293FB6"/>
    <w:multiLevelType w:val="hybridMultilevel"/>
    <w:tmpl w:val="ABA6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C466B3C"/>
    <w:multiLevelType w:val="hybridMultilevel"/>
    <w:tmpl w:val="0E540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06183297">
    <w:abstractNumId w:val="43"/>
  </w:num>
  <w:num w:numId="2" w16cid:durableId="1553035010">
    <w:abstractNumId w:val="17"/>
  </w:num>
  <w:num w:numId="3" w16cid:durableId="1408070624">
    <w:abstractNumId w:val="1"/>
  </w:num>
  <w:num w:numId="4" w16cid:durableId="1705134226">
    <w:abstractNumId w:val="0"/>
  </w:num>
  <w:num w:numId="5" w16cid:durableId="11285516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5258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05426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09897563">
    <w:abstractNumId w:val="24"/>
  </w:num>
  <w:num w:numId="9" w16cid:durableId="1345399146">
    <w:abstractNumId w:val="42"/>
  </w:num>
  <w:num w:numId="10" w16cid:durableId="12803763">
    <w:abstractNumId w:val="9"/>
  </w:num>
  <w:num w:numId="11" w16cid:durableId="2130314339">
    <w:abstractNumId w:val="7"/>
  </w:num>
  <w:num w:numId="12" w16cid:durableId="644238507">
    <w:abstractNumId w:val="36"/>
  </w:num>
  <w:num w:numId="13" w16cid:durableId="1976139017">
    <w:abstractNumId w:val="41"/>
  </w:num>
  <w:num w:numId="14" w16cid:durableId="1325551692">
    <w:abstractNumId w:val="18"/>
  </w:num>
  <w:num w:numId="15" w16cid:durableId="548030666">
    <w:abstractNumId w:val="16"/>
  </w:num>
  <w:num w:numId="16" w16cid:durableId="928001244">
    <w:abstractNumId w:val="15"/>
  </w:num>
  <w:num w:numId="17" w16cid:durableId="443157518">
    <w:abstractNumId w:val="45"/>
  </w:num>
  <w:num w:numId="18" w16cid:durableId="423645947">
    <w:abstractNumId w:val="28"/>
  </w:num>
  <w:num w:numId="19" w16cid:durableId="903948637">
    <w:abstractNumId w:val="32"/>
  </w:num>
  <w:num w:numId="20" w16cid:durableId="1476990907">
    <w:abstractNumId w:val="46"/>
  </w:num>
  <w:num w:numId="21" w16cid:durableId="1132291041">
    <w:abstractNumId w:val="33"/>
  </w:num>
  <w:num w:numId="22" w16cid:durableId="213275984">
    <w:abstractNumId w:val="40"/>
  </w:num>
  <w:num w:numId="23" w16cid:durableId="1827238237">
    <w:abstractNumId w:val="31"/>
  </w:num>
  <w:num w:numId="24" w16cid:durableId="344406563">
    <w:abstractNumId w:val="2"/>
  </w:num>
  <w:num w:numId="25" w16cid:durableId="1456682494">
    <w:abstractNumId w:val="29"/>
  </w:num>
  <w:num w:numId="26" w16cid:durableId="308826764">
    <w:abstractNumId w:val="4"/>
  </w:num>
  <w:num w:numId="27" w16cid:durableId="577053311">
    <w:abstractNumId w:val="35"/>
  </w:num>
  <w:num w:numId="28" w16cid:durableId="219371041">
    <w:abstractNumId w:val="22"/>
  </w:num>
  <w:num w:numId="29" w16cid:durableId="1454252294">
    <w:abstractNumId w:val="47"/>
  </w:num>
  <w:num w:numId="30" w16cid:durableId="363364243">
    <w:abstractNumId w:val="23"/>
  </w:num>
  <w:num w:numId="31" w16cid:durableId="1744063537">
    <w:abstractNumId w:val="12"/>
  </w:num>
  <w:num w:numId="32" w16cid:durableId="752236348">
    <w:abstractNumId w:val="44"/>
  </w:num>
  <w:num w:numId="33" w16cid:durableId="673727825">
    <w:abstractNumId w:val="5"/>
  </w:num>
  <w:num w:numId="34" w16cid:durableId="158467066">
    <w:abstractNumId w:val="26"/>
  </w:num>
  <w:num w:numId="35" w16cid:durableId="647515983">
    <w:abstractNumId w:val="6"/>
  </w:num>
  <w:num w:numId="36" w16cid:durableId="1849321026">
    <w:abstractNumId w:val="34"/>
  </w:num>
  <w:num w:numId="37" w16cid:durableId="917208225">
    <w:abstractNumId w:val="13"/>
  </w:num>
  <w:num w:numId="38" w16cid:durableId="948927189">
    <w:abstractNumId w:val="30"/>
  </w:num>
  <w:num w:numId="39" w16cid:durableId="2030330189">
    <w:abstractNumId w:val="25"/>
  </w:num>
  <w:num w:numId="40" w16cid:durableId="49694749">
    <w:abstractNumId w:val="8"/>
  </w:num>
  <w:num w:numId="41" w16cid:durableId="1794589592">
    <w:abstractNumId w:val="20"/>
  </w:num>
  <w:num w:numId="42" w16cid:durableId="1524637219">
    <w:abstractNumId w:val="48"/>
  </w:num>
  <w:num w:numId="43" w16cid:durableId="931935748">
    <w:abstractNumId w:val="19"/>
  </w:num>
  <w:num w:numId="44" w16cid:durableId="152836312">
    <w:abstractNumId w:val="21"/>
  </w:num>
  <w:num w:numId="45" w16cid:durableId="212549829">
    <w:abstractNumId w:val="11"/>
  </w:num>
  <w:num w:numId="46" w16cid:durableId="231164492">
    <w:abstractNumId w:val="3"/>
  </w:num>
  <w:num w:numId="47" w16cid:durableId="389231082">
    <w:abstractNumId w:val="14"/>
  </w:num>
  <w:num w:numId="48" w16cid:durableId="1051074842">
    <w:abstractNumId w:val="10"/>
  </w:num>
  <w:num w:numId="49" w16cid:durableId="629625934">
    <w:abstractNumId w:val="27"/>
  </w:num>
  <w:num w:numId="50" w16cid:durableId="48663440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F0C"/>
    <w:rsid w:val="000006F9"/>
    <w:rsid w:val="00001ACB"/>
    <w:rsid w:val="0000292D"/>
    <w:rsid w:val="00006304"/>
    <w:rsid w:val="0001120C"/>
    <w:rsid w:val="000114DA"/>
    <w:rsid w:val="000123B9"/>
    <w:rsid w:val="000128AE"/>
    <w:rsid w:val="000135A9"/>
    <w:rsid w:val="00013C5B"/>
    <w:rsid w:val="00014A68"/>
    <w:rsid w:val="000161E2"/>
    <w:rsid w:val="000164CE"/>
    <w:rsid w:val="0001661D"/>
    <w:rsid w:val="00017373"/>
    <w:rsid w:val="00020BFD"/>
    <w:rsid w:val="00020F02"/>
    <w:rsid w:val="00021646"/>
    <w:rsid w:val="00022D38"/>
    <w:rsid w:val="0002345C"/>
    <w:rsid w:val="00023ADA"/>
    <w:rsid w:val="00024D93"/>
    <w:rsid w:val="00024E6E"/>
    <w:rsid w:val="00025496"/>
    <w:rsid w:val="00026158"/>
    <w:rsid w:val="00026223"/>
    <w:rsid w:val="00027034"/>
    <w:rsid w:val="00027549"/>
    <w:rsid w:val="00027BD2"/>
    <w:rsid w:val="00027EC6"/>
    <w:rsid w:val="00030D4D"/>
    <w:rsid w:val="00030F8A"/>
    <w:rsid w:val="0003144F"/>
    <w:rsid w:val="000314A8"/>
    <w:rsid w:val="00032938"/>
    <w:rsid w:val="00033240"/>
    <w:rsid w:val="0003463B"/>
    <w:rsid w:val="00035EB4"/>
    <w:rsid w:val="000372C8"/>
    <w:rsid w:val="00037F4F"/>
    <w:rsid w:val="00041F22"/>
    <w:rsid w:val="0004233F"/>
    <w:rsid w:val="00042485"/>
    <w:rsid w:val="00042886"/>
    <w:rsid w:val="00043A14"/>
    <w:rsid w:val="00043B71"/>
    <w:rsid w:val="00044189"/>
    <w:rsid w:val="00044414"/>
    <w:rsid w:val="0004779B"/>
    <w:rsid w:val="00047B1F"/>
    <w:rsid w:val="000503B3"/>
    <w:rsid w:val="00051C40"/>
    <w:rsid w:val="000529A1"/>
    <w:rsid w:val="00052D17"/>
    <w:rsid w:val="00053533"/>
    <w:rsid w:val="00054531"/>
    <w:rsid w:val="00054E1E"/>
    <w:rsid w:val="00055E7D"/>
    <w:rsid w:val="00056A7B"/>
    <w:rsid w:val="0005735C"/>
    <w:rsid w:val="00060EA0"/>
    <w:rsid w:val="000633B6"/>
    <w:rsid w:val="0006408C"/>
    <w:rsid w:val="00064B86"/>
    <w:rsid w:val="00065231"/>
    <w:rsid w:val="0006662D"/>
    <w:rsid w:val="00066E59"/>
    <w:rsid w:val="00071DE7"/>
    <w:rsid w:val="00072C16"/>
    <w:rsid w:val="0007435A"/>
    <w:rsid w:val="000750A5"/>
    <w:rsid w:val="00075718"/>
    <w:rsid w:val="00075FCF"/>
    <w:rsid w:val="0007618B"/>
    <w:rsid w:val="00077721"/>
    <w:rsid w:val="00077837"/>
    <w:rsid w:val="000811AA"/>
    <w:rsid w:val="00081299"/>
    <w:rsid w:val="00081D3E"/>
    <w:rsid w:val="00081EF5"/>
    <w:rsid w:val="00082CA4"/>
    <w:rsid w:val="00082EA2"/>
    <w:rsid w:val="00084137"/>
    <w:rsid w:val="00084E21"/>
    <w:rsid w:val="00085284"/>
    <w:rsid w:val="000861EE"/>
    <w:rsid w:val="000862FC"/>
    <w:rsid w:val="00086AC2"/>
    <w:rsid w:val="00087945"/>
    <w:rsid w:val="00087CD6"/>
    <w:rsid w:val="00090787"/>
    <w:rsid w:val="00090BEB"/>
    <w:rsid w:val="00090CD6"/>
    <w:rsid w:val="00090ED7"/>
    <w:rsid w:val="00091A99"/>
    <w:rsid w:val="00093E7F"/>
    <w:rsid w:val="00096818"/>
    <w:rsid w:val="000A2D4D"/>
    <w:rsid w:val="000A2F61"/>
    <w:rsid w:val="000A5151"/>
    <w:rsid w:val="000A6319"/>
    <w:rsid w:val="000A7B98"/>
    <w:rsid w:val="000B0387"/>
    <w:rsid w:val="000B0C8A"/>
    <w:rsid w:val="000B0E85"/>
    <w:rsid w:val="000B3E9C"/>
    <w:rsid w:val="000B4072"/>
    <w:rsid w:val="000B5521"/>
    <w:rsid w:val="000B7E94"/>
    <w:rsid w:val="000C05B3"/>
    <w:rsid w:val="000C1065"/>
    <w:rsid w:val="000C153D"/>
    <w:rsid w:val="000C316A"/>
    <w:rsid w:val="000C3B4E"/>
    <w:rsid w:val="000C47A5"/>
    <w:rsid w:val="000C4BBD"/>
    <w:rsid w:val="000C4CB7"/>
    <w:rsid w:val="000C5574"/>
    <w:rsid w:val="000C5BC0"/>
    <w:rsid w:val="000C672A"/>
    <w:rsid w:val="000C70B2"/>
    <w:rsid w:val="000C7825"/>
    <w:rsid w:val="000C7D57"/>
    <w:rsid w:val="000C7DF7"/>
    <w:rsid w:val="000D07F7"/>
    <w:rsid w:val="000D0C8E"/>
    <w:rsid w:val="000D0E8B"/>
    <w:rsid w:val="000D152E"/>
    <w:rsid w:val="000D1A90"/>
    <w:rsid w:val="000D2812"/>
    <w:rsid w:val="000D432B"/>
    <w:rsid w:val="000D4EA7"/>
    <w:rsid w:val="000D52A4"/>
    <w:rsid w:val="000D5ACB"/>
    <w:rsid w:val="000E171E"/>
    <w:rsid w:val="000E1E34"/>
    <w:rsid w:val="000E2296"/>
    <w:rsid w:val="000E3626"/>
    <w:rsid w:val="000E5D4D"/>
    <w:rsid w:val="000E6671"/>
    <w:rsid w:val="000E6ADC"/>
    <w:rsid w:val="000F0074"/>
    <w:rsid w:val="000F016B"/>
    <w:rsid w:val="000F19E3"/>
    <w:rsid w:val="000F1F03"/>
    <w:rsid w:val="000F2036"/>
    <w:rsid w:val="000F2674"/>
    <w:rsid w:val="000F3A04"/>
    <w:rsid w:val="000F3EF1"/>
    <w:rsid w:val="000F54EB"/>
    <w:rsid w:val="000F5CD5"/>
    <w:rsid w:val="000F643F"/>
    <w:rsid w:val="000F6F22"/>
    <w:rsid w:val="000F7BE3"/>
    <w:rsid w:val="00100227"/>
    <w:rsid w:val="00101097"/>
    <w:rsid w:val="00101B7A"/>
    <w:rsid w:val="00101DDF"/>
    <w:rsid w:val="001031D4"/>
    <w:rsid w:val="0010336F"/>
    <w:rsid w:val="00104EB7"/>
    <w:rsid w:val="001059EA"/>
    <w:rsid w:val="00105AE3"/>
    <w:rsid w:val="00106497"/>
    <w:rsid w:val="0010777A"/>
    <w:rsid w:val="001101B9"/>
    <w:rsid w:val="0011121E"/>
    <w:rsid w:val="0011429E"/>
    <w:rsid w:val="00114E05"/>
    <w:rsid w:val="00115968"/>
    <w:rsid w:val="00120D8B"/>
    <w:rsid w:val="001213B6"/>
    <w:rsid w:val="001215C6"/>
    <w:rsid w:val="00121BCC"/>
    <w:rsid w:val="00122204"/>
    <w:rsid w:val="00122553"/>
    <w:rsid w:val="001235C1"/>
    <w:rsid w:val="00123C2A"/>
    <w:rsid w:val="00124969"/>
    <w:rsid w:val="001252F6"/>
    <w:rsid w:val="00125E81"/>
    <w:rsid w:val="0012636A"/>
    <w:rsid w:val="0012773A"/>
    <w:rsid w:val="00130FD2"/>
    <w:rsid w:val="0013141D"/>
    <w:rsid w:val="001314A3"/>
    <w:rsid w:val="00131CA3"/>
    <w:rsid w:val="00131CE9"/>
    <w:rsid w:val="001334C8"/>
    <w:rsid w:val="001353C2"/>
    <w:rsid w:val="00135ECF"/>
    <w:rsid w:val="00137D77"/>
    <w:rsid w:val="0014088A"/>
    <w:rsid w:val="00142383"/>
    <w:rsid w:val="00142B1F"/>
    <w:rsid w:val="00143892"/>
    <w:rsid w:val="00144C9A"/>
    <w:rsid w:val="0014532A"/>
    <w:rsid w:val="00146E1B"/>
    <w:rsid w:val="00147919"/>
    <w:rsid w:val="00147DFE"/>
    <w:rsid w:val="00150506"/>
    <w:rsid w:val="001506A1"/>
    <w:rsid w:val="00151B3F"/>
    <w:rsid w:val="0015228A"/>
    <w:rsid w:val="00152D27"/>
    <w:rsid w:val="00152F85"/>
    <w:rsid w:val="001530C9"/>
    <w:rsid w:val="0015346D"/>
    <w:rsid w:val="0015445D"/>
    <w:rsid w:val="00155151"/>
    <w:rsid w:val="00155D6A"/>
    <w:rsid w:val="001564F1"/>
    <w:rsid w:val="00157C00"/>
    <w:rsid w:val="00157FC4"/>
    <w:rsid w:val="00160574"/>
    <w:rsid w:val="00163178"/>
    <w:rsid w:val="001631C6"/>
    <w:rsid w:val="00165825"/>
    <w:rsid w:val="00166AAD"/>
    <w:rsid w:val="00170595"/>
    <w:rsid w:val="00170651"/>
    <w:rsid w:val="00170D87"/>
    <w:rsid w:val="0017385F"/>
    <w:rsid w:val="001743A8"/>
    <w:rsid w:val="001745FD"/>
    <w:rsid w:val="001746D9"/>
    <w:rsid w:val="00175028"/>
    <w:rsid w:val="001761C0"/>
    <w:rsid w:val="00176DAB"/>
    <w:rsid w:val="001805FA"/>
    <w:rsid w:val="001808F8"/>
    <w:rsid w:val="00180B32"/>
    <w:rsid w:val="00180E37"/>
    <w:rsid w:val="0018128D"/>
    <w:rsid w:val="001830BA"/>
    <w:rsid w:val="00183353"/>
    <w:rsid w:val="001837F2"/>
    <w:rsid w:val="001840B8"/>
    <w:rsid w:val="001842E8"/>
    <w:rsid w:val="00186188"/>
    <w:rsid w:val="00186A78"/>
    <w:rsid w:val="001879D0"/>
    <w:rsid w:val="00193897"/>
    <w:rsid w:val="00194216"/>
    <w:rsid w:val="00194A5F"/>
    <w:rsid w:val="00194DDE"/>
    <w:rsid w:val="00195B7F"/>
    <w:rsid w:val="001965C8"/>
    <w:rsid w:val="00196958"/>
    <w:rsid w:val="0019765B"/>
    <w:rsid w:val="001979BA"/>
    <w:rsid w:val="001A0A29"/>
    <w:rsid w:val="001A2234"/>
    <w:rsid w:val="001A24C5"/>
    <w:rsid w:val="001A24D4"/>
    <w:rsid w:val="001A250C"/>
    <w:rsid w:val="001A2B3E"/>
    <w:rsid w:val="001A3993"/>
    <w:rsid w:val="001A432A"/>
    <w:rsid w:val="001A5415"/>
    <w:rsid w:val="001A58B8"/>
    <w:rsid w:val="001A73B6"/>
    <w:rsid w:val="001B0937"/>
    <w:rsid w:val="001B2C02"/>
    <w:rsid w:val="001B32CA"/>
    <w:rsid w:val="001B3817"/>
    <w:rsid w:val="001B3F23"/>
    <w:rsid w:val="001B40EB"/>
    <w:rsid w:val="001B4C6F"/>
    <w:rsid w:val="001B625E"/>
    <w:rsid w:val="001B6517"/>
    <w:rsid w:val="001B66C2"/>
    <w:rsid w:val="001B7694"/>
    <w:rsid w:val="001C0917"/>
    <w:rsid w:val="001C0D23"/>
    <w:rsid w:val="001C0F4C"/>
    <w:rsid w:val="001C1C9F"/>
    <w:rsid w:val="001C2160"/>
    <w:rsid w:val="001C4176"/>
    <w:rsid w:val="001C48D7"/>
    <w:rsid w:val="001C4A69"/>
    <w:rsid w:val="001C64C5"/>
    <w:rsid w:val="001C6532"/>
    <w:rsid w:val="001C770C"/>
    <w:rsid w:val="001D16E9"/>
    <w:rsid w:val="001D17A8"/>
    <w:rsid w:val="001D17F5"/>
    <w:rsid w:val="001D1A06"/>
    <w:rsid w:val="001D2891"/>
    <w:rsid w:val="001D29CC"/>
    <w:rsid w:val="001D2FF1"/>
    <w:rsid w:val="001D3D60"/>
    <w:rsid w:val="001D3DD0"/>
    <w:rsid w:val="001D4229"/>
    <w:rsid w:val="001D462E"/>
    <w:rsid w:val="001D47B9"/>
    <w:rsid w:val="001D573F"/>
    <w:rsid w:val="001D61CD"/>
    <w:rsid w:val="001D6EDA"/>
    <w:rsid w:val="001D71B1"/>
    <w:rsid w:val="001E05D2"/>
    <w:rsid w:val="001E100A"/>
    <w:rsid w:val="001E2915"/>
    <w:rsid w:val="001E3086"/>
    <w:rsid w:val="001E3EA5"/>
    <w:rsid w:val="001E4F84"/>
    <w:rsid w:val="001E5A5D"/>
    <w:rsid w:val="001E5C32"/>
    <w:rsid w:val="001F0EBA"/>
    <w:rsid w:val="001F282C"/>
    <w:rsid w:val="001F37E4"/>
    <w:rsid w:val="001F4790"/>
    <w:rsid w:val="001F56D5"/>
    <w:rsid w:val="001F5FFD"/>
    <w:rsid w:val="0020012E"/>
    <w:rsid w:val="00201454"/>
    <w:rsid w:val="00204FE7"/>
    <w:rsid w:val="00205104"/>
    <w:rsid w:val="00210AE5"/>
    <w:rsid w:val="0021120B"/>
    <w:rsid w:val="00211FDB"/>
    <w:rsid w:val="0021276C"/>
    <w:rsid w:val="00213D0D"/>
    <w:rsid w:val="00214112"/>
    <w:rsid w:val="0022088A"/>
    <w:rsid w:val="0022142D"/>
    <w:rsid w:val="00221826"/>
    <w:rsid w:val="00221B54"/>
    <w:rsid w:val="00222176"/>
    <w:rsid w:val="002232E7"/>
    <w:rsid w:val="00223694"/>
    <w:rsid w:val="00223D7A"/>
    <w:rsid w:val="002268D9"/>
    <w:rsid w:val="00227F8A"/>
    <w:rsid w:val="00231CE1"/>
    <w:rsid w:val="00233762"/>
    <w:rsid w:val="002338D5"/>
    <w:rsid w:val="00234790"/>
    <w:rsid w:val="002352FE"/>
    <w:rsid w:val="00235786"/>
    <w:rsid w:val="00236A7A"/>
    <w:rsid w:val="0023742D"/>
    <w:rsid w:val="00237AFE"/>
    <w:rsid w:val="00237D8C"/>
    <w:rsid w:val="00237F9D"/>
    <w:rsid w:val="002411C1"/>
    <w:rsid w:val="002414D5"/>
    <w:rsid w:val="00241C04"/>
    <w:rsid w:val="00242D50"/>
    <w:rsid w:val="0024324F"/>
    <w:rsid w:val="002432AB"/>
    <w:rsid w:val="002454FA"/>
    <w:rsid w:val="00245AE7"/>
    <w:rsid w:val="00246160"/>
    <w:rsid w:val="00247E4F"/>
    <w:rsid w:val="00251A6A"/>
    <w:rsid w:val="002522B6"/>
    <w:rsid w:val="00252C80"/>
    <w:rsid w:val="002534BC"/>
    <w:rsid w:val="00254611"/>
    <w:rsid w:val="00255CAD"/>
    <w:rsid w:val="002560C5"/>
    <w:rsid w:val="0025747E"/>
    <w:rsid w:val="002607CB"/>
    <w:rsid w:val="00260895"/>
    <w:rsid w:val="0026095C"/>
    <w:rsid w:val="0026103C"/>
    <w:rsid w:val="002616E8"/>
    <w:rsid w:val="00261BC1"/>
    <w:rsid w:val="002623E1"/>
    <w:rsid w:val="002627FD"/>
    <w:rsid w:val="0026296C"/>
    <w:rsid w:val="00262F27"/>
    <w:rsid w:val="002632B5"/>
    <w:rsid w:val="00263583"/>
    <w:rsid w:val="00263ADD"/>
    <w:rsid w:val="00266261"/>
    <w:rsid w:val="002663F4"/>
    <w:rsid w:val="00267BF1"/>
    <w:rsid w:val="00267F6D"/>
    <w:rsid w:val="0027015F"/>
    <w:rsid w:val="00270BF3"/>
    <w:rsid w:val="00271196"/>
    <w:rsid w:val="00271DD0"/>
    <w:rsid w:val="0027212D"/>
    <w:rsid w:val="00272355"/>
    <w:rsid w:val="00272399"/>
    <w:rsid w:val="002727B1"/>
    <w:rsid w:val="00273AB5"/>
    <w:rsid w:val="002740AE"/>
    <w:rsid w:val="0027418C"/>
    <w:rsid w:val="00274519"/>
    <w:rsid w:val="0027587C"/>
    <w:rsid w:val="00275A33"/>
    <w:rsid w:val="002775BA"/>
    <w:rsid w:val="002775C5"/>
    <w:rsid w:val="002778CA"/>
    <w:rsid w:val="00280395"/>
    <w:rsid w:val="00281944"/>
    <w:rsid w:val="00281D0C"/>
    <w:rsid w:val="0028200F"/>
    <w:rsid w:val="00283E15"/>
    <w:rsid w:val="00283F29"/>
    <w:rsid w:val="00283FCA"/>
    <w:rsid w:val="0028442F"/>
    <w:rsid w:val="00284B98"/>
    <w:rsid w:val="00284CB7"/>
    <w:rsid w:val="00284FBF"/>
    <w:rsid w:val="00286737"/>
    <w:rsid w:val="00286C32"/>
    <w:rsid w:val="00286F27"/>
    <w:rsid w:val="002875BC"/>
    <w:rsid w:val="00290BEF"/>
    <w:rsid w:val="002915D8"/>
    <w:rsid w:val="00293967"/>
    <w:rsid w:val="002939B8"/>
    <w:rsid w:val="00294054"/>
    <w:rsid w:val="002944C5"/>
    <w:rsid w:val="00294613"/>
    <w:rsid w:val="00294761"/>
    <w:rsid w:val="00295A9E"/>
    <w:rsid w:val="00296A78"/>
    <w:rsid w:val="00296B61"/>
    <w:rsid w:val="002A3FA6"/>
    <w:rsid w:val="002A40FE"/>
    <w:rsid w:val="002A515D"/>
    <w:rsid w:val="002A6AC3"/>
    <w:rsid w:val="002A6BF9"/>
    <w:rsid w:val="002A7C09"/>
    <w:rsid w:val="002B14D4"/>
    <w:rsid w:val="002B380E"/>
    <w:rsid w:val="002B41E1"/>
    <w:rsid w:val="002B55FF"/>
    <w:rsid w:val="002B6F54"/>
    <w:rsid w:val="002B74B7"/>
    <w:rsid w:val="002C0864"/>
    <w:rsid w:val="002C08DB"/>
    <w:rsid w:val="002C0E17"/>
    <w:rsid w:val="002C102C"/>
    <w:rsid w:val="002C11F0"/>
    <w:rsid w:val="002C1A61"/>
    <w:rsid w:val="002C5AAD"/>
    <w:rsid w:val="002C5FE8"/>
    <w:rsid w:val="002C7B44"/>
    <w:rsid w:val="002D02A5"/>
    <w:rsid w:val="002D0C42"/>
    <w:rsid w:val="002D1617"/>
    <w:rsid w:val="002D1DA0"/>
    <w:rsid w:val="002D308A"/>
    <w:rsid w:val="002D320B"/>
    <w:rsid w:val="002D33DE"/>
    <w:rsid w:val="002D39DC"/>
    <w:rsid w:val="002D4B54"/>
    <w:rsid w:val="002D6784"/>
    <w:rsid w:val="002D6992"/>
    <w:rsid w:val="002D6CDD"/>
    <w:rsid w:val="002E0921"/>
    <w:rsid w:val="002E0A36"/>
    <w:rsid w:val="002E17D0"/>
    <w:rsid w:val="002E19F8"/>
    <w:rsid w:val="002E1B8F"/>
    <w:rsid w:val="002E2949"/>
    <w:rsid w:val="002E2CC6"/>
    <w:rsid w:val="002E4F1D"/>
    <w:rsid w:val="002E51AD"/>
    <w:rsid w:val="002E79C0"/>
    <w:rsid w:val="002E7E6D"/>
    <w:rsid w:val="002F041E"/>
    <w:rsid w:val="002F3156"/>
    <w:rsid w:val="002F4F88"/>
    <w:rsid w:val="002F5557"/>
    <w:rsid w:val="002F7DAB"/>
    <w:rsid w:val="003068D6"/>
    <w:rsid w:val="00306A8F"/>
    <w:rsid w:val="00306BE2"/>
    <w:rsid w:val="00306DA4"/>
    <w:rsid w:val="00306FF1"/>
    <w:rsid w:val="00307EF1"/>
    <w:rsid w:val="003101E0"/>
    <w:rsid w:val="00310876"/>
    <w:rsid w:val="00315505"/>
    <w:rsid w:val="00315A53"/>
    <w:rsid w:val="00316489"/>
    <w:rsid w:val="0031736B"/>
    <w:rsid w:val="003205F7"/>
    <w:rsid w:val="00320B95"/>
    <w:rsid w:val="00321849"/>
    <w:rsid w:val="00321A61"/>
    <w:rsid w:val="003232C3"/>
    <w:rsid w:val="003246B1"/>
    <w:rsid w:val="00324889"/>
    <w:rsid w:val="0032506F"/>
    <w:rsid w:val="003250D7"/>
    <w:rsid w:val="003308AA"/>
    <w:rsid w:val="0033122C"/>
    <w:rsid w:val="0033218A"/>
    <w:rsid w:val="0033291F"/>
    <w:rsid w:val="00333350"/>
    <w:rsid w:val="00333658"/>
    <w:rsid w:val="003338BF"/>
    <w:rsid w:val="00336574"/>
    <w:rsid w:val="00336E67"/>
    <w:rsid w:val="00341964"/>
    <w:rsid w:val="003419DE"/>
    <w:rsid w:val="00342505"/>
    <w:rsid w:val="00342C4D"/>
    <w:rsid w:val="00344083"/>
    <w:rsid w:val="00344285"/>
    <w:rsid w:val="00344BFE"/>
    <w:rsid w:val="00344EC5"/>
    <w:rsid w:val="00345B2C"/>
    <w:rsid w:val="00346379"/>
    <w:rsid w:val="00346B7C"/>
    <w:rsid w:val="00346C84"/>
    <w:rsid w:val="00350BF1"/>
    <w:rsid w:val="00352AD5"/>
    <w:rsid w:val="00354DD5"/>
    <w:rsid w:val="003556DC"/>
    <w:rsid w:val="0035735F"/>
    <w:rsid w:val="00357B60"/>
    <w:rsid w:val="00357CBD"/>
    <w:rsid w:val="00360608"/>
    <w:rsid w:val="0036092C"/>
    <w:rsid w:val="00361443"/>
    <w:rsid w:val="003623FB"/>
    <w:rsid w:val="003630ED"/>
    <w:rsid w:val="0036789E"/>
    <w:rsid w:val="00367DF9"/>
    <w:rsid w:val="00371ED4"/>
    <w:rsid w:val="0037292F"/>
    <w:rsid w:val="003733AC"/>
    <w:rsid w:val="00374088"/>
    <w:rsid w:val="003759BD"/>
    <w:rsid w:val="00376191"/>
    <w:rsid w:val="0037673F"/>
    <w:rsid w:val="00377207"/>
    <w:rsid w:val="0037764D"/>
    <w:rsid w:val="0037766F"/>
    <w:rsid w:val="00381927"/>
    <w:rsid w:val="00381E91"/>
    <w:rsid w:val="00382145"/>
    <w:rsid w:val="00382421"/>
    <w:rsid w:val="00382692"/>
    <w:rsid w:val="00382DCD"/>
    <w:rsid w:val="00383581"/>
    <w:rsid w:val="003842CD"/>
    <w:rsid w:val="003849BB"/>
    <w:rsid w:val="003856FC"/>
    <w:rsid w:val="00386A8D"/>
    <w:rsid w:val="00386E1B"/>
    <w:rsid w:val="00387CDA"/>
    <w:rsid w:val="003906C5"/>
    <w:rsid w:val="00391530"/>
    <w:rsid w:val="00392B42"/>
    <w:rsid w:val="003936A5"/>
    <w:rsid w:val="00394AE4"/>
    <w:rsid w:val="00395AAE"/>
    <w:rsid w:val="00395CB6"/>
    <w:rsid w:val="0039618F"/>
    <w:rsid w:val="003975AC"/>
    <w:rsid w:val="00397772"/>
    <w:rsid w:val="00397EEE"/>
    <w:rsid w:val="003A0C56"/>
    <w:rsid w:val="003A14B7"/>
    <w:rsid w:val="003A14D3"/>
    <w:rsid w:val="003A1FEF"/>
    <w:rsid w:val="003A2BDB"/>
    <w:rsid w:val="003A3C07"/>
    <w:rsid w:val="003A4CDE"/>
    <w:rsid w:val="003A4EA6"/>
    <w:rsid w:val="003A5A96"/>
    <w:rsid w:val="003A5C33"/>
    <w:rsid w:val="003A6188"/>
    <w:rsid w:val="003A6838"/>
    <w:rsid w:val="003A6F49"/>
    <w:rsid w:val="003A76C1"/>
    <w:rsid w:val="003A7AC1"/>
    <w:rsid w:val="003B150B"/>
    <w:rsid w:val="003B1526"/>
    <w:rsid w:val="003B17FD"/>
    <w:rsid w:val="003B3A3B"/>
    <w:rsid w:val="003B3D94"/>
    <w:rsid w:val="003B42EB"/>
    <w:rsid w:val="003B5B7B"/>
    <w:rsid w:val="003B6558"/>
    <w:rsid w:val="003B71FF"/>
    <w:rsid w:val="003B7A44"/>
    <w:rsid w:val="003B7E74"/>
    <w:rsid w:val="003C0910"/>
    <w:rsid w:val="003C1E07"/>
    <w:rsid w:val="003C2005"/>
    <w:rsid w:val="003C258D"/>
    <w:rsid w:val="003C2AB0"/>
    <w:rsid w:val="003C7F7D"/>
    <w:rsid w:val="003D2239"/>
    <w:rsid w:val="003D27C8"/>
    <w:rsid w:val="003D2CFA"/>
    <w:rsid w:val="003D3E1D"/>
    <w:rsid w:val="003D4107"/>
    <w:rsid w:val="003D43A4"/>
    <w:rsid w:val="003D4F48"/>
    <w:rsid w:val="003D5270"/>
    <w:rsid w:val="003D5941"/>
    <w:rsid w:val="003D6127"/>
    <w:rsid w:val="003D7779"/>
    <w:rsid w:val="003D7921"/>
    <w:rsid w:val="003D7A3C"/>
    <w:rsid w:val="003D7FB8"/>
    <w:rsid w:val="003E1A0D"/>
    <w:rsid w:val="003E20AA"/>
    <w:rsid w:val="003E22C3"/>
    <w:rsid w:val="003E2708"/>
    <w:rsid w:val="003E302D"/>
    <w:rsid w:val="003E380F"/>
    <w:rsid w:val="003E4C73"/>
    <w:rsid w:val="003E543E"/>
    <w:rsid w:val="003E65D0"/>
    <w:rsid w:val="003E6D15"/>
    <w:rsid w:val="003E748C"/>
    <w:rsid w:val="003E783E"/>
    <w:rsid w:val="003F0A0D"/>
    <w:rsid w:val="003F0CE3"/>
    <w:rsid w:val="003F1AD2"/>
    <w:rsid w:val="003F2DCD"/>
    <w:rsid w:val="003F30CB"/>
    <w:rsid w:val="003F3322"/>
    <w:rsid w:val="003F3D52"/>
    <w:rsid w:val="003F3F72"/>
    <w:rsid w:val="003F5715"/>
    <w:rsid w:val="003F661A"/>
    <w:rsid w:val="003F68A2"/>
    <w:rsid w:val="003F6A0A"/>
    <w:rsid w:val="003F7AC0"/>
    <w:rsid w:val="0040011A"/>
    <w:rsid w:val="00402313"/>
    <w:rsid w:val="004037FE"/>
    <w:rsid w:val="0040394B"/>
    <w:rsid w:val="00405261"/>
    <w:rsid w:val="0040712B"/>
    <w:rsid w:val="0040747A"/>
    <w:rsid w:val="00407648"/>
    <w:rsid w:val="00410167"/>
    <w:rsid w:val="00410F6C"/>
    <w:rsid w:val="00412170"/>
    <w:rsid w:val="00412265"/>
    <w:rsid w:val="00413740"/>
    <w:rsid w:val="00415C65"/>
    <w:rsid w:val="00416233"/>
    <w:rsid w:val="0041632F"/>
    <w:rsid w:val="0041662B"/>
    <w:rsid w:val="00416A01"/>
    <w:rsid w:val="00417A8C"/>
    <w:rsid w:val="00417D68"/>
    <w:rsid w:val="0042090E"/>
    <w:rsid w:val="00420F1D"/>
    <w:rsid w:val="00421083"/>
    <w:rsid w:val="004210F9"/>
    <w:rsid w:val="00421BB8"/>
    <w:rsid w:val="00421DEA"/>
    <w:rsid w:val="00421FEA"/>
    <w:rsid w:val="00422813"/>
    <w:rsid w:val="0042313A"/>
    <w:rsid w:val="004255AF"/>
    <w:rsid w:val="004259E7"/>
    <w:rsid w:val="00426A89"/>
    <w:rsid w:val="0042735D"/>
    <w:rsid w:val="00431739"/>
    <w:rsid w:val="004336DE"/>
    <w:rsid w:val="00433F90"/>
    <w:rsid w:val="0043751B"/>
    <w:rsid w:val="00437F3A"/>
    <w:rsid w:val="0044013B"/>
    <w:rsid w:val="004415B8"/>
    <w:rsid w:val="00442267"/>
    <w:rsid w:val="0044284C"/>
    <w:rsid w:val="004443C9"/>
    <w:rsid w:val="00445056"/>
    <w:rsid w:val="00446F05"/>
    <w:rsid w:val="00447551"/>
    <w:rsid w:val="0044762A"/>
    <w:rsid w:val="00447FD6"/>
    <w:rsid w:val="004500E2"/>
    <w:rsid w:val="00450C5C"/>
    <w:rsid w:val="00453228"/>
    <w:rsid w:val="004538A9"/>
    <w:rsid w:val="00454472"/>
    <w:rsid w:val="0045522F"/>
    <w:rsid w:val="004554EC"/>
    <w:rsid w:val="00455697"/>
    <w:rsid w:val="00455DDF"/>
    <w:rsid w:val="00456558"/>
    <w:rsid w:val="004567F8"/>
    <w:rsid w:val="00457022"/>
    <w:rsid w:val="00457E19"/>
    <w:rsid w:val="004602B7"/>
    <w:rsid w:val="00463251"/>
    <w:rsid w:val="00464606"/>
    <w:rsid w:val="00464B65"/>
    <w:rsid w:val="004658B0"/>
    <w:rsid w:val="00465C99"/>
    <w:rsid w:val="00465FE1"/>
    <w:rsid w:val="00466101"/>
    <w:rsid w:val="00466CFB"/>
    <w:rsid w:val="00466EF6"/>
    <w:rsid w:val="0046744C"/>
    <w:rsid w:val="00470025"/>
    <w:rsid w:val="00470773"/>
    <w:rsid w:val="0047164D"/>
    <w:rsid w:val="00474CD1"/>
    <w:rsid w:val="00475887"/>
    <w:rsid w:val="00475E6C"/>
    <w:rsid w:val="0047713A"/>
    <w:rsid w:val="00482FE5"/>
    <w:rsid w:val="004847AE"/>
    <w:rsid w:val="00485246"/>
    <w:rsid w:val="00487C98"/>
    <w:rsid w:val="00490698"/>
    <w:rsid w:val="00491E5F"/>
    <w:rsid w:val="00492873"/>
    <w:rsid w:val="00493115"/>
    <w:rsid w:val="004938D6"/>
    <w:rsid w:val="004949AD"/>
    <w:rsid w:val="00494F1F"/>
    <w:rsid w:val="0049617F"/>
    <w:rsid w:val="004967E2"/>
    <w:rsid w:val="004A290A"/>
    <w:rsid w:val="004A73CD"/>
    <w:rsid w:val="004A7F9B"/>
    <w:rsid w:val="004B1A28"/>
    <w:rsid w:val="004B4963"/>
    <w:rsid w:val="004B4AEC"/>
    <w:rsid w:val="004B5539"/>
    <w:rsid w:val="004B557A"/>
    <w:rsid w:val="004B610F"/>
    <w:rsid w:val="004B6602"/>
    <w:rsid w:val="004B66CC"/>
    <w:rsid w:val="004B7397"/>
    <w:rsid w:val="004C19F4"/>
    <w:rsid w:val="004C401F"/>
    <w:rsid w:val="004C5E89"/>
    <w:rsid w:val="004C7515"/>
    <w:rsid w:val="004D27B0"/>
    <w:rsid w:val="004D2FBE"/>
    <w:rsid w:val="004D336A"/>
    <w:rsid w:val="004D4129"/>
    <w:rsid w:val="004D498D"/>
    <w:rsid w:val="004D4C3E"/>
    <w:rsid w:val="004D4EDD"/>
    <w:rsid w:val="004D51E1"/>
    <w:rsid w:val="004D67AE"/>
    <w:rsid w:val="004D78AA"/>
    <w:rsid w:val="004D7BB1"/>
    <w:rsid w:val="004E002E"/>
    <w:rsid w:val="004E1733"/>
    <w:rsid w:val="004E2807"/>
    <w:rsid w:val="004E2BE1"/>
    <w:rsid w:val="004E32C6"/>
    <w:rsid w:val="004E411C"/>
    <w:rsid w:val="004E46F1"/>
    <w:rsid w:val="004E5162"/>
    <w:rsid w:val="004E62DC"/>
    <w:rsid w:val="004E6612"/>
    <w:rsid w:val="004E70A8"/>
    <w:rsid w:val="004E710B"/>
    <w:rsid w:val="004E7500"/>
    <w:rsid w:val="004E7656"/>
    <w:rsid w:val="004F026D"/>
    <w:rsid w:val="004F14C5"/>
    <w:rsid w:val="004F27FE"/>
    <w:rsid w:val="004F2BBC"/>
    <w:rsid w:val="004F3066"/>
    <w:rsid w:val="004F3138"/>
    <w:rsid w:val="004F3531"/>
    <w:rsid w:val="004F3B67"/>
    <w:rsid w:val="004F3DC8"/>
    <w:rsid w:val="004F59D6"/>
    <w:rsid w:val="004F6614"/>
    <w:rsid w:val="00500AAA"/>
    <w:rsid w:val="0050154E"/>
    <w:rsid w:val="00501AA6"/>
    <w:rsid w:val="00503993"/>
    <w:rsid w:val="00504C4E"/>
    <w:rsid w:val="005056A1"/>
    <w:rsid w:val="00505BB1"/>
    <w:rsid w:val="0050632B"/>
    <w:rsid w:val="0050663D"/>
    <w:rsid w:val="0050720C"/>
    <w:rsid w:val="00507215"/>
    <w:rsid w:val="005073BA"/>
    <w:rsid w:val="00507B0D"/>
    <w:rsid w:val="00510656"/>
    <w:rsid w:val="005107AF"/>
    <w:rsid w:val="00510E6A"/>
    <w:rsid w:val="0051112D"/>
    <w:rsid w:val="00512271"/>
    <w:rsid w:val="00512B37"/>
    <w:rsid w:val="00513D0C"/>
    <w:rsid w:val="0051607B"/>
    <w:rsid w:val="00516BD3"/>
    <w:rsid w:val="00517C4E"/>
    <w:rsid w:val="005203F7"/>
    <w:rsid w:val="005217E3"/>
    <w:rsid w:val="00522122"/>
    <w:rsid w:val="005229BA"/>
    <w:rsid w:val="0052347F"/>
    <w:rsid w:val="00523A9E"/>
    <w:rsid w:val="00524C9E"/>
    <w:rsid w:val="00524EC2"/>
    <w:rsid w:val="00530AF0"/>
    <w:rsid w:val="00531631"/>
    <w:rsid w:val="00532AAC"/>
    <w:rsid w:val="005336DD"/>
    <w:rsid w:val="0053503A"/>
    <w:rsid w:val="00536F30"/>
    <w:rsid w:val="00537859"/>
    <w:rsid w:val="00540AAA"/>
    <w:rsid w:val="00541D24"/>
    <w:rsid w:val="00541D49"/>
    <w:rsid w:val="00541FC6"/>
    <w:rsid w:val="005421D8"/>
    <w:rsid w:val="005423DA"/>
    <w:rsid w:val="00543CE3"/>
    <w:rsid w:val="00543F14"/>
    <w:rsid w:val="00544601"/>
    <w:rsid w:val="005446BA"/>
    <w:rsid w:val="00547940"/>
    <w:rsid w:val="00547F8A"/>
    <w:rsid w:val="00551411"/>
    <w:rsid w:val="005518C2"/>
    <w:rsid w:val="00552EF8"/>
    <w:rsid w:val="00553C88"/>
    <w:rsid w:val="00555563"/>
    <w:rsid w:val="00555F83"/>
    <w:rsid w:val="00556789"/>
    <w:rsid w:val="00556DF0"/>
    <w:rsid w:val="00556F97"/>
    <w:rsid w:val="00557309"/>
    <w:rsid w:val="00560164"/>
    <w:rsid w:val="00563CB9"/>
    <w:rsid w:val="00564003"/>
    <w:rsid w:val="005642D5"/>
    <w:rsid w:val="005648F5"/>
    <w:rsid w:val="0056499A"/>
    <w:rsid w:val="00566230"/>
    <w:rsid w:val="00566788"/>
    <w:rsid w:val="005670BF"/>
    <w:rsid w:val="005671F2"/>
    <w:rsid w:val="005677DD"/>
    <w:rsid w:val="00567821"/>
    <w:rsid w:val="00570627"/>
    <w:rsid w:val="00570C0E"/>
    <w:rsid w:val="00572179"/>
    <w:rsid w:val="00572788"/>
    <w:rsid w:val="0057398B"/>
    <w:rsid w:val="005746D7"/>
    <w:rsid w:val="00574BAF"/>
    <w:rsid w:val="00576522"/>
    <w:rsid w:val="005765C5"/>
    <w:rsid w:val="005777D4"/>
    <w:rsid w:val="005827A0"/>
    <w:rsid w:val="00584979"/>
    <w:rsid w:val="00584C1F"/>
    <w:rsid w:val="005856AD"/>
    <w:rsid w:val="005860FC"/>
    <w:rsid w:val="005873A3"/>
    <w:rsid w:val="005874FB"/>
    <w:rsid w:val="00587DD6"/>
    <w:rsid w:val="00590E93"/>
    <w:rsid w:val="00590F69"/>
    <w:rsid w:val="005910C4"/>
    <w:rsid w:val="00591A05"/>
    <w:rsid w:val="00594FA2"/>
    <w:rsid w:val="005959CA"/>
    <w:rsid w:val="00595BF9"/>
    <w:rsid w:val="00595BFA"/>
    <w:rsid w:val="005A2C7D"/>
    <w:rsid w:val="005A36E6"/>
    <w:rsid w:val="005A3776"/>
    <w:rsid w:val="005A4306"/>
    <w:rsid w:val="005A5AC7"/>
    <w:rsid w:val="005A6ED5"/>
    <w:rsid w:val="005A754A"/>
    <w:rsid w:val="005A75F8"/>
    <w:rsid w:val="005B06A7"/>
    <w:rsid w:val="005B0C6D"/>
    <w:rsid w:val="005B13DF"/>
    <w:rsid w:val="005B2145"/>
    <w:rsid w:val="005B316E"/>
    <w:rsid w:val="005B3908"/>
    <w:rsid w:val="005B5866"/>
    <w:rsid w:val="005B6440"/>
    <w:rsid w:val="005B6793"/>
    <w:rsid w:val="005B7A91"/>
    <w:rsid w:val="005C00D2"/>
    <w:rsid w:val="005C11AD"/>
    <w:rsid w:val="005C2E6D"/>
    <w:rsid w:val="005C2FB0"/>
    <w:rsid w:val="005C6905"/>
    <w:rsid w:val="005C7A0B"/>
    <w:rsid w:val="005D002A"/>
    <w:rsid w:val="005D0826"/>
    <w:rsid w:val="005D166E"/>
    <w:rsid w:val="005D1788"/>
    <w:rsid w:val="005D370D"/>
    <w:rsid w:val="005D5B4D"/>
    <w:rsid w:val="005D6239"/>
    <w:rsid w:val="005D7983"/>
    <w:rsid w:val="005D7C63"/>
    <w:rsid w:val="005E1324"/>
    <w:rsid w:val="005E21ED"/>
    <w:rsid w:val="005E223A"/>
    <w:rsid w:val="005E2664"/>
    <w:rsid w:val="005E2DF1"/>
    <w:rsid w:val="005E3A79"/>
    <w:rsid w:val="005E3AEE"/>
    <w:rsid w:val="005E4215"/>
    <w:rsid w:val="005E5F59"/>
    <w:rsid w:val="005E66AF"/>
    <w:rsid w:val="005E6831"/>
    <w:rsid w:val="005F0D8A"/>
    <w:rsid w:val="005F1198"/>
    <w:rsid w:val="005F17C5"/>
    <w:rsid w:val="005F2AA0"/>
    <w:rsid w:val="005F3140"/>
    <w:rsid w:val="005F3CCB"/>
    <w:rsid w:val="005F54E0"/>
    <w:rsid w:val="005F5E61"/>
    <w:rsid w:val="005F64F2"/>
    <w:rsid w:val="005F7B1D"/>
    <w:rsid w:val="005F7DF0"/>
    <w:rsid w:val="00601E26"/>
    <w:rsid w:val="00601F8B"/>
    <w:rsid w:val="0060223E"/>
    <w:rsid w:val="00602695"/>
    <w:rsid w:val="006026D1"/>
    <w:rsid w:val="00604CE1"/>
    <w:rsid w:val="00604EA3"/>
    <w:rsid w:val="00605568"/>
    <w:rsid w:val="00606335"/>
    <w:rsid w:val="0060717C"/>
    <w:rsid w:val="006075BA"/>
    <w:rsid w:val="006102C8"/>
    <w:rsid w:val="00610873"/>
    <w:rsid w:val="00610DAB"/>
    <w:rsid w:val="00612282"/>
    <w:rsid w:val="00612428"/>
    <w:rsid w:val="00612D48"/>
    <w:rsid w:val="00614306"/>
    <w:rsid w:val="006150B0"/>
    <w:rsid w:val="006163C0"/>
    <w:rsid w:val="006172D8"/>
    <w:rsid w:val="00620EF8"/>
    <w:rsid w:val="00621094"/>
    <w:rsid w:val="006211AD"/>
    <w:rsid w:val="006216C7"/>
    <w:rsid w:val="006217BE"/>
    <w:rsid w:val="00621C7D"/>
    <w:rsid w:val="006265AA"/>
    <w:rsid w:val="0062714E"/>
    <w:rsid w:val="006274AA"/>
    <w:rsid w:val="006276E0"/>
    <w:rsid w:val="00630796"/>
    <w:rsid w:val="00631218"/>
    <w:rsid w:val="00631AE7"/>
    <w:rsid w:val="00633823"/>
    <w:rsid w:val="0063518D"/>
    <w:rsid w:val="00635793"/>
    <w:rsid w:val="00635E03"/>
    <w:rsid w:val="006400A3"/>
    <w:rsid w:val="006469E5"/>
    <w:rsid w:val="0064761A"/>
    <w:rsid w:val="0065015F"/>
    <w:rsid w:val="00650810"/>
    <w:rsid w:val="006517C6"/>
    <w:rsid w:val="00651CCA"/>
    <w:rsid w:val="00654085"/>
    <w:rsid w:val="006543AF"/>
    <w:rsid w:val="00654A92"/>
    <w:rsid w:val="006571EE"/>
    <w:rsid w:val="00660056"/>
    <w:rsid w:val="00660BEF"/>
    <w:rsid w:val="00661A9D"/>
    <w:rsid w:val="00661CB0"/>
    <w:rsid w:val="00661F0D"/>
    <w:rsid w:val="0066291A"/>
    <w:rsid w:val="00662DD3"/>
    <w:rsid w:val="00663FC1"/>
    <w:rsid w:val="006640BA"/>
    <w:rsid w:val="00664CA6"/>
    <w:rsid w:val="0066543B"/>
    <w:rsid w:val="006676EE"/>
    <w:rsid w:val="00670981"/>
    <w:rsid w:val="00671BB5"/>
    <w:rsid w:val="006734C7"/>
    <w:rsid w:val="00673869"/>
    <w:rsid w:val="006738E8"/>
    <w:rsid w:val="006744D3"/>
    <w:rsid w:val="00675581"/>
    <w:rsid w:val="00675C85"/>
    <w:rsid w:val="006771A8"/>
    <w:rsid w:val="006808B0"/>
    <w:rsid w:val="00680D20"/>
    <w:rsid w:val="006813C4"/>
    <w:rsid w:val="006814FE"/>
    <w:rsid w:val="00681D98"/>
    <w:rsid w:val="00681EB4"/>
    <w:rsid w:val="00681F05"/>
    <w:rsid w:val="00681F18"/>
    <w:rsid w:val="00682302"/>
    <w:rsid w:val="006838E6"/>
    <w:rsid w:val="006848EA"/>
    <w:rsid w:val="00686F61"/>
    <w:rsid w:val="0068782C"/>
    <w:rsid w:val="0069021E"/>
    <w:rsid w:val="006904BE"/>
    <w:rsid w:val="00690F2A"/>
    <w:rsid w:val="00691540"/>
    <w:rsid w:val="0069288A"/>
    <w:rsid w:val="0069292E"/>
    <w:rsid w:val="00692CF4"/>
    <w:rsid w:val="00693BFA"/>
    <w:rsid w:val="00693D42"/>
    <w:rsid w:val="00695124"/>
    <w:rsid w:val="00695CDA"/>
    <w:rsid w:val="00696C23"/>
    <w:rsid w:val="00696F5E"/>
    <w:rsid w:val="006974D8"/>
    <w:rsid w:val="006A0A62"/>
    <w:rsid w:val="006A199F"/>
    <w:rsid w:val="006A2861"/>
    <w:rsid w:val="006A2B54"/>
    <w:rsid w:val="006A41F6"/>
    <w:rsid w:val="006A458E"/>
    <w:rsid w:val="006A4759"/>
    <w:rsid w:val="006A50F6"/>
    <w:rsid w:val="006A5461"/>
    <w:rsid w:val="006A66DC"/>
    <w:rsid w:val="006B02E7"/>
    <w:rsid w:val="006B1278"/>
    <w:rsid w:val="006B30B4"/>
    <w:rsid w:val="006B3259"/>
    <w:rsid w:val="006B3798"/>
    <w:rsid w:val="006B3811"/>
    <w:rsid w:val="006B4C49"/>
    <w:rsid w:val="006B55C5"/>
    <w:rsid w:val="006B5B44"/>
    <w:rsid w:val="006B5FA2"/>
    <w:rsid w:val="006B6616"/>
    <w:rsid w:val="006B7384"/>
    <w:rsid w:val="006B7C3B"/>
    <w:rsid w:val="006B7FFE"/>
    <w:rsid w:val="006C0C20"/>
    <w:rsid w:val="006C2CA4"/>
    <w:rsid w:val="006C33C6"/>
    <w:rsid w:val="006C5F9A"/>
    <w:rsid w:val="006D05EF"/>
    <w:rsid w:val="006D0DD5"/>
    <w:rsid w:val="006D1164"/>
    <w:rsid w:val="006D32B3"/>
    <w:rsid w:val="006D410B"/>
    <w:rsid w:val="006D4594"/>
    <w:rsid w:val="006D4C62"/>
    <w:rsid w:val="006D4D5B"/>
    <w:rsid w:val="006D7F7F"/>
    <w:rsid w:val="006E0290"/>
    <w:rsid w:val="006E0D94"/>
    <w:rsid w:val="006E31BA"/>
    <w:rsid w:val="006E3EAA"/>
    <w:rsid w:val="006E3EB4"/>
    <w:rsid w:val="006E40EA"/>
    <w:rsid w:val="006E52D3"/>
    <w:rsid w:val="006E5519"/>
    <w:rsid w:val="006E5EDF"/>
    <w:rsid w:val="006E6EA9"/>
    <w:rsid w:val="006F09DA"/>
    <w:rsid w:val="006F5EB5"/>
    <w:rsid w:val="00700CC9"/>
    <w:rsid w:val="00701B1B"/>
    <w:rsid w:val="00703335"/>
    <w:rsid w:val="00705031"/>
    <w:rsid w:val="00711D42"/>
    <w:rsid w:val="00712B0F"/>
    <w:rsid w:val="007132B5"/>
    <w:rsid w:val="007142E1"/>
    <w:rsid w:val="007146E5"/>
    <w:rsid w:val="00714CB7"/>
    <w:rsid w:val="007150F6"/>
    <w:rsid w:val="007157F9"/>
    <w:rsid w:val="00715C5E"/>
    <w:rsid w:val="00716683"/>
    <w:rsid w:val="00717BFD"/>
    <w:rsid w:val="00717FF0"/>
    <w:rsid w:val="00722947"/>
    <w:rsid w:val="00722D3C"/>
    <w:rsid w:val="0072443A"/>
    <w:rsid w:val="007261BC"/>
    <w:rsid w:val="007266A5"/>
    <w:rsid w:val="007266EC"/>
    <w:rsid w:val="00727115"/>
    <w:rsid w:val="007306FC"/>
    <w:rsid w:val="00730C08"/>
    <w:rsid w:val="007310E6"/>
    <w:rsid w:val="0073192B"/>
    <w:rsid w:val="00733205"/>
    <w:rsid w:val="00734D86"/>
    <w:rsid w:val="00737C8B"/>
    <w:rsid w:val="00740CC0"/>
    <w:rsid w:val="00740E07"/>
    <w:rsid w:val="007415E0"/>
    <w:rsid w:val="00741DBE"/>
    <w:rsid w:val="00742BBA"/>
    <w:rsid w:val="00742F4E"/>
    <w:rsid w:val="00743B54"/>
    <w:rsid w:val="00743C06"/>
    <w:rsid w:val="0074532F"/>
    <w:rsid w:val="00745A4D"/>
    <w:rsid w:val="00746075"/>
    <w:rsid w:val="007472FC"/>
    <w:rsid w:val="00750E19"/>
    <w:rsid w:val="00751107"/>
    <w:rsid w:val="007525D4"/>
    <w:rsid w:val="00752769"/>
    <w:rsid w:val="007537C0"/>
    <w:rsid w:val="00753A92"/>
    <w:rsid w:val="00756350"/>
    <w:rsid w:val="0075778C"/>
    <w:rsid w:val="0076041D"/>
    <w:rsid w:val="00760A35"/>
    <w:rsid w:val="007622ED"/>
    <w:rsid w:val="00762902"/>
    <w:rsid w:val="0076290A"/>
    <w:rsid w:val="00763E54"/>
    <w:rsid w:val="007647F5"/>
    <w:rsid w:val="00767D3B"/>
    <w:rsid w:val="00770A56"/>
    <w:rsid w:val="00771AEE"/>
    <w:rsid w:val="00771C8D"/>
    <w:rsid w:val="0077498A"/>
    <w:rsid w:val="00774DAE"/>
    <w:rsid w:val="00777829"/>
    <w:rsid w:val="00777E49"/>
    <w:rsid w:val="007814E5"/>
    <w:rsid w:val="007821A5"/>
    <w:rsid w:val="00782462"/>
    <w:rsid w:val="00783A49"/>
    <w:rsid w:val="00783A83"/>
    <w:rsid w:val="00785A4B"/>
    <w:rsid w:val="00786250"/>
    <w:rsid w:val="0078789E"/>
    <w:rsid w:val="00787FCF"/>
    <w:rsid w:val="00791189"/>
    <w:rsid w:val="00791CF1"/>
    <w:rsid w:val="00792935"/>
    <w:rsid w:val="00792D23"/>
    <w:rsid w:val="00792F2A"/>
    <w:rsid w:val="0079403C"/>
    <w:rsid w:val="00794D50"/>
    <w:rsid w:val="007966B8"/>
    <w:rsid w:val="007966EC"/>
    <w:rsid w:val="007A10A0"/>
    <w:rsid w:val="007A2FB3"/>
    <w:rsid w:val="007A437B"/>
    <w:rsid w:val="007A4AF8"/>
    <w:rsid w:val="007A4E5F"/>
    <w:rsid w:val="007A5BC0"/>
    <w:rsid w:val="007A6374"/>
    <w:rsid w:val="007A6AB0"/>
    <w:rsid w:val="007A73B2"/>
    <w:rsid w:val="007B06C7"/>
    <w:rsid w:val="007B072A"/>
    <w:rsid w:val="007B07EC"/>
    <w:rsid w:val="007B0B5C"/>
    <w:rsid w:val="007B171F"/>
    <w:rsid w:val="007B1FD5"/>
    <w:rsid w:val="007B2791"/>
    <w:rsid w:val="007B39FC"/>
    <w:rsid w:val="007B3CC0"/>
    <w:rsid w:val="007B4CB7"/>
    <w:rsid w:val="007B4FA0"/>
    <w:rsid w:val="007B542E"/>
    <w:rsid w:val="007B552F"/>
    <w:rsid w:val="007B66C8"/>
    <w:rsid w:val="007C233D"/>
    <w:rsid w:val="007C3767"/>
    <w:rsid w:val="007C4234"/>
    <w:rsid w:val="007C584E"/>
    <w:rsid w:val="007C6FBD"/>
    <w:rsid w:val="007C7254"/>
    <w:rsid w:val="007D000A"/>
    <w:rsid w:val="007D044C"/>
    <w:rsid w:val="007D10C1"/>
    <w:rsid w:val="007D273A"/>
    <w:rsid w:val="007D3550"/>
    <w:rsid w:val="007D3D96"/>
    <w:rsid w:val="007D46EB"/>
    <w:rsid w:val="007D5258"/>
    <w:rsid w:val="007D743B"/>
    <w:rsid w:val="007D79E2"/>
    <w:rsid w:val="007E0EF1"/>
    <w:rsid w:val="007E1C2B"/>
    <w:rsid w:val="007E1ED4"/>
    <w:rsid w:val="007E28FC"/>
    <w:rsid w:val="007E2F5B"/>
    <w:rsid w:val="007E4C93"/>
    <w:rsid w:val="007E6221"/>
    <w:rsid w:val="007F0D88"/>
    <w:rsid w:val="007F10C6"/>
    <w:rsid w:val="007F1B12"/>
    <w:rsid w:val="007F256A"/>
    <w:rsid w:val="007F3B95"/>
    <w:rsid w:val="007F4C72"/>
    <w:rsid w:val="007F4D5D"/>
    <w:rsid w:val="007F4FDC"/>
    <w:rsid w:val="007F5307"/>
    <w:rsid w:val="007F6D10"/>
    <w:rsid w:val="007F6FD8"/>
    <w:rsid w:val="008001A6"/>
    <w:rsid w:val="00801C45"/>
    <w:rsid w:val="00802130"/>
    <w:rsid w:val="00802AAB"/>
    <w:rsid w:val="00803045"/>
    <w:rsid w:val="00803A45"/>
    <w:rsid w:val="0080410A"/>
    <w:rsid w:val="008041A1"/>
    <w:rsid w:val="0080449C"/>
    <w:rsid w:val="008046DF"/>
    <w:rsid w:val="00810060"/>
    <w:rsid w:val="008114B5"/>
    <w:rsid w:val="00812706"/>
    <w:rsid w:val="0081291E"/>
    <w:rsid w:val="00812FE9"/>
    <w:rsid w:val="0081366C"/>
    <w:rsid w:val="00816989"/>
    <w:rsid w:val="00816BE1"/>
    <w:rsid w:val="008176FA"/>
    <w:rsid w:val="00817A78"/>
    <w:rsid w:val="008223FF"/>
    <w:rsid w:val="0082358A"/>
    <w:rsid w:val="0082491E"/>
    <w:rsid w:val="00825926"/>
    <w:rsid w:val="0082690B"/>
    <w:rsid w:val="0082746B"/>
    <w:rsid w:val="00831274"/>
    <w:rsid w:val="00832D1B"/>
    <w:rsid w:val="00834715"/>
    <w:rsid w:val="00835653"/>
    <w:rsid w:val="00835916"/>
    <w:rsid w:val="00837268"/>
    <w:rsid w:val="008377F3"/>
    <w:rsid w:val="00837823"/>
    <w:rsid w:val="0083792F"/>
    <w:rsid w:val="00837EDC"/>
    <w:rsid w:val="00840BEB"/>
    <w:rsid w:val="00840F94"/>
    <w:rsid w:val="00844C27"/>
    <w:rsid w:val="00845914"/>
    <w:rsid w:val="00846445"/>
    <w:rsid w:val="008467C1"/>
    <w:rsid w:val="0085089C"/>
    <w:rsid w:val="00850985"/>
    <w:rsid w:val="00850E21"/>
    <w:rsid w:val="00850F27"/>
    <w:rsid w:val="0085136D"/>
    <w:rsid w:val="00851ED2"/>
    <w:rsid w:val="00852599"/>
    <w:rsid w:val="0085266A"/>
    <w:rsid w:val="00852EAF"/>
    <w:rsid w:val="008533E0"/>
    <w:rsid w:val="00853476"/>
    <w:rsid w:val="008544B5"/>
    <w:rsid w:val="00854640"/>
    <w:rsid w:val="008549EB"/>
    <w:rsid w:val="00854BC8"/>
    <w:rsid w:val="00854DB1"/>
    <w:rsid w:val="00854E66"/>
    <w:rsid w:val="00855395"/>
    <w:rsid w:val="0085597B"/>
    <w:rsid w:val="008608FF"/>
    <w:rsid w:val="0086120E"/>
    <w:rsid w:val="00862CC1"/>
    <w:rsid w:val="00863621"/>
    <w:rsid w:val="00866406"/>
    <w:rsid w:val="00866706"/>
    <w:rsid w:val="00867155"/>
    <w:rsid w:val="008677BB"/>
    <w:rsid w:val="008711FC"/>
    <w:rsid w:val="0087144C"/>
    <w:rsid w:val="00872DB6"/>
    <w:rsid w:val="0087316B"/>
    <w:rsid w:val="00873DBF"/>
    <w:rsid w:val="008741E8"/>
    <w:rsid w:val="00876585"/>
    <w:rsid w:val="00880A5B"/>
    <w:rsid w:val="00882C20"/>
    <w:rsid w:val="00883C0F"/>
    <w:rsid w:val="00884199"/>
    <w:rsid w:val="00884486"/>
    <w:rsid w:val="00884CB1"/>
    <w:rsid w:val="00887688"/>
    <w:rsid w:val="00887F4E"/>
    <w:rsid w:val="00892F93"/>
    <w:rsid w:val="0089456C"/>
    <w:rsid w:val="00894E5A"/>
    <w:rsid w:val="008952C3"/>
    <w:rsid w:val="00895F7F"/>
    <w:rsid w:val="0089609A"/>
    <w:rsid w:val="00896F14"/>
    <w:rsid w:val="008971B6"/>
    <w:rsid w:val="0089787D"/>
    <w:rsid w:val="00897B49"/>
    <w:rsid w:val="008A1450"/>
    <w:rsid w:val="008A17C9"/>
    <w:rsid w:val="008A2157"/>
    <w:rsid w:val="008A21D5"/>
    <w:rsid w:val="008A2F0B"/>
    <w:rsid w:val="008A37EA"/>
    <w:rsid w:val="008A3C25"/>
    <w:rsid w:val="008A41C5"/>
    <w:rsid w:val="008A50F9"/>
    <w:rsid w:val="008A5B5A"/>
    <w:rsid w:val="008A5E1D"/>
    <w:rsid w:val="008A6140"/>
    <w:rsid w:val="008A71E5"/>
    <w:rsid w:val="008B02D6"/>
    <w:rsid w:val="008B0A5D"/>
    <w:rsid w:val="008B0BF3"/>
    <w:rsid w:val="008B2637"/>
    <w:rsid w:val="008B2ADB"/>
    <w:rsid w:val="008B3507"/>
    <w:rsid w:val="008B35F0"/>
    <w:rsid w:val="008B5113"/>
    <w:rsid w:val="008B69A4"/>
    <w:rsid w:val="008B6F66"/>
    <w:rsid w:val="008B6FE6"/>
    <w:rsid w:val="008C1D2C"/>
    <w:rsid w:val="008C1D91"/>
    <w:rsid w:val="008C2828"/>
    <w:rsid w:val="008C3A57"/>
    <w:rsid w:val="008C3E0C"/>
    <w:rsid w:val="008C3F20"/>
    <w:rsid w:val="008C6616"/>
    <w:rsid w:val="008D0104"/>
    <w:rsid w:val="008D3483"/>
    <w:rsid w:val="008D3C5E"/>
    <w:rsid w:val="008D3C90"/>
    <w:rsid w:val="008D4530"/>
    <w:rsid w:val="008D49B0"/>
    <w:rsid w:val="008E11B3"/>
    <w:rsid w:val="008E1AB8"/>
    <w:rsid w:val="008E2B41"/>
    <w:rsid w:val="008E2B5A"/>
    <w:rsid w:val="008E34A4"/>
    <w:rsid w:val="008E4DB0"/>
    <w:rsid w:val="008E51E7"/>
    <w:rsid w:val="008E78A0"/>
    <w:rsid w:val="008E7E40"/>
    <w:rsid w:val="008F0C3D"/>
    <w:rsid w:val="008F14B2"/>
    <w:rsid w:val="008F1534"/>
    <w:rsid w:val="008F1CFA"/>
    <w:rsid w:val="008F293D"/>
    <w:rsid w:val="008F2E7B"/>
    <w:rsid w:val="008F314F"/>
    <w:rsid w:val="008F5219"/>
    <w:rsid w:val="008F6958"/>
    <w:rsid w:val="008F735B"/>
    <w:rsid w:val="009004A8"/>
    <w:rsid w:val="00900FEE"/>
    <w:rsid w:val="00901BDE"/>
    <w:rsid w:val="00902473"/>
    <w:rsid w:val="00903981"/>
    <w:rsid w:val="00904BAB"/>
    <w:rsid w:val="00905826"/>
    <w:rsid w:val="00905C3F"/>
    <w:rsid w:val="00906066"/>
    <w:rsid w:val="00907649"/>
    <w:rsid w:val="00907AF8"/>
    <w:rsid w:val="009114BF"/>
    <w:rsid w:val="00911C8A"/>
    <w:rsid w:val="00911F72"/>
    <w:rsid w:val="0091566F"/>
    <w:rsid w:val="0091751E"/>
    <w:rsid w:val="009175D9"/>
    <w:rsid w:val="009179B9"/>
    <w:rsid w:val="00917C87"/>
    <w:rsid w:val="00920B49"/>
    <w:rsid w:val="00921935"/>
    <w:rsid w:val="00922C02"/>
    <w:rsid w:val="00925110"/>
    <w:rsid w:val="009252DD"/>
    <w:rsid w:val="0092556A"/>
    <w:rsid w:val="009256AD"/>
    <w:rsid w:val="00925C14"/>
    <w:rsid w:val="00930009"/>
    <w:rsid w:val="00930654"/>
    <w:rsid w:val="00931609"/>
    <w:rsid w:val="009321BD"/>
    <w:rsid w:val="009349CC"/>
    <w:rsid w:val="009350FC"/>
    <w:rsid w:val="0093582E"/>
    <w:rsid w:val="0093585C"/>
    <w:rsid w:val="00935C6F"/>
    <w:rsid w:val="00937153"/>
    <w:rsid w:val="009373DC"/>
    <w:rsid w:val="009375F4"/>
    <w:rsid w:val="00937D27"/>
    <w:rsid w:val="00940A4A"/>
    <w:rsid w:val="00941512"/>
    <w:rsid w:val="00941959"/>
    <w:rsid w:val="00942B34"/>
    <w:rsid w:val="009443E4"/>
    <w:rsid w:val="00945698"/>
    <w:rsid w:val="00945DDE"/>
    <w:rsid w:val="00947451"/>
    <w:rsid w:val="00947D5A"/>
    <w:rsid w:val="009510C8"/>
    <w:rsid w:val="00951E13"/>
    <w:rsid w:val="00951E46"/>
    <w:rsid w:val="00953205"/>
    <w:rsid w:val="00953B09"/>
    <w:rsid w:val="009544FD"/>
    <w:rsid w:val="00954615"/>
    <w:rsid w:val="00954814"/>
    <w:rsid w:val="009556DD"/>
    <w:rsid w:val="00955EB7"/>
    <w:rsid w:val="00957C8E"/>
    <w:rsid w:val="0096020A"/>
    <w:rsid w:val="0096084F"/>
    <w:rsid w:val="009610EA"/>
    <w:rsid w:val="009620E6"/>
    <w:rsid w:val="0096211F"/>
    <w:rsid w:val="00962F77"/>
    <w:rsid w:val="0096308B"/>
    <w:rsid w:val="009633AC"/>
    <w:rsid w:val="0096456D"/>
    <w:rsid w:val="00964ACD"/>
    <w:rsid w:val="00964E41"/>
    <w:rsid w:val="00965483"/>
    <w:rsid w:val="009661CC"/>
    <w:rsid w:val="00967718"/>
    <w:rsid w:val="0097075E"/>
    <w:rsid w:val="0097107A"/>
    <w:rsid w:val="00972580"/>
    <w:rsid w:val="00973382"/>
    <w:rsid w:val="00977A37"/>
    <w:rsid w:val="0098025D"/>
    <w:rsid w:val="00980342"/>
    <w:rsid w:val="009808DD"/>
    <w:rsid w:val="00981055"/>
    <w:rsid w:val="00981F61"/>
    <w:rsid w:val="00982DF9"/>
    <w:rsid w:val="00983B7E"/>
    <w:rsid w:val="00985D07"/>
    <w:rsid w:val="009863ED"/>
    <w:rsid w:val="00986B44"/>
    <w:rsid w:val="009876FE"/>
    <w:rsid w:val="00987ADD"/>
    <w:rsid w:val="00990D98"/>
    <w:rsid w:val="00992C9E"/>
    <w:rsid w:val="00994310"/>
    <w:rsid w:val="00995B17"/>
    <w:rsid w:val="00995DCD"/>
    <w:rsid w:val="00996BAB"/>
    <w:rsid w:val="009974BA"/>
    <w:rsid w:val="009976BB"/>
    <w:rsid w:val="009A008D"/>
    <w:rsid w:val="009A1ADF"/>
    <w:rsid w:val="009A1BDE"/>
    <w:rsid w:val="009A4A3B"/>
    <w:rsid w:val="009A4AA3"/>
    <w:rsid w:val="009A4CEA"/>
    <w:rsid w:val="009A5E51"/>
    <w:rsid w:val="009A6730"/>
    <w:rsid w:val="009A6EDD"/>
    <w:rsid w:val="009A7301"/>
    <w:rsid w:val="009B03D8"/>
    <w:rsid w:val="009B1F2E"/>
    <w:rsid w:val="009B3EF9"/>
    <w:rsid w:val="009B41E9"/>
    <w:rsid w:val="009B4D2F"/>
    <w:rsid w:val="009B4D8A"/>
    <w:rsid w:val="009B4F5B"/>
    <w:rsid w:val="009B5704"/>
    <w:rsid w:val="009B60D3"/>
    <w:rsid w:val="009B6BA0"/>
    <w:rsid w:val="009B70E5"/>
    <w:rsid w:val="009B79FC"/>
    <w:rsid w:val="009C0306"/>
    <w:rsid w:val="009C0317"/>
    <w:rsid w:val="009C0662"/>
    <w:rsid w:val="009C1AAF"/>
    <w:rsid w:val="009C1B58"/>
    <w:rsid w:val="009C1E8D"/>
    <w:rsid w:val="009C21CD"/>
    <w:rsid w:val="009C5062"/>
    <w:rsid w:val="009C60E2"/>
    <w:rsid w:val="009C655F"/>
    <w:rsid w:val="009C6ADB"/>
    <w:rsid w:val="009C6B74"/>
    <w:rsid w:val="009D04FB"/>
    <w:rsid w:val="009D308C"/>
    <w:rsid w:val="009D43A0"/>
    <w:rsid w:val="009D627C"/>
    <w:rsid w:val="009D63DA"/>
    <w:rsid w:val="009E04B7"/>
    <w:rsid w:val="009E31D7"/>
    <w:rsid w:val="009E4038"/>
    <w:rsid w:val="009E42A9"/>
    <w:rsid w:val="009E5722"/>
    <w:rsid w:val="009E60B5"/>
    <w:rsid w:val="009E7A84"/>
    <w:rsid w:val="009F056B"/>
    <w:rsid w:val="009F08D5"/>
    <w:rsid w:val="009F17CF"/>
    <w:rsid w:val="009F2C39"/>
    <w:rsid w:val="009F5613"/>
    <w:rsid w:val="009F645F"/>
    <w:rsid w:val="009F6AA0"/>
    <w:rsid w:val="009F7B37"/>
    <w:rsid w:val="00A001F7"/>
    <w:rsid w:val="00A00283"/>
    <w:rsid w:val="00A00D16"/>
    <w:rsid w:val="00A01560"/>
    <w:rsid w:val="00A0203B"/>
    <w:rsid w:val="00A03EA8"/>
    <w:rsid w:val="00A045E4"/>
    <w:rsid w:val="00A05D4B"/>
    <w:rsid w:val="00A0711B"/>
    <w:rsid w:val="00A0766C"/>
    <w:rsid w:val="00A0770C"/>
    <w:rsid w:val="00A07E40"/>
    <w:rsid w:val="00A100F1"/>
    <w:rsid w:val="00A10B29"/>
    <w:rsid w:val="00A10CA4"/>
    <w:rsid w:val="00A117B7"/>
    <w:rsid w:val="00A1234E"/>
    <w:rsid w:val="00A14726"/>
    <w:rsid w:val="00A14DB3"/>
    <w:rsid w:val="00A1652D"/>
    <w:rsid w:val="00A1754A"/>
    <w:rsid w:val="00A17C74"/>
    <w:rsid w:val="00A20D57"/>
    <w:rsid w:val="00A2241A"/>
    <w:rsid w:val="00A229E1"/>
    <w:rsid w:val="00A25367"/>
    <w:rsid w:val="00A25D01"/>
    <w:rsid w:val="00A26C28"/>
    <w:rsid w:val="00A26CCC"/>
    <w:rsid w:val="00A2778B"/>
    <w:rsid w:val="00A278E1"/>
    <w:rsid w:val="00A3165A"/>
    <w:rsid w:val="00A31C2E"/>
    <w:rsid w:val="00A33219"/>
    <w:rsid w:val="00A33290"/>
    <w:rsid w:val="00A342D6"/>
    <w:rsid w:val="00A34986"/>
    <w:rsid w:val="00A34BC8"/>
    <w:rsid w:val="00A350D2"/>
    <w:rsid w:val="00A353F0"/>
    <w:rsid w:val="00A36170"/>
    <w:rsid w:val="00A36193"/>
    <w:rsid w:val="00A36DC5"/>
    <w:rsid w:val="00A408FD"/>
    <w:rsid w:val="00A411F2"/>
    <w:rsid w:val="00A42DF8"/>
    <w:rsid w:val="00A43447"/>
    <w:rsid w:val="00A43AFC"/>
    <w:rsid w:val="00A45DE1"/>
    <w:rsid w:val="00A46587"/>
    <w:rsid w:val="00A50F13"/>
    <w:rsid w:val="00A525A6"/>
    <w:rsid w:val="00A532FF"/>
    <w:rsid w:val="00A53E55"/>
    <w:rsid w:val="00A5402A"/>
    <w:rsid w:val="00A54F79"/>
    <w:rsid w:val="00A55291"/>
    <w:rsid w:val="00A57039"/>
    <w:rsid w:val="00A5727B"/>
    <w:rsid w:val="00A5766C"/>
    <w:rsid w:val="00A57879"/>
    <w:rsid w:val="00A6089C"/>
    <w:rsid w:val="00A60B1C"/>
    <w:rsid w:val="00A60BA6"/>
    <w:rsid w:val="00A6101F"/>
    <w:rsid w:val="00A639CE"/>
    <w:rsid w:val="00A640B1"/>
    <w:rsid w:val="00A6523C"/>
    <w:rsid w:val="00A71F4D"/>
    <w:rsid w:val="00A72044"/>
    <w:rsid w:val="00A7378A"/>
    <w:rsid w:val="00A7483E"/>
    <w:rsid w:val="00A74CEA"/>
    <w:rsid w:val="00A7541E"/>
    <w:rsid w:val="00A813BA"/>
    <w:rsid w:val="00A821C2"/>
    <w:rsid w:val="00A8289B"/>
    <w:rsid w:val="00A82F02"/>
    <w:rsid w:val="00A83719"/>
    <w:rsid w:val="00A8667C"/>
    <w:rsid w:val="00A902FF"/>
    <w:rsid w:val="00A90C81"/>
    <w:rsid w:val="00A9167A"/>
    <w:rsid w:val="00A917BA"/>
    <w:rsid w:val="00A92B43"/>
    <w:rsid w:val="00A92E07"/>
    <w:rsid w:val="00A9556F"/>
    <w:rsid w:val="00A955D6"/>
    <w:rsid w:val="00A9564F"/>
    <w:rsid w:val="00A966F3"/>
    <w:rsid w:val="00A97029"/>
    <w:rsid w:val="00A974B4"/>
    <w:rsid w:val="00A97E6E"/>
    <w:rsid w:val="00AA0908"/>
    <w:rsid w:val="00AA141D"/>
    <w:rsid w:val="00AA1E1D"/>
    <w:rsid w:val="00AA20B2"/>
    <w:rsid w:val="00AA2676"/>
    <w:rsid w:val="00AA338A"/>
    <w:rsid w:val="00AA40D2"/>
    <w:rsid w:val="00AA43D3"/>
    <w:rsid w:val="00AA4670"/>
    <w:rsid w:val="00AA4E25"/>
    <w:rsid w:val="00AA511A"/>
    <w:rsid w:val="00AA5191"/>
    <w:rsid w:val="00AA590B"/>
    <w:rsid w:val="00AA5A74"/>
    <w:rsid w:val="00AA6D68"/>
    <w:rsid w:val="00AA7323"/>
    <w:rsid w:val="00AA7EE9"/>
    <w:rsid w:val="00AB131E"/>
    <w:rsid w:val="00AB1A36"/>
    <w:rsid w:val="00AB1C04"/>
    <w:rsid w:val="00AB1F13"/>
    <w:rsid w:val="00AB3950"/>
    <w:rsid w:val="00AB4204"/>
    <w:rsid w:val="00AB5BB5"/>
    <w:rsid w:val="00AB6317"/>
    <w:rsid w:val="00AB75E9"/>
    <w:rsid w:val="00AC0054"/>
    <w:rsid w:val="00AC1300"/>
    <w:rsid w:val="00AC16B2"/>
    <w:rsid w:val="00AC1AB3"/>
    <w:rsid w:val="00AC1F9A"/>
    <w:rsid w:val="00AC2C52"/>
    <w:rsid w:val="00AC30D8"/>
    <w:rsid w:val="00AC3AAC"/>
    <w:rsid w:val="00AC50D9"/>
    <w:rsid w:val="00AC6D51"/>
    <w:rsid w:val="00AC6FA3"/>
    <w:rsid w:val="00AC7196"/>
    <w:rsid w:val="00AC751E"/>
    <w:rsid w:val="00AC7EE0"/>
    <w:rsid w:val="00AD06D8"/>
    <w:rsid w:val="00AD1331"/>
    <w:rsid w:val="00AD15E2"/>
    <w:rsid w:val="00AD1B0D"/>
    <w:rsid w:val="00AD1CBC"/>
    <w:rsid w:val="00AD1E7E"/>
    <w:rsid w:val="00AD2C15"/>
    <w:rsid w:val="00AD4F7F"/>
    <w:rsid w:val="00AD5226"/>
    <w:rsid w:val="00AD5E1D"/>
    <w:rsid w:val="00AD66FF"/>
    <w:rsid w:val="00AD6951"/>
    <w:rsid w:val="00AD6BBA"/>
    <w:rsid w:val="00AD79CB"/>
    <w:rsid w:val="00AD7DD3"/>
    <w:rsid w:val="00AE01E0"/>
    <w:rsid w:val="00AE0303"/>
    <w:rsid w:val="00AE0C0C"/>
    <w:rsid w:val="00AE1F61"/>
    <w:rsid w:val="00AE28D7"/>
    <w:rsid w:val="00AE2F72"/>
    <w:rsid w:val="00AE3BFC"/>
    <w:rsid w:val="00AE3F43"/>
    <w:rsid w:val="00AE4DBC"/>
    <w:rsid w:val="00AE52C0"/>
    <w:rsid w:val="00AE536E"/>
    <w:rsid w:val="00AE56DE"/>
    <w:rsid w:val="00AE5A34"/>
    <w:rsid w:val="00AE664C"/>
    <w:rsid w:val="00AE7EA1"/>
    <w:rsid w:val="00AF1111"/>
    <w:rsid w:val="00AF1848"/>
    <w:rsid w:val="00AF1A86"/>
    <w:rsid w:val="00AF4FEE"/>
    <w:rsid w:val="00AF57E5"/>
    <w:rsid w:val="00AF5E1E"/>
    <w:rsid w:val="00AF650B"/>
    <w:rsid w:val="00AF6F7D"/>
    <w:rsid w:val="00B005E2"/>
    <w:rsid w:val="00B00673"/>
    <w:rsid w:val="00B018EB"/>
    <w:rsid w:val="00B01B31"/>
    <w:rsid w:val="00B02506"/>
    <w:rsid w:val="00B033D5"/>
    <w:rsid w:val="00B04C61"/>
    <w:rsid w:val="00B04C97"/>
    <w:rsid w:val="00B053BE"/>
    <w:rsid w:val="00B05D56"/>
    <w:rsid w:val="00B05FA3"/>
    <w:rsid w:val="00B07148"/>
    <w:rsid w:val="00B072F6"/>
    <w:rsid w:val="00B07C29"/>
    <w:rsid w:val="00B10DC9"/>
    <w:rsid w:val="00B113D5"/>
    <w:rsid w:val="00B11A0B"/>
    <w:rsid w:val="00B11E32"/>
    <w:rsid w:val="00B13B0C"/>
    <w:rsid w:val="00B146E2"/>
    <w:rsid w:val="00B14D06"/>
    <w:rsid w:val="00B14F0B"/>
    <w:rsid w:val="00B158E7"/>
    <w:rsid w:val="00B161CA"/>
    <w:rsid w:val="00B17B7A"/>
    <w:rsid w:val="00B21951"/>
    <w:rsid w:val="00B23566"/>
    <w:rsid w:val="00B24291"/>
    <w:rsid w:val="00B25283"/>
    <w:rsid w:val="00B25396"/>
    <w:rsid w:val="00B2724D"/>
    <w:rsid w:val="00B27EBB"/>
    <w:rsid w:val="00B302F7"/>
    <w:rsid w:val="00B3145B"/>
    <w:rsid w:val="00B3240A"/>
    <w:rsid w:val="00B32EDC"/>
    <w:rsid w:val="00B33BF6"/>
    <w:rsid w:val="00B3407D"/>
    <w:rsid w:val="00B34F04"/>
    <w:rsid w:val="00B355CF"/>
    <w:rsid w:val="00B375DB"/>
    <w:rsid w:val="00B403F2"/>
    <w:rsid w:val="00B405A8"/>
    <w:rsid w:val="00B40EFF"/>
    <w:rsid w:val="00B422F4"/>
    <w:rsid w:val="00B42B30"/>
    <w:rsid w:val="00B4316C"/>
    <w:rsid w:val="00B45E9C"/>
    <w:rsid w:val="00B465BD"/>
    <w:rsid w:val="00B471D5"/>
    <w:rsid w:val="00B52646"/>
    <w:rsid w:val="00B54588"/>
    <w:rsid w:val="00B545DB"/>
    <w:rsid w:val="00B54CB6"/>
    <w:rsid w:val="00B5599B"/>
    <w:rsid w:val="00B55BA3"/>
    <w:rsid w:val="00B60A8B"/>
    <w:rsid w:val="00B61F9F"/>
    <w:rsid w:val="00B6373C"/>
    <w:rsid w:val="00B63D36"/>
    <w:rsid w:val="00B650D7"/>
    <w:rsid w:val="00B663EF"/>
    <w:rsid w:val="00B6716B"/>
    <w:rsid w:val="00B70396"/>
    <w:rsid w:val="00B70940"/>
    <w:rsid w:val="00B71005"/>
    <w:rsid w:val="00B71607"/>
    <w:rsid w:val="00B75061"/>
    <w:rsid w:val="00B7537D"/>
    <w:rsid w:val="00B75C6B"/>
    <w:rsid w:val="00B75E88"/>
    <w:rsid w:val="00B76C29"/>
    <w:rsid w:val="00B76C6D"/>
    <w:rsid w:val="00B7789F"/>
    <w:rsid w:val="00B81AE3"/>
    <w:rsid w:val="00B8207E"/>
    <w:rsid w:val="00B8255F"/>
    <w:rsid w:val="00B82647"/>
    <w:rsid w:val="00B83333"/>
    <w:rsid w:val="00B83ABB"/>
    <w:rsid w:val="00B83D56"/>
    <w:rsid w:val="00B83E67"/>
    <w:rsid w:val="00B85369"/>
    <w:rsid w:val="00B85F8F"/>
    <w:rsid w:val="00B8757A"/>
    <w:rsid w:val="00B930FE"/>
    <w:rsid w:val="00B9516C"/>
    <w:rsid w:val="00B953D7"/>
    <w:rsid w:val="00B9561C"/>
    <w:rsid w:val="00B95CFB"/>
    <w:rsid w:val="00B95DDC"/>
    <w:rsid w:val="00B9668F"/>
    <w:rsid w:val="00B96CC2"/>
    <w:rsid w:val="00B97214"/>
    <w:rsid w:val="00B97B8A"/>
    <w:rsid w:val="00B97D0B"/>
    <w:rsid w:val="00B97D24"/>
    <w:rsid w:val="00BA013C"/>
    <w:rsid w:val="00BA2F89"/>
    <w:rsid w:val="00BA35CF"/>
    <w:rsid w:val="00BA38BC"/>
    <w:rsid w:val="00BA3C9B"/>
    <w:rsid w:val="00BA4EBE"/>
    <w:rsid w:val="00BA5934"/>
    <w:rsid w:val="00BA59CA"/>
    <w:rsid w:val="00BA79BA"/>
    <w:rsid w:val="00BA7F92"/>
    <w:rsid w:val="00BB0AD0"/>
    <w:rsid w:val="00BB0F2E"/>
    <w:rsid w:val="00BB1573"/>
    <w:rsid w:val="00BB25B8"/>
    <w:rsid w:val="00BB2794"/>
    <w:rsid w:val="00BB3CFF"/>
    <w:rsid w:val="00BB7CA1"/>
    <w:rsid w:val="00BB7F05"/>
    <w:rsid w:val="00BC01E1"/>
    <w:rsid w:val="00BC188A"/>
    <w:rsid w:val="00BC270F"/>
    <w:rsid w:val="00BC2AE5"/>
    <w:rsid w:val="00BC2CED"/>
    <w:rsid w:val="00BC3F26"/>
    <w:rsid w:val="00BC4030"/>
    <w:rsid w:val="00BC425F"/>
    <w:rsid w:val="00BC49CA"/>
    <w:rsid w:val="00BC5696"/>
    <w:rsid w:val="00BC6C33"/>
    <w:rsid w:val="00BC73E4"/>
    <w:rsid w:val="00BD0553"/>
    <w:rsid w:val="00BD07F5"/>
    <w:rsid w:val="00BD0858"/>
    <w:rsid w:val="00BD3B7D"/>
    <w:rsid w:val="00BD55FB"/>
    <w:rsid w:val="00BD5994"/>
    <w:rsid w:val="00BD7450"/>
    <w:rsid w:val="00BD7AC7"/>
    <w:rsid w:val="00BD7BB7"/>
    <w:rsid w:val="00BE00A6"/>
    <w:rsid w:val="00BE0EC6"/>
    <w:rsid w:val="00BE160A"/>
    <w:rsid w:val="00BE16EE"/>
    <w:rsid w:val="00BE266A"/>
    <w:rsid w:val="00BE273E"/>
    <w:rsid w:val="00BE30A0"/>
    <w:rsid w:val="00BE5059"/>
    <w:rsid w:val="00BE57B2"/>
    <w:rsid w:val="00BF0759"/>
    <w:rsid w:val="00BF07DD"/>
    <w:rsid w:val="00BF0B07"/>
    <w:rsid w:val="00BF0E1A"/>
    <w:rsid w:val="00BF14A4"/>
    <w:rsid w:val="00BF14AB"/>
    <w:rsid w:val="00BF2DC0"/>
    <w:rsid w:val="00BF5132"/>
    <w:rsid w:val="00BF581C"/>
    <w:rsid w:val="00BF5BD8"/>
    <w:rsid w:val="00BF5F83"/>
    <w:rsid w:val="00BF60BD"/>
    <w:rsid w:val="00BF6EB9"/>
    <w:rsid w:val="00C00646"/>
    <w:rsid w:val="00C00DF0"/>
    <w:rsid w:val="00C03908"/>
    <w:rsid w:val="00C04810"/>
    <w:rsid w:val="00C059B1"/>
    <w:rsid w:val="00C05D20"/>
    <w:rsid w:val="00C06B80"/>
    <w:rsid w:val="00C07BEF"/>
    <w:rsid w:val="00C07E7A"/>
    <w:rsid w:val="00C07FD8"/>
    <w:rsid w:val="00C102A8"/>
    <w:rsid w:val="00C123AE"/>
    <w:rsid w:val="00C1265D"/>
    <w:rsid w:val="00C132B4"/>
    <w:rsid w:val="00C1480E"/>
    <w:rsid w:val="00C14AD9"/>
    <w:rsid w:val="00C14B4D"/>
    <w:rsid w:val="00C17293"/>
    <w:rsid w:val="00C17642"/>
    <w:rsid w:val="00C17C94"/>
    <w:rsid w:val="00C17F02"/>
    <w:rsid w:val="00C200F0"/>
    <w:rsid w:val="00C20BA8"/>
    <w:rsid w:val="00C214EC"/>
    <w:rsid w:val="00C228A8"/>
    <w:rsid w:val="00C22987"/>
    <w:rsid w:val="00C24B3C"/>
    <w:rsid w:val="00C24D19"/>
    <w:rsid w:val="00C25F0B"/>
    <w:rsid w:val="00C26163"/>
    <w:rsid w:val="00C26FB1"/>
    <w:rsid w:val="00C3003D"/>
    <w:rsid w:val="00C30B08"/>
    <w:rsid w:val="00C33EC6"/>
    <w:rsid w:val="00C350F7"/>
    <w:rsid w:val="00C3532B"/>
    <w:rsid w:val="00C35E41"/>
    <w:rsid w:val="00C36A47"/>
    <w:rsid w:val="00C36E48"/>
    <w:rsid w:val="00C37534"/>
    <w:rsid w:val="00C377F7"/>
    <w:rsid w:val="00C37844"/>
    <w:rsid w:val="00C4032F"/>
    <w:rsid w:val="00C4058E"/>
    <w:rsid w:val="00C42907"/>
    <w:rsid w:val="00C42C57"/>
    <w:rsid w:val="00C42F63"/>
    <w:rsid w:val="00C43C8C"/>
    <w:rsid w:val="00C443DA"/>
    <w:rsid w:val="00C44B3D"/>
    <w:rsid w:val="00C46174"/>
    <w:rsid w:val="00C463D3"/>
    <w:rsid w:val="00C46793"/>
    <w:rsid w:val="00C4711F"/>
    <w:rsid w:val="00C47E49"/>
    <w:rsid w:val="00C50ED1"/>
    <w:rsid w:val="00C526D9"/>
    <w:rsid w:val="00C5274F"/>
    <w:rsid w:val="00C53E12"/>
    <w:rsid w:val="00C5512D"/>
    <w:rsid w:val="00C5577D"/>
    <w:rsid w:val="00C570CA"/>
    <w:rsid w:val="00C60783"/>
    <w:rsid w:val="00C61031"/>
    <w:rsid w:val="00C62CF1"/>
    <w:rsid w:val="00C637FD"/>
    <w:rsid w:val="00C63B35"/>
    <w:rsid w:val="00C64BF3"/>
    <w:rsid w:val="00C66641"/>
    <w:rsid w:val="00C66764"/>
    <w:rsid w:val="00C67087"/>
    <w:rsid w:val="00C6720B"/>
    <w:rsid w:val="00C67BE5"/>
    <w:rsid w:val="00C67C14"/>
    <w:rsid w:val="00C71A6D"/>
    <w:rsid w:val="00C71E91"/>
    <w:rsid w:val="00C723D9"/>
    <w:rsid w:val="00C731DD"/>
    <w:rsid w:val="00C73519"/>
    <w:rsid w:val="00C73F1B"/>
    <w:rsid w:val="00C7464F"/>
    <w:rsid w:val="00C75E14"/>
    <w:rsid w:val="00C7692E"/>
    <w:rsid w:val="00C76B55"/>
    <w:rsid w:val="00C774A2"/>
    <w:rsid w:val="00C7796F"/>
    <w:rsid w:val="00C77B8E"/>
    <w:rsid w:val="00C822B8"/>
    <w:rsid w:val="00C84296"/>
    <w:rsid w:val="00C85201"/>
    <w:rsid w:val="00C86991"/>
    <w:rsid w:val="00C904B9"/>
    <w:rsid w:val="00C90CCB"/>
    <w:rsid w:val="00C923AA"/>
    <w:rsid w:val="00C9475C"/>
    <w:rsid w:val="00C9511A"/>
    <w:rsid w:val="00C958AE"/>
    <w:rsid w:val="00C95AD8"/>
    <w:rsid w:val="00CA05E2"/>
    <w:rsid w:val="00CA0C78"/>
    <w:rsid w:val="00CA2779"/>
    <w:rsid w:val="00CA35D1"/>
    <w:rsid w:val="00CA3CE5"/>
    <w:rsid w:val="00CA5EFA"/>
    <w:rsid w:val="00CA6877"/>
    <w:rsid w:val="00CB30F1"/>
    <w:rsid w:val="00CB329C"/>
    <w:rsid w:val="00CB3493"/>
    <w:rsid w:val="00CB3BBD"/>
    <w:rsid w:val="00CB468A"/>
    <w:rsid w:val="00CB7365"/>
    <w:rsid w:val="00CC291A"/>
    <w:rsid w:val="00CC2DAB"/>
    <w:rsid w:val="00CC30E3"/>
    <w:rsid w:val="00CC6D3B"/>
    <w:rsid w:val="00CD0424"/>
    <w:rsid w:val="00CD0504"/>
    <w:rsid w:val="00CD11F8"/>
    <w:rsid w:val="00CD19F2"/>
    <w:rsid w:val="00CD222C"/>
    <w:rsid w:val="00CD23C7"/>
    <w:rsid w:val="00CD2C82"/>
    <w:rsid w:val="00CD4A3D"/>
    <w:rsid w:val="00CD536C"/>
    <w:rsid w:val="00CD6151"/>
    <w:rsid w:val="00CD61C6"/>
    <w:rsid w:val="00CD6802"/>
    <w:rsid w:val="00CD69AC"/>
    <w:rsid w:val="00CD6C1A"/>
    <w:rsid w:val="00CD73DE"/>
    <w:rsid w:val="00CE20F0"/>
    <w:rsid w:val="00CE2311"/>
    <w:rsid w:val="00CE3F84"/>
    <w:rsid w:val="00CE4CB2"/>
    <w:rsid w:val="00CE6C9B"/>
    <w:rsid w:val="00CE724D"/>
    <w:rsid w:val="00CE7EC1"/>
    <w:rsid w:val="00CF0BA3"/>
    <w:rsid w:val="00CF100B"/>
    <w:rsid w:val="00CF215D"/>
    <w:rsid w:val="00CF3221"/>
    <w:rsid w:val="00CF3C8E"/>
    <w:rsid w:val="00CF52D6"/>
    <w:rsid w:val="00CF5849"/>
    <w:rsid w:val="00D00440"/>
    <w:rsid w:val="00D0104F"/>
    <w:rsid w:val="00D0190A"/>
    <w:rsid w:val="00D01EB5"/>
    <w:rsid w:val="00D0202D"/>
    <w:rsid w:val="00D0205B"/>
    <w:rsid w:val="00D03010"/>
    <w:rsid w:val="00D040D9"/>
    <w:rsid w:val="00D06F14"/>
    <w:rsid w:val="00D10705"/>
    <w:rsid w:val="00D12A7E"/>
    <w:rsid w:val="00D141EE"/>
    <w:rsid w:val="00D14210"/>
    <w:rsid w:val="00D14358"/>
    <w:rsid w:val="00D148CE"/>
    <w:rsid w:val="00D14AE2"/>
    <w:rsid w:val="00D14C56"/>
    <w:rsid w:val="00D16473"/>
    <w:rsid w:val="00D17103"/>
    <w:rsid w:val="00D17611"/>
    <w:rsid w:val="00D17CE0"/>
    <w:rsid w:val="00D20C8E"/>
    <w:rsid w:val="00D20DC0"/>
    <w:rsid w:val="00D2102A"/>
    <w:rsid w:val="00D2161A"/>
    <w:rsid w:val="00D217F5"/>
    <w:rsid w:val="00D22918"/>
    <w:rsid w:val="00D22B3E"/>
    <w:rsid w:val="00D23F25"/>
    <w:rsid w:val="00D246E9"/>
    <w:rsid w:val="00D25EB3"/>
    <w:rsid w:val="00D2655A"/>
    <w:rsid w:val="00D276B6"/>
    <w:rsid w:val="00D304EF"/>
    <w:rsid w:val="00D31718"/>
    <w:rsid w:val="00D32182"/>
    <w:rsid w:val="00D3478F"/>
    <w:rsid w:val="00D34F28"/>
    <w:rsid w:val="00D36D31"/>
    <w:rsid w:val="00D37995"/>
    <w:rsid w:val="00D37B3A"/>
    <w:rsid w:val="00D4006A"/>
    <w:rsid w:val="00D406C3"/>
    <w:rsid w:val="00D40785"/>
    <w:rsid w:val="00D41C74"/>
    <w:rsid w:val="00D4294C"/>
    <w:rsid w:val="00D447B8"/>
    <w:rsid w:val="00D44CE4"/>
    <w:rsid w:val="00D45127"/>
    <w:rsid w:val="00D4541C"/>
    <w:rsid w:val="00D45B24"/>
    <w:rsid w:val="00D45F08"/>
    <w:rsid w:val="00D463F3"/>
    <w:rsid w:val="00D47177"/>
    <w:rsid w:val="00D479C3"/>
    <w:rsid w:val="00D50770"/>
    <w:rsid w:val="00D50D8B"/>
    <w:rsid w:val="00D51010"/>
    <w:rsid w:val="00D51165"/>
    <w:rsid w:val="00D51F0F"/>
    <w:rsid w:val="00D53638"/>
    <w:rsid w:val="00D53B94"/>
    <w:rsid w:val="00D548DD"/>
    <w:rsid w:val="00D5497E"/>
    <w:rsid w:val="00D54FE9"/>
    <w:rsid w:val="00D55022"/>
    <w:rsid w:val="00D56B3F"/>
    <w:rsid w:val="00D57A65"/>
    <w:rsid w:val="00D57E7D"/>
    <w:rsid w:val="00D61F14"/>
    <w:rsid w:val="00D6258B"/>
    <w:rsid w:val="00D62708"/>
    <w:rsid w:val="00D62922"/>
    <w:rsid w:val="00D64AE7"/>
    <w:rsid w:val="00D650BE"/>
    <w:rsid w:val="00D6587C"/>
    <w:rsid w:val="00D66700"/>
    <w:rsid w:val="00D669C2"/>
    <w:rsid w:val="00D67E72"/>
    <w:rsid w:val="00D703B9"/>
    <w:rsid w:val="00D70754"/>
    <w:rsid w:val="00D70BAA"/>
    <w:rsid w:val="00D70E58"/>
    <w:rsid w:val="00D70E5F"/>
    <w:rsid w:val="00D71113"/>
    <w:rsid w:val="00D71411"/>
    <w:rsid w:val="00D71957"/>
    <w:rsid w:val="00D72FC2"/>
    <w:rsid w:val="00D7360A"/>
    <w:rsid w:val="00D73F19"/>
    <w:rsid w:val="00D74C6C"/>
    <w:rsid w:val="00D76126"/>
    <w:rsid w:val="00D7674B"/>
    <w:rsid w:val="00D76DAF"/>
    <w:rsid w:val="00D777B3"/>
    <w:rsid w:val="00D815C7"/>
    <w:rsid w:val="00D83442"/>
    <w:rsid w:val="00D837BB"/>
    <w:rsid w:val="00D83BD6"/>
    <w:rsid w:val="00D83F40"/>
    <w:rsid w:val="00D83F7F"/>
    <w:rsid w:val="00D860CF"/>
    <w:rsid w:val="00D866B2"/>
    <w:rsid w:val="00D8789D"/>
    <w:rsid w:val="00D87925"/>
    <w:rsid w:val="00D87C1C"/>
    <w:rsid w:val="00D907F5"/>
    <w:rsid w:val="00D90FE9"/>
    <w:rsid w:val="00D915D9"/>
    <w:rsid w:val="00D918DD"/>
    <w:rsid w:val="00D922A8"/>
    <w:rsid w:val="00D927A8"/>
    <w:rsid w:val="00D92877"/>
    <w:rsid w:val="00D92A9C"/>
    <w:rsid w:val="00D93B9E"/>
    <w:rsid w:val="00D95170"/>
    <w:rsid w:val="00D958C3"/>
    <w:rsid w:val="00D96FFF"/>
    <w:rsid w:val="00D9791D"/>
    <w:rsid w:val="00D979E0"/>
    <w:rsid w:val="00DA02E0"/>
    <w:rsid w:val="00DA1DAE"/>
    <w:rsid w:val="00DA2A4D"/>
    <w:rsid w:val="00DA5799"/>
    <w:rsid w:val="00DA630F"/>
    <w:rsid w:val="00DB0807"/>
    <w:rsid w:val="00DB16C2"/>
    <w:rsid w:val="00DB2823"/>
    <w:rsid w:val="00DB4D7F"/>
    <w:rsid w:val="00DB5ACA"/>
    <w:rsid w:val="00DB6F45"/>
    <w:rsid w:val="00DB7011"/>
    <w:rsid w:val="00DB7FC9"/>
    <w:rsid w:val="00DC06EF"/>
    <w:rsid w:val="00DC2D7D"/>
    <w:rsid w:val="00DC3015"/>
    <w:rsid w:val="00DC651F"/>
    <w:rsid w:val="00DD06C6"/>
    <w:rsid w:val="00DD08B0"/>
    <w:rsid w:val="00DD0C6A"/>
    <w:rsid w:val="00DD2C7A"/>
    <w:rsid w:val="00DD3BFB"/>
    <w:rsid w:val="00DD414A"/>
    <w:rsid w:val="00DD4247"/>
    <w:rsid w:val="00DD442A"/>
    <w:rsid w:val="00DD5A52"/>
    <w:rsid w:val="00DD79F7"/>
    <w:rsid w:val="00DD7F34"/>
    <w:rsid w:val="00DE0A76"/>
    <w:rsid w:val="00DE1E22"/>
    <w:rsid w:val="00DE3982"/>
    <w:rsid w:val="00DE3FDF"/>
    <w:rsid w:val="00DE43BF"/>
    <w:rsid w:val="00DE5DC7"/>
    <w:rsid w:val="00DE6DAB"/>
    <w:rsid w:val="00DE7292"/>
    <w:rsid w:val="00DF018F"/>
    <w:rsid w:val="00DF06A3"/>
    <w:rsid w:val="00DF1CBB"/>
    <w:rsid w:val="00DF20DE"/>
    <w:rsid w:val="00DF509B"/>
    <w:rsid w:val="00DF52B1"/>
    <w:rsid w:val="00DF59B8"/>
    <w:rsid w:val="00DF5D2B"/>
    <w:rsid w:val="00DF6A89"/>
    <w:rsid w:val="00DF6F0C"/>
    <w:rsid w:val="00DF7124"/>
    <w:rsid w:val="00E00CBC"/>
    <w:rsid w:val="00E00EDE"/>
    <w:rsid w:val="00E00F9E"/>
    <w:rsid w:val="00E021C2"/>
    <w:rsid w:val="00E0242A"/>
    <w:rsid w:val="00E02E56"/>
    <w:rsid w:val="00E043D3"/>
    <w:rsid w:val="00E04637"/>
    <w:rsid w:val="00E04B77"/>
    <w:rsid w:val="00E05CE2"/>
    <w:rsid w:val="00E07CA9"/>
    <w:rsid w:val="00E10593"/>
    <w:rsid w:val="00E115CF"/>
    <w:rsid w:val="00E13F98"/>
    <w:rsid w:val="00E14005"/>
    <w:rsid w:val="00E1409A"/>
    <w:rsid w:val="00E142A9"/>
    <w:rsid w:val="00E14E56"/>
    <w:rsid w:val="00E161D9"/>
    <w:rsid w:val="00E17083"/>
    <w:rsid w:val="00E20461"/>
    <w:rsid w:val="00E207C7"/>
    <w:rsid w:val="00E20CDB"/>
    <w:rsid w:val="00E20D95"/>
    <w:rsid w:val="00E20DA0"/>
    <w:rsid w:val="00E2116A"/>
    <w:rsid w:val="00E22051"/>
    <w:rsid w:val="00E22827"/>
    <w:rsid w:val="00E238EC"/>
    <w:rsid w:val="00E23A16"/>
    <w:rsid w:val="00E2427E"/>
    <w:rsid w:val="00E24AEB"/>
    <w:rsid w:val="00E25334"/>
    <w:rsid w:val="00E25805"/>
    <w:rsid w:val="00E25EF0"/>
    <w:rsid w:val="00E279CC"/>
    <w:rsid w:val="00E31BCF"/>
    <w:rsid w:val="00E32CF9"/>
    <w:rsid w:val="00E33326"/>
    <w:rsid w:val="00E335D0"/>
    <w:rsid w:val="00E33B95"/>
    <w:rsid w:val="00E34E3B"/>
    <w:rsid w:val="00E35BA8"/>
    <w:rsid w:val="00E35F2B"/>
    <w:rsid w:val="00E37D6A"/>
    <w:rsid w:val="00E41913"/>
    <w:rsid w:val="00E45FD1"/>
    <w:rsid w:val="00E468E8"/>
    <w:rsid w:val="00E46D5A"/>
    <w:rsid w:val="00E4788D"/>
    <w:rsid w:val="00E50DA1"/>
    <w:rsid w:val="00E5129B"/>
    <w:rsid w:val="00E5204A"/>
    <w:rsid w:val="00E52D6A"/>
    <w:rsid w:val="00E547D0"/>
    <w:rsid w:val="00E54CE0"/>
    <w:rsid w:val="00E56E28"/>
    <w:rsid w:val="00E56F35"/>
    <w:rsid w:val="00E6205C"/>
    <w:rsid w:val="00E63490"/>
    <w:rsid w:val="00E63EEC"/>
    <w:rsid w:val="00E64327"/>
    <w:rsid w:val="00E658F4"/>
    <w:rsid w:val="00E65D7E"/>
    <w:rsid w:val="00E6629C"/>
    <w:rsid w:val="00E67047"/>
    <w:rsid w:val="00E70523"/>
    <w:rsid w:val="00E71E9D"/>
    <w:rsid w:val="00E71F45"/>
    <w:rsid w:val="00E74334"/>
    <w:rsid w:val="00E74E2F"/>
    <w:rsid w:val="00E751CC"/>
    <w:rsid w:val="00E76084"/>
    <w:rsid w:val="00E76C64"/>
    <w:rsid w:val="00E77398"/>
    <w:rsid w:val="00E77E6B"/>
    <w:rsid w:val="00E8097D"/>
    <w:rsid w:val="00E81225"/>
    <w:rsid w:val="00E82F84"/>
    <w:rsid w:val="00E84F4E"/>
    <w:rsid w:val="00E85D66"/>
    <w:rsid w:val="00E866AD"/>
    <w:rsid w:val="00E876B7"/>
    <w:rsid w:val="00E9065D"/>
    <w:rsid w:val="00E91628"/>
    <w:rsid w:val="00E92BFE"/>
    <w:rsid w:val="00E92D7C"/>
    <w:rsid w:val="00E942DE"/>
    <w:rsid w:val="00E94345"/>
    <w:rsid w:val="00E94609"/>
    <w:rsid w:val="00E9515E"/>
    <w:rsid w:val="00E9737F"/>
    <w:rsid w:val="00E97AAF"/>
    <w:rsid w:val="00E97CC8"/>
    <w:rsid w:val="00EA12B3"/>
    <w:rsid w:val="00EA1B07"/>
    <w:rsid w:val="00EA24D3"/>
    <w:rsid w:val="00EA370A"/>
    <w:rsid w:val="00EA3DB2"/>
    <w:rsid w:val="00EA58D6"/>
    <w:rsid w:val="00EA5FD3"/>
    <w:rsid w:val="00EB000A"/>
    <w:rsid w:val="00EB0732"/>
    <w:rsid w:val="00EB0DCF"/>
    <w:rsid w:val="00EB0EF0"/>
    <w:rsid w:val="00EB1215"/>
    <w:rsid w:val="00EB2699"/>
    <w:rsid w:val="00EB40C9"/>
    <w:rsid w:val="00EB44BE"/>
    <w:rsid w:val="00EB492D"/>
    <w:rsid w:val="00EB4FB4"/>
    <w:rsid w:val="00EB5BA3"/>
    <w:rsid w:val="00EB6463"/>
    <w:rsid w:val="00EB6E64"/>
    <w:rsid w:val="00EB719A"/>
    <w:rsid w:val="00EC094E"/>
    <w:rsid w:val="00EC0A94"/>
    <w:rsid w:val="00EC25A6"/>
    <w:rsid w:val="00EC318E"/>
    <w:rsid w:val="00EC394E"/>
    <w:rsid w:val="00EC420B"/>
    <w:rsid w:val="00EC44F8"/>
    <w:rsid w:val="00EC4F00"/>
    <w:rsid w:val="00EC60AF"/>
    <w:rsid w:val="00ED0D28"/>
    <w:rsid w:val="00ED1401"/>
    <w:rsid w:val="00ED1517"/>
    <w:rsid w:val="00ED2339"/>
    <w:rsid w:val="00ED40A1"/>
    <w:rsid w:val="00ED4140"/>
    <w:rsid w:val="00ED4882"/>
    <w:rsid w:val="00ED4DE9"/>
    <w:rsid w:val="00ED6920"/>
    <w:rsid w:val="00ED6C67"/>
    <w:rsid w:val="00ED7B53"/>
    <w:rsid w:val="00EE296F"/>
    <w:rsid w:val="00EE38AD"/>
    <w:rsid w:val="00EE39C4"/>
    <w:rsid w:val="00EE446D"/>
    <w:rsid w:val="00EE5B07"/>
    <w:rsid w:val="00EE6678"/>
    <w:rsid w:val="00EE7B67"/>
    <w:rsid w:val="00EE7C21"/>
    <w:rsid w:val="00EE7D3A"/>
    <w:rsid w:val="00EF07BE"/>
    <w:rsid w:val="00EF232B"/>
    <w:rsid w:val="00EF2CB2"/>
    <w:rsid w:val="00EF4485"/>
    <w:rsid w:val="00EF485A"/>
    <w:rsid w:val="00EF4B8C"/>
    <w:rsid w:val="00EF5DA0"/>
    <w:rsid w:val="00EF67D4"/>
    <w:rsid w:val="00EF70EF"/>
    <w:rsid w:val="00F00658"/>
    <w:rsid w:val="00F02135"/>
    <w:rsid w:val="00F02ECA"/>
    <w:rsid w:val="00F039CB"/>
    <w:rsid w:val="00F04624"/>
    <w:rsid w:val="00F052C8"/>
    <w:rsid w:val="00F05E54"/>
    <w:rsid w:val="00F11DF9"/>
    <w:rsid w:val="00F121A0"/>
    <w:rsid w:val="00F128B3"/>
    <w:rsid w:val="00F13807"/>
    <w:rsid w:val="00F156F4"/>
    <w:rsid w:val="00F15DEC"/>
    <w:rsid w:val="00F160FE"/>
    <w:rsid w:val="00F16E03"/>
    <w:rsid w:val="00F17D40"/>
    <w:rsid w:val="00F209E6"/>
    <w:rsid w:val="00F20E57"/>
    <w:rsid w:val="00F217FC"/>
    <w:rsid w:val="00F22831"/>
    <w:rsid w:val="00F22EB8"/>
    <w:rsid w:val="00F23826"/>
    <w:rsid w:val="00F24ED7"/>
    <w:rsid w:val="00F25924"/>
    <w:rsid w:val="00F25F1A"/>
    <w:rsid w:val="00F27E50"/>
    <w:rsid w:val="00F30046"/>
    <w:rsid w:val="00F30639"/>
    <w:rsid w:val="00F30FD1"/>
    <w:rsid w:val="00F311B2"/>
    <w:rsid w:val="00F325F0"/>
    <w:rsid w:val="00F33141"/>
    <w:rsid w:val="00F331B0"/>
    <w:rsid w:val="00F34560"/>
    <w:rsid w:val="00F347BB"/>
    <w:rsid w:val="00F34965"/>
    <w:rsid w:val="00F35B1D"/>
    <w:rsid w:val="00F36031"/>
    <w:rsid w:val="00F364C7"/>
    <w:rsid w:val="00F37103"/>
    <w:rsid w:val="00F3741D"/>
    <w:rsid w:val="00F375D2"/>
    <w:rsid w:val="00F3777A"/>
    <w:rsid w:val="00F4019A"/>
    <w:rsid w:val="00F40530"/>
    <w:rsid w:val="00F40F95"/>
    <w:rsid w:val="00F423E5"/>
    <w:rsid w:val="00F435FC"/>
    <w:rsid w:val="00F44860"/>
    <w:rsid w:val="00F4581F"/>
    <w:rsid w:val="00F461B2"/>
    <w:rsid w:val="00F50032"/>
    <w:rsid w:val="00F50FAC"/>
    <w:rsid w:val="00F52FA2"/>
    <w:rsid w:val="00F54AC4"/>
    <w:rsid w:val="00F55361"/>
    <w:rsid w:val="00F56033"/>
    <w:rsid w:val="00F56373"/>
    <w:rsid w:val="00F56CA0"/>
    <w:rsid w:val="00F56EFB"/>
    <w:rsid w:val="00F5717B"/>
    <w:rsid w:val="00F5795F"/>
    <w:rsid w:val="00F57E8A"/>
    <w:rsid w:val="00F60417"/>
    <w:rsid w:val="00F60925"/>
    <w:rsid w:val="00F609AB"/>
    <w:rsid w:val="00F64B28"/>
    <w:rsid w:val="00F652D6"/>
    <w:rsid w:val="00F669F9"/>
    <w:rsid w:val="00F67517"/>
    <w:rsid w:val="00F70206"/>
    <w:rsid w:val="00F7113F"/>
    <w:rsid w:val="00F71C9B"/>
    <w:rsid w:val="00F726D0"/>
    <w:rsid w:val="00F72E25"/>
    <w:rsid w:val="00F732DB"/>
    <w:rsid w:val="00F756D9"/>
    <w:rsid w:val="00F760DB"/>
    <w:rsid w:val="00F7649B"/>
    <w:rsid w:val="00F767C8"/>
    <w:rsid w:val="00F77E5D"/>
    <w:rsid w:val="00F819DB"/>
    <w:rsid w:val="00F82467"/>
    <w:rsid w:val="00F85426"/>
    <w:rsid w:val="00F85780"/>
    <w:rsid w:val="00F8753D"/>
    <w:rsid w:val="00F903E7"/>
    <w:rsid w:val="00F93870"/>
    <w:rsid w:val="00F938DA"/>
    <w:rsid w:val="00F93D6D"/>
    <w:rsid w:val="00F94B69"/>
    <w:rsid w:val="00F95E1E"/>
    <w:rsid w:val="00F95E8F"/>
    <w:rsid w:val="00F96B79"/>
    <w:rsid w:val="00F97091"/>
    <w:rsid w:val="00FA0513"/>
    <w:rsid w:val="00FA08E2"/>
    <w:rsid w:val="00FA0A1B"/>
    <w:rsid w:val="00FA1B13"/>
    <w:rsid w:val="00FA208F"/>
    <w:rsid w:val="00FA3A0E"/>
    <w:rsid w:val="00FA3A43"/>
    <w:rsid w:val="00FA3ADF"/>
    <w:rsid w:val="00FA5725"/>
    <w:rsid w:val="00FA6979"/>
    <w:rsid w:val="00FA6CAF"/>
    <w:rsid w:val="00FA7639"/>
    <w:rsid w:val="00FB0D99"/>
    <w:rsid w:val="00FB2038"/>
    <w:rsid w:val="00FB55FF"/>
    <w:rsid w:val="00FB5EE6"/>
    <w:rsid w:val="00FB690B"/>
    <w:rsid w:val="00FB6C6D"/>
    <w:rsid w:val="00FB7872"/>
    <w:rsid w:val="00FC0158"/>
    <w:rsid w:val="00FC07F0"/>
    <w:rsid w:val="00FC1702"/>
    <w:rsid w:val="00FC2296"/>
    <w:rsid w:val="00FC3E4C"/>
    <w:rsid w:val="00FC6E86"/>
    <w:rsid w:val="00FC79CC"/>
    <w:rsid w:val="00FD0A05"/>
    <w:rsid w:val="00FD11B8"/>
    <w:rsid w:val="00FD22EB"/>
    <w:rsid w:val="00FD27BF"/>
    <w:rsid w:val="00FD4983"/>
    <w:rsid w:val="00FD5D99"/>
    <w:rsid w:val="00FE038D"/>
    <w:rsid w:val="00FE0552"/>
    <w:rsid w:val="00FE0A29"/>
    <w:rsid w:val="00FE2CC0"/>
    <w:rsid w:val="00FE3133"/>
    <w:rsid w:val="00FE375A"/>
    <w:rsid w:val="00FE3CFB"/>
    <w:rsid w:val="00FE48AA"/>
    <w:rsid w:val="00FE504B"/>
    <w:rsid w:val="00FE56EB"/>
    <w:rsid w:val="00FE6A73"/>
    <w:rsid w:val="00FE6E51"/>
    <w:rsid w:val="00FF17A2"/>
    <w:rsid w:val="00FF1F45"/>
    <w:rsid w:val="00FF2F67"/>
    <w:rsid w:val="00FF5181"/>
    <w:rsid w:val="00FF71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CE282"/>
  <w15:chartTrackingRefBased/>
  <w15:docId w15:val="{B5EDF482-6885-4698-8BF4-FE86C724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231"/>
  </w:style>
  <w:style w:type="paragraph" w:styleId="Heading1">
    <w:name w:val="heading 1"/>
    <w:basedOn w:val="Normal"/>
    <w:next w:val="Normal"/>
    <w:link w:val="Heading1Char"/>
    <w:uiPriority w:val="9"/>
    <w:qFormat/>
    <w:rsid w:val="00470025"/>
    <w:pPr>
      <w:keepNext/>
      <w:keepLines/>
      <w:spacing w:after="0" w:line="480" w:lineRule="auto"/>
      <w:jc w:val="center"/>
      <w:outlineLvl w:val="0"/>
    </w:pPr>
    <w:rPr>
      <w:rFonts w:ascii="Times New Roman" w:eastAsia="Calibri" w:hAnsi="Times New Roman" w:cs="Times New Roman"/>
      <w:b/>
      <w:bCs/>
      <w:sz w:val="24"/>
      <w:szCs w:val="24"/>
    </w:rPr>
  </w:style>
  <w:style w:type="paragraph" w:styleId="Heading2">
    <w:name w:val="heading 2"/>
    <w:basedOn w:val="Normal"/>
    <w:next w:val="Normal"/>
    <w:link w:val="Heading2Char"/>
    <w:uiPriority w:val="9"/>
    <w:unhideWhenUsed/>
    <w:qFormat/>
    <w:rsid w:val="00470025"/>
    <w:pPr>
      <w:keepNext/>
      <w:keepLines/>
      <w:spacing w:after="0" w:line="480" w:lineRule="auto"/>
      <w:outlineLvl w:val="1"/>
    </w:pPr>
    <w:rPr>
      <w:rFonts w:ascii="Times New Roman" w:eastAsia="Calibri" w:hAnsi="Times New Roman" w:cs="Times New Roman"/>
      <w:b/>
      <w:bCs/>
      <w:sz w:val="24"/>
      <w:szCs w:val="24"/>
    </w:rPr>
  </w:style>
  <w:style w:type="paragraph" w:styleId="Heading3">
    <w:name w:val="heading 3"/>
    <w:basedOn w:val="Normal"/>
    <w:next w:val="Normal"/>
    <w:link w:val="Heading3Char"/>
    <w:uiPriority w:val="9"/>
    <w:unhideWhenUsed/>
    <w:qFormat/>
    <w:rsid w:val="00C67BE5"/>
    <w:pPr>
      <w:keepNext/>
      <w:keepLines/>
      <w:spacing w:after="0" w:line="480" w:lineRule="auto"/>
      <w:outlineLvl w:val="2"/>
    </w:pPr>
    <w:rPr>
      <w:rFonts w:ascii="Times New Roman" w:eastAsia="Calibri" w:hAnsi="Times New Roman" w:cs="Times New Roman"/>
      <w:b/>
      <w:bCs/>
      <w:i/>
      <w:iCs/>
      <w:sz w:val="24"/>
      <w:szCs w:val="24"/>
    </w:rPr>
  </w:style>
  <w:style w:type="paragraph" w:styleId="Heading4">
    <w:name w:val="heading 4"/>
    <w:basedOn w:val="Normal"/>
    <w:next w:val="Normal"/>
    <w:link w:val="Heading4Char"/>
    <w:uiPriority w:val="9"/>
    <w:unhideWhenUsed/>
    <w:qFormat/>
    <w:rsid w:val="00985D0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85D0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025"/>
    <w:rPr>
      <w:rFonts w:ascii="Times New Roman" w:eastAsia="Calibri" w:hAnsi="Times New Roman" w:cs="Times New Roman"/>
      <w:b/>
      <w:bCs/>
      <w:sz w:val="24"/>
      <w:szCs w:val="24"/>
    </w:rPr>
  </w:style>
  <w:style w:type="character" w:customStyle="1" w:styleId="Heading2Char">
    <w:name w:val="Heading 2 Char"/>
    <w:basedOn w:val="DefaultParagraphFont"/>
    <w:link w:val="Heading2"/>
    <w:uiPriority w:val="9"/>
    <w:rsid w:val="00470025"/>
    <w:rPr>
      <w:rFonts w:ascii="Times New Roman" w:eastAsia="Calibri" w:hAnsi="Times New Roman" w:cs="Times New Roman"/>
      <w:b/>
      <w:bCs/>
      <w:sz w:val="24"/>
      <w:szCs w:val="24"/>
    </w:rPr>
  </w:style>
  <w:style w:type="character" w:customStyle="1" w:styleId="Heading3Char">
    <w:name w:val="Heading 3 Char"/>
    <w:basedOn w:val="DefaultParagraphFont"/>
    <w:link w:val="Heading3"/>
    <w:uiPriority w:val="9"/>
    <w:rsid w:val="00C67BE5"/>
    <w:rPr>
      <w:rFonts w:ascii="Times New Roman" w:eastAsia="Calibri" w:hAnsi="Times New Roman" w:cs="Times New Roman"/>
      <w:b/>
      <w:bCs/>
      <w:i/>
      <w:iCs/>
      <w:sz w:val="24"/>
      <w:szCs w:val="24"/>
    </w:rPr>
  </w:style>
  <w:style w:type="paragraph" w:styleId="Header">
    <w:name w:val="header"/>
    <w:basedOn w:val="Normal"/>
    <w:link w:val="HeaderChar"/>
    <w:uiPriority w:val="99"/>
    <w:unhideWhenUsed/>
    <w:rsid w:val="00925C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C14"/>
  </w:style>
  <w:style w:type="paragraph" w:styleId="Footer">
    <w:name w:val="footer"/>
    <w:basedOn w:val="Normal"/>
    <w:link w:val="FooterChar"/>
    <w:uiPriority w:val="99"/>
    <w:unhideWhenUsed/>
    <w:rsid w:val="00925C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C14"/>
  </w:style>
  <w:style w:type="character" w:styleId="CommentReference">
    <w:name w:val="annotation reference"/>
    <w:basedOn w:val="DefaultParagraphFont"/>
    <w:uiPriority w:val="99"/>
    <w:semiHidden/>
    <w:unhideWhenUsed/>
    <w:rsid w:val="001E5C32"/>
    <w:rPr>
      <w:sz w:val="16"/>
      <w:szCs w:val="16"/>
    </w:rPr>
  </w:style>
  <w:style w:type="paragraph" w:styleId="CommentText">
    <w:name w:val="annotation text"/>
    <w:basedOn w:val="Normal"/>
    <w:link w:val="CommentTextChar"/>
    <w:uiPriority w:val="99"/>
    <w:unhideWhenUsed/>
    <w:rsid w:val="001E5C32"/>
    <w:pPr>
      <w:spacing w:line="240" w:lineRule="auto"/>
    </w:pPr>
    <w:rPr>
      <w:sz w:val="20"/>
      <w:szCs w:val="20"/>
    </w:rPr>
  </w:style>
  <w:style w:type="character" w:customStyle="1" w:styleId="CommentTextChar">
    <w:name w:val="Comment Text Char"/>
    <w:basedOn w:val="DefaultParagraphFont"/>
    <w:link w:val="CommentText"/>
    <w:uiPriority w:val="99"/>
    <w:rsid w:val="001E5C32"/>
    <w:rPr>
      <w:sz w:val="20"/>
      <w:szCs w:val="20"/>
    </w:rPr>
  </w:style>
  <w:style w:type="paragraph" w:styleId="CommentSubject">
    <w:name w:val="annotation subject"/>
    <w:basedOn w:val="CommentText"/>
    <w:next w:val="CommentText"/>
    <w:link w:val="CommentSubjectChar"/>
    <w:uiPriority w:val="99"/>
    <w:semiHidden/>
    <w:unhideWhenUsed/>
    <w:rsid w:val="001E5C32"/>
    <w:rPr>
      <w:b/>
      <w:bCs/>
    </w:rPr>
  </w:style>
  <w:style w:type="character" w:customStyle="1" w:styleId="CommentSubjectChar">
    <w:name w:val="Comment Subject Char"/>
    <w:basedOn w:val="CommentTextChar"/>
    <w:link w:val="CommentSubject"/>
    <w:uiPriority w:val="99"/>
    <w:semiHidden/>
    <w:rsid w:val="001E5C32"/>
    <w:rPr>
      <w:b/>
      <w:bCs/>
      <w:sz w:val="20"/>
      <w:szCs w:val="20"/>
    </w:rPr>
  </w:style>
  <w:style w:type="paragraph" w:styleId="BalloonText">
    <w:name w:val="Balloon Text"/>
    <w:basedOn w:val="Normal"/>
    <w:link w:val="BalloonTextChar"/>
    <w:uiPriority w:val="99"/>
    <w:semiHidden/>
    <w:unhideWhenUsed/>
    <w:rsid w:val="001E5C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5C32"/>
    <w:rPr>
      <w:rFonts w:ascii="Segoe UI" w:hAnsi="Segoe UI" w:cs="Segoe UI"/>
      <w:sz w:val="18"/>
      <w:szCs w:val="18"/>
    </w:rPr>
  </w:style>
  <w:style w:type="paragraph" w:styleId="ListParagraph">
    <w:name w:val="List Paragraph"/>
    <w:basedOn w:val="Normal"/>
    <w:uiPriority w:val="34"/>
    <w:qFormat/>
    <w:rsid w:val="00090ED7"/>
    <w:pPr>
      <w:ind w:left="720"/>
      <w:contextualSpacing/>
    </w:pPr>
  </w:style>
  <w:style w:type="character" w:customStyle="1" w:styleId="Heading4Char">
    <w:name w:val="Heading 4 Char"/>
    <w:basedOn w:val="DefaultParagraphFont"/>
    <w:link w:val="Heading4"/>
    <w:uiPriority w:val="9"/>
    <w:rsid w:val="00985D07"/>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85D07"/>
    <w:rPr>
      <w:rFonts w:asciiTheme="majorHAnsi" w:eastAsiaTheme="majorEastAsia" w:hAnsiTheme="majorHAnsi" w:cstheme="majorBidi"/>
      <w:color w:val="2F5496" w:themeColor="accent1" w:themeShade="BF"/>
    </w:rPr>
  </w:style>
  <w:style w:type="paragraph" w:customStyle="1" w:styleId="Heading11">
    <w:name w:val="Heading 11"/>
    <w:basedOn w:val="Normal"/>
    <w:next w:val="Normal"/>
    <w:uiPriority w:val="9"/>
    <w:qFormat/>
    <w:rsid w:val="00985D07"/>
    <w:pPr>
      <w:keepNext/>
      <w:keepLines/>
      <w:spacing w:before="480" w:after="0" w:line="240" w:lineRule="auto"/>
      <w:outlineLvl w:val="0"/>
    </w:pPr>
    <w:rPr>
      <w:rFonts w:ascii="Cambria" w:eastAsia="MS Gothic" w:hAnsi="Cambria" w:cs="Times New Roman"/>
      <w:b/>
      <w:bCs/>
      <w:color w:val="365F91"/>
      <w:sz w:val="28"/>
      <w:szCs w:val="28"/>
    </w:rPr>
  </w:style>
  <w:style w:type="numbering" w:customStyle="1" w:styleId="NoList1">
    <w:name w:val="No List1"/>
    <w:next w:val="NoList"/>
    <w:uiPriority w:val="99"/>
    <w:semiHidden/>
    <w:unhideWhenUsed/>
    <w:rsid w:val="00985D07"/>
  </w:style>
  <w:style w:type="paragraph" w:customStyle="1" w:styleId="ListParagraph1">
    <w:name w:val="List Paragraph1"/>
    <w:basedOn w:val="Normal"/>
    <w:next w:val="ListParagraph"/>
    <w:qFormat/>
    <w:rsid w:val="00985D07"/>
    <w:pPr>
      <w:spacing w:after="0" w:line="240" w:lineRule="auto"/>
      <w:ind w:left="720"/>
      <w:contextualSpacing/>
    </w:pPr>
    <w:rPr>
      <w:rFonts w:eastAsia="MS Mincho"/>
      <w:sz w:val="24"/>
      <w:szCs w:val="24"/>
    </w:rPr>
  </w:style>
  <w:style w:type="paragraph" w:styleId="NoSpacing">
    <w:name w:val="No Spacing"/>
    <w:uiPriority w:val="1"/>
    <w:qFormat/>
    <w:rsid w:val="00985D07"/>
    <w:pPr>
      <w:spacing w:after="0" w:line="240" w:lineRule="auto"/>
    </w:pPr>
  </w:style>
  <w:style w:type="table" w:customStyle="1" w:styleId="PlainTable41">
    <w:name w:val="Plain Table 41"/>
    <w:basedOn w:val="TableNormal"/>
    <w:next w:val="PlainTable4"/>
    <w:uiPriority w:val="44"/>
    <w:rsid w:val="00985D07"/>
    <w:pPr>
      <w:spacing w:after="0" w:line="240" w:lineRule="auto"/>
    </w:pPr>
    <w:rPr>
      <w:lang w:val="tr-T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2">
    <w:name w:val="Plain Table 42"/>
    <w:basedOn w:val="TableNormal"/>
    <w:next w:val="PlainTable4"/>
    <w:uiPriority w:val="44"/>
    <w:rsid w:val="00985D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yperlink1">
    <w:name w:val="Hyperlink1"/>
    <w:basedOn w:val="DefaultParagraphFont"/>
    <w:uiPriority w:val="99"/>
    <w:unhideWhenUsed/>
    <w:rsid w:val="00985D07"/>
    <w:rPr>
      <w:color w:val="0000FF"/>
      <w:u w:val="single"/>
    </w:rPr>
  </w:style>
  <w:style w:type="character" w:customStyle="1" w:styleId="UnresolvedMention1">
    <w:name w:val="Unresolved Mention1"/>
    <w:basedOn w:val="DefaultParagraphFont"/>
    <w:uiPriority w:val="99"/>
    <w:semiHidden/>
    <w:unhideWhenUsed/>
    <w:rsid w:val="00985D07"/>
    <w:rPr>
      <w:color w:val="605E5C"/>
      <w:shd w:val="clear" w:color="auto" w:fill="E1DFDD"/>
    </w:rPr>
  </w:style>
  <w:style w:type="character" w:customStyle="1" w:styleId="FollowedHyperlink1">
    <w:name w:val="FollowedHyperlink1"/>
    <w:basedOn w:val="DefaultParagraphFont"/>
    <w:uiPriority w:val="99"/>
    <w:semiHidden/>
    <w:unhideWhenUsed/>
    <w:rsid w:val="00985D07"/>
    <w:rPr>
      <w:color w:val="800080"/>
      <w:u w:val="single"/>
    </w:rPr>
  </w:style>
  <w:style w:type="paragraph" w:styleId="NormalWeb">
    <w:name w:val="Normal (Web)"/>
    <w:basedOn w:val="Normal"/>
    <w:uiPriority w:val="99"/>
    <w:semiHidden/>
    <w:unhideWhenUsed/>
    <w:rsid w:val="00985D0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985D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next w:val="GridTable1Light"/>
    <w:uiPriority w:val="46"/>
    <w:rsid w:val="00985D07"/>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Accent11">
    <w:name w:val="Grid Table 1 Light - Accent 11"/>
    <w:basedOn w:val="TableNormal"/>
    <w:next w:val="GridTable1Light-Accent1"/>
    <w:uiPriority w:val="46"/>
    <w:rsid w:val="00985D07"/>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PlainTable31">
    <w:name w:val="Plain Table 31"/>
    <w:basedOn w:val="TableNormal"/>
    <w:next w:val="PlainTable3"/>
    <w:uiPriority w:val="43"/>
    <w:rsid w:val="00985D07"/>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1">
    <w:name w:val="Table Grid1"/>
    <w:basedOn w:val="TableNormal"/>
    <w:next w:val="TableGrid"/>
    <w:uiPriority w:val="39"/>
    <w:rsid w:val="00985D07"/>
    <w:pPr>
      <w:spacing w:after="0" w:line="240" w:lineRule="auto"/>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31">
    <w:name w:val="Grid Table 31"/>
    <w:basedOn w:val="TableNormal"/>
    <w:next w:val="GridTable3"/>
    <w:uiPriority w:val="48"/>
    <w:rsid w:val="00985D07"/>
    <w:pPr>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character" w:customStyle="1" w:styleId="Heading1Char1">
    <w:name w:val="Heading 1 Char1"/>
    <w:basedOn w:val="DefaultParagraphFont"/>
    <w:uiPriority w:val="9"/>
    <w:rsid w:val="00985D07"/>
    <w:rPr>
      <w:rFonts w:asciiTheme="majorHAnsi" w:eastAsiaTheme="majorEastAsia" w:hAnsiTheme="majorHAnsi" w:cstheme="majorBidi"/>
      <w:color w:val="2F5496" w:themeColor="accent1" w:themeShade="BF"/>
      <w:sz w:val="32"/>
      <w:szCs w:val="32"/>
    </w:rPr>
  </w:style>
  <w:style w:type="table" w:styleId="PlainTable4">
    <w:name w:val="Plain Table 4"/>
    <w:basedOn w:val="TableNormal"/>
    <w:uiPriority w:val="44"/>
    <w:rsid w:val="00985D0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985D07"/>
    <w:rPr>
      <w:color w:val="0563C1" w:themeColor="hyperlink"/>
      <w:u w:val="single"/>
    </w:rPr>
  </w:style>
  <w:style w:type="character" w:styleId="FollowedHyperlink">
    <w:name w:val="FollowedHyperlink"/>
    <w:basedOn w:val="DefaultParagraphFont"/>
    <w:uiPriority w:val="99"/>
    <w:semiHidden/>
    <w:unhideWhenUsed/>
    <w:rsid w:val="00985D07"/>
    <w:rPr>
      <w:color w:val="954F72" w:themeColor="followedHyperlink"/>
      <w:u w:val="single"/>
    </w:rPr>
  </w:style>
  <w:style w:type="table" w:styleId="GridTable1Light">
    <w:name w:val="Grid Table 1 Light"/>
    <w:basedOn w:val="TableNormal"/>
    <w:uiPriority w:val="46"/>
    <w:rsid w:val="00985D0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85D07"/>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PlainTable3">
    <w:name w:val="Plain Table 3"/>
    <w:basedOn w:val="TableNormal"/>
    <w:uiPriority w:val="43"/>
    <w:rsid w:val="00985D0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
    <w:name w:val="Grid Table 3"/>
    <w:basedOn w:val="TableNormal"/>
    <w:uiPriority w:val="48"/>
    <w:rsid w:val="00985D0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Revision">
    <w:name w:val="Revision"/>
    <w:hidden/>
    <w:uiPriority w:val="99"/>
    <w:semiHidden/>
    <w:rsid w:val="00985D07"/>
    <w:pPr>
      <w:spacing w:after="0" w:line="240" w:lineRule="auto"/>
    </w:pPr>
  </w:style>
  <w:style w:type="paragraph" w:customStyle="1" w:styleId="P68B1DB1-Normal2">
    <w:name w:val="P68B1DB1-Normal2"/>
    <w:basedOn w:val="Normal"/>
    <w:rsid w:val="00985D07"/>
    <w:rPr>
      <w:rFonts w:ascii="Times New Roman" w:hAnsi="Times New Roman" w:cs="Times New Roman"/>
      <w:sz w:val="24"/>
      <w:szCs w:val="20"/>
      <w:lang w:val="tr-TR"/>
    </w:rPr>
  </w:style>
  <w:style w:type="numbering" w:customStyle="1" w:styleId="NoList2">
    <w:name w:val="No List2"/>
    <w:next w:val="NoList"/>
    <w:uiPriority w:val="99"/>
    <w:semiHidden/>
    <w:unhideWhenUsed/>
    <w:rsid w:val="005A4306"/>
  </w:style>
  <w:style w:type="numbering" w:customStyle="1" w:styleId="NoList3">
    <w:name w:val="No List3"/>
    <w:next w:val="NoList"/>
    <w:uiPriority w:val="99"/>
    <w:semiHidden/>
    <w:unhideWhenUsed/>
    <w:rsid w:val="00AA7323"/>
  </w:style>
  <w:style w:type="character" w:customStyle="1" w:styleId="UnresolvedMention2">
    <w:name w:val="Unresolved Mention2"/>
    <w:basedOn w:val="DefaultParagraphFont"/>
    <w:uiPriority w:val="99"/>
    <w:semiHidden/>
    <w:unhideWhenUsed/>
    <w:rsid w:val="00A60B1C"/>
    <w:rPr>
      <w:color w:val="605E5C"/>
      <w:shd w:val="clear" w:color="auto" w:fill="E1DFDD"/>
    </w:rPr>
  </w:style>
  <w:style w:type="paragraph" w:styleId="TOC1">
    <w:name w:val="toc 1"/>
    <w:basedOn w:val="Normal"/>
    <w:next w:val="Normal"/>
    <w:autoRedefine/>
    <w:uiPriority w:val="39"/>
    <w:unhideWhenUsed/>
    <w:rsid w:val="00524C9E"/>
    <w:pPr>
      <w:spacing w:after="100"/>
    </w:pPr>
  </w:style>
  <w:style w:type="paragraph" w:styleId="TOC2">
    <w:name w:val="toc 2"/>
    <w:basedOn w:val="Normal"/>
    <w:next w:val="Normal"/>
    <w:autoRedefine/>
    <w:uiPriority w:val="39"/>
    <w:unhideWhenUsed/>
    <w:rsid w:val="00524C9E"/>
    <w:pPr>
      <w:spacing w:after="100"/>
      <w:ind w:left="220"/>
    </w:pPr>
  </w:style>
  <w:style w:type="paragraph" w:styleId="TOC3">
    <w:name w:val="toc 3"/>
    <w:basedOn w:val="Normal"/>
    <w:next w:val="Normal"/>
    <w:autoRedefine/>
    <w:uiPriority w:val="39"/>
    <w:unhideWhenUsed/>
    <w:rsid w:val="00524C9E"/>
    <w:pPr>
      <w:spacing w:after="100"/>
      <w:ind w:left="440"/>
    </w:pPr>
  </w:style>
  <w:style w:type="paragraph" w:styleId="TOC4">
    <w:name w:val="toc 4"/>
    <w:basedOn w:val="Normal"/>
    <w:next w:val="Normal"/>
    <w:autoRedefine/>
    <w:uiPriority w:val="39"/>
    <w:unhideWhenUsed/>
    <w:rsid w:val="00524C9E"/>
    <w:pPr>
      <w:spacing w:after="100"/>
      <w:ind w:left="660"/>
    </w:pPr>
    <w:rPr>
      <w:rFonts w:eastAsiaTheme="minorEastAsia"/>
    </w:rPr>
  </w:style>
  <w:style w:type="paragraph" w:styleId="TOC5">
    <w:name w:val="toc 5"/>
    <w:basedOn w:val="Normal"/>
    <w:next w:val="Normal"/>
    <w:autoRedefine/>
    <w:uiPriority w:val="39"/>
    <w:unhideWhenUsed/>
    <w:rsid w:val="00524C9E"/>
    <w:pPr>
      <w:spacing w:after="100"/>
      <w:ind w:left="880"/>
    </w:pPr>
    <w:rPr>
      <w:rFonts w:eastAsiaTheme="minorEastAsia"/>
    </w:rPr>
  </w:style>
  <w:style w:type="paragraph" w:styleId="TOC6">
    <w:name w:val="toc 6"/>
    <w:basedOn w:val="Normal"/>
    <w:next w:val="Normal"/>
    <w:autoRedefine/>
    <w:uiPriority w:val="39"/>
    <w:unhideWhenUsed/>
    <w:rsid w:val="00524C9E"/>
    <w:pPr>
      <w:spacing w:after="100"/>
      <w:ind w:left="1100"/>
    </w:pPr>
    <w:rPr>
      <w:rFonts w:eastAsiaTheme="minorEastAsia"/>
    </w:rPr>
  </w:style>
  <w:style w:type="paragraph" w:styleId="TOC7">
    <w:name w:val="toc 7"/>
    <w:basedOn w:val="Normal"/>
    <w:next w:val="Normal"/>
    <w:autoRedefine/>
    <w:uiPriority w:val="39"/>
    <w:unhideWhenUsed/>
    <w:rsid w:val="00524C9E"/>
    <w:pPr>
      <w:spacing w:after="100"/>
      <w:ind w:left="1320"/>
    </w:pPr>
    <w:rPr>
      <w:rFonts w:eastAsiaTheme="minorEastAsia"/>
    </w:rPr>
  </w:style>
  <w:style w:type="paragraph" w:styleId="TOC8">
    <w:name w:val="toc 8"/>
    <w:basedOn w:val="Normal"/>
    <w:next w:val="Normal"/>
    <w:autoRedefine/>
    <w:uiPriority w:val="39"/>
    <w:unhideWhenUsed/>
    <w:rsid w:val="00524C9E"/>
    <w:pPr>
      <w:spacing w:after="100"/>
      <w:ind w:left="1540"/>
    </w:pPr>
    <w:rPr>
      <w:rFonts w:eastAsiaTheme="minorEastAsia"/>
    </w:rPr>
  </w:style>
  <w:style w:type="paragraph" w:styleId="TOC9">
    <w:name w:val="toc 9"/>
    <w:basedOn w:val="Normal"/>
    <w:next w:val="Normal"/>
    <w:autoRedefine/>
    <w:uiPriority w:val="39"/>
    <w:unhideWhenUsed/>
    <w:rsid w:val="00524C9E"/>
    <w:pPr>
      <w:spacing w:after="100"/>
      <w:ind w:left="1760"/>
    </w:pPr>
    <w:rPr>
      <w:rFonts w:eastAsiaTheme="minorEastAsia"/>
    </w:rPr>
  </w:style>
  <w:style w:type="paragraph" w:styleId="TOCHeading">
    <w:name w:val="TOC Heading"/>
    <w:basedOn w:val="Heading1"/>
    <w:next w:val="Normal"/>
    <w:uiPriority w:val="39"/>
    <w:unhideWhenUsed/>
    <w:qFormat/>
    <w:rsid w:val="00E22051"/>
    <w:pPr>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customStyle="1" w:styleId="Header1">
    <w:name w:val="Header1"/>
    <w:basedOn w:val="Normal"/>
    <w:next w:val="Header"/>
    <w:uiPriority w:val="99"/>
    <w:unhideWhenUsed/>
    <w:rsid w:val="003F7AC0"/>
    <w:pPr>
      <w:tabs>
        <w:tab w:val="center" w:pos="4680"/>
        <w:tab w:val="right" w:pos="9360"/>
      </w:tabs>
      <w:spacing w:after="0" w:line="240" w:lineRule="auto"/>
    </w:pPr>
  </w:style>
  <w:style w:type="paragraph" w:customStyle="1" w:styleId="Footer1">
    <w:name w:val="Footer1"/>
    <w:basedOn w:val="Normal"/>
    <w:next w:val="Footer"/>
    <w:uiPriority w:val="99"/>
    <w:unhideWhenUsed/>
    <w:rsid w:val="003F7AC0"/>
    <w:pPr>
      <w:tabs>
        <w:tab w:val="center" w:pos="4680"/>
        <w:tab w:val="right" w:pos="9360"/>
      </w:tabs>
      <w:spacing w:after="0" w:line="240" w:lineRule="auto"/>
    </w:pPr>
  </w:style>
  <w:style w:type="paragraph" w:customStyle="1" w:styleId="BalloonText1">
    <w:name w:val="Balloon Text1"/>
    <w:basedOn w:val="Normal"/>
    <w:next w:val="BalloonText"/>
    <w:uiPriority w:val="99"/>
    <w:semiHidden/>
    <w:unhideWhenUsed/>
    <w:rsid w:val="003F7AC0"/>
    <w:pPr>
      <w:spacing w:after="0" w:line="240" w:lineRule="auto"/>
    </w:pPr>
    <w:rPr>
      <w:rFonts w:ascii="Lucida Grande" w:hAnsi="Lucida Grande" w:cs="Lucida Grande"/>
      <w:sz w:val="18"/>
      <w:szCs w:val="18"/>
    </w:rPr>
  </w:style>
  <w:style w:type="paragraph" w:customStyle="1" w:styleId="CommentText1">
    <w:name w:val="Comment Text1"/>
    <w:basedOn w:val="Normal"/>
    <w:next w:val="CommentText"/>
    <w:uiPriority w:val="99"/>
    <w:unhideWhenUsed/>
    <w:rsid w:val="003F7AC0"/>
    <w:pPr>
      <w:spacing w:after="200" w:line="240" w:lineRule="auto"/>
    </w:pPr>
    <w:rPr>
      <w:sz w:val="24"/>
      <w:szCs w:val="24"/>
    </w:rPr>
  </w:style>
  <w:style w:type="paragraph" w:customStyle="1" w:styleId="CommentSubject1">
    <w:name w:val="Comment Subject1"/>
    <w:basedOn w:val="CommentText"/>
    <w:next w:val="CommentText"/>
    <w:uiPriority w:val="99"/>
    <w:semiHidden/>
    <w:unhideWhenUsed/>
    <w:rsid w:val="003F7AC0"/>
    <w:pPr>
      <w:spacing w:after="200"/>
    </w:pPr>
    <w:rPr>
      <w:b/>
      <w:bCs/>
    </w:rPr>
  </w:style>
  <w:style w:type="paragraph" w:customStyle="1" w:styleId="NoSpacing1">
    <w:name w:val="No Spacing1"/>
    <w:next w:val="NoSpacing"/>
    <w:uiPriority w:val="1"/>
    <w:qFormat/>
    <w:rsid w:val="003F7AC0"/>
    <w:pPr>
      <w:spacing w:after="0" w:line="240" w:lineRule="auto"/>
    </w:pPr>
  </w:style>
  <w:style w:type="character" w:customStyle="1" w:styleId="HeaderChar1">
    <w:name w:val="Header Char1"/>
    <w:basedOn w:val="DefaultParagraphFont"/>
    <w:uiPriority w:val="99"/>
    <w:semiHidden/>
    <w:rsid w:val="003F7AC0"/>
  </w:style>
  <w:style w:type="character" w:customStyle="1" w:styleId="FooterChar1">
    <w:name w:val="Footer Char1"/>
    <w:basedOn w:val="DefaultParagraphFont"/>
    <w:uiPriority w:val="99"/>
    <w:semiHidden/>
    <w:rsid w:val="003F7AC0"/>
  </w:style>
  <w:style w:type="character" w:customStyle="1" w:styleId="BalloonTextChar1">
    <w:name w:val="Balloon Text Char1"/>
    <w:basedOn w:val="DefaultParagraphFont"/>
    <w:uiPriority w:val="99"/>
    <w:semiHidden/>
    <w:rsid w:val="003F7AC0"/>
    <w:rPr>
      <w:rFonts w:ascii="Segoe UI" w:hAnsi="Segoe UI" w:cs="Segoe UI"/>
      <w:sz w:val="18"/>
      <w:szCs w:val="18"/>
    </w:rPr>
  </w:style>
  <w:style w:type="character" w:customStyle="1" w:styleId="CommentTextChar1">
    <w:name w:val="Comment Text Char1"/>
    <w:basedOn w:val="DefaultParagraphFont"/>
    <w:uiPriority w:val="99"/>
    <w:semiHidden/>
    <w:rsid w:val="003F7AC0"/>
    <w:rPr>
      <w:sz w:val="20"/>
      <w:szCs w:val="20"/>
    </w:rPr>
  </w:style>
  <w:style w:type="character" w:customStyle="1" w:styleId="CommentSubjectChar1">
    <w:name w:val="Comment Subject Char1"/>
    <w:basedOn w:val="CommentTextChar1"/>
    <w:uiPriority w:val="99"/>
    <w:semiHidden/>
    <w:rsid w:val="003F7AC0"/>
    <w:rPr>
      <w:b/>
      <w:bCs/>
      <w:sz w:val="20"/>
      <w:szCs w:val="20"/>
    </w:rPr>
  </w:style>
  <w:style w:type="numbering" w:customStyle="1" w:styleId="NoList4">
    <w:name w:val="No List4"/>
    <w:next w:val="NoList"/>
    <w:uiPriority w:val="99"/>
    <w:semiHidden/>
    <w:unhideWhenUsed/>
    <w:rsid w:val="007E1C2B"/>
  </w:style>
  <w:style w:type="character" w:styleId="UnresolvedMention">
    <w:name w:val="Unresolved Mention"/>
    <w:basedOn w:val="DefaultParagraphFont"/>
    <w:uiPriority w:val="99"/>
    <w:semiHidden/>
    <w:unhideWhenUsed/>
    <w:rsid w:val="00E77E6B"/>
    <w:rPr>
      <w:color w:val="605E5C"/>
      <w:shd w:val="clear" w:color="auto" w:fill="E1DFDD"/>
    </w:rPr>
  </w:style>
  <w:style w:type="table" w:customStyle="1" w:styleId="TableGrid2">
    <w:name w:val="Table Grid2"/>
    <w:basedOn w:val="TableNormal"/>
    <w:next w:val="TableGrid"/>
    <w:uiPriority w:val="39"/>
    <w:rsid w:val="00425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98609">
      <w:bodyDiv w:val="1"/>
      <w:marLeft w:val="0"/>
      <w:marRight w:val="0"/>
      <w:marTop w:val="0"/>
      <w:marBottom w:val="0"/>
      <w:divBdr>
        <w:top w:val="none" w:sz="0" w:space="0" w:color="auto"/>
        <w:left w:val="none" w:sz="0" w:space="0" w:color="auto"/>
        <w:bottom w:val="none" w:sz="0" w:space="0" w:color="auto"/>
        <w:right w:val="none" w:sz="0" w:space="0" w:color="auto"/>
      </w:divBdr>
    </w:div>
    <w:div w:id="473067568">
      <w:bodyDiv w:val="1"/>
      <w:marLeft w:val="0"/>
      <w:marRight w:val="0"/>
      <w:marTop w:val="0"/>
      <w:marBottom w:val="0"/>
      <w:divBdr>
        <w:top w:val="none" w:sz="0" w:space="0" w:color="auto"/>
        <w:left w:val="none" w:sz="0" w:space="0" w:color="auto"/>
        <w:bottom w:val="none" w:sz="0" w:space="0" w:color="auto"/>
        <w:right w:val="none" w:sz="0" w:space="0" w:color="auto"/>
      </w:divBdr>
      <w:divsChild>
        <w:div w:id="147095121">
          <w:marLeft w:val="480"/>
          <w:marRight w:val="0"/>
          <w:marTop w:val="0"/>
          <w:marBottom w:val="0"/>
          <w:divBdr>
            <w:top w:val="none" w:sz="0" w:space="0" w:color="auto"/>
            <w:left w:val="none" w:sz="0" w:space="0" w:color="auto"/>
            <w:bottom w:val="none" w:sz="0" w:space="0" w:color="auto"/>
            <w:right w:val="none" w:sz="0" w:space="0" w:color="auto"/>
          </w:divBdr>
          <w:divsChild>
            <w:div w:id="183764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549823">
      <w:bodyDiv w:val="1"/>
      <w:marLeft w:val="0"/>
      <w:marRight w:val="0"/>
      <w:marTop w:val="0"/>
      <w:marBottom w:val="0"/>
      <w:divBdr>
        <w:top w:val="none" w:sz="0" w:space="0" w:color="auto"/>
        <w:left w:val="none" w:sz="0" w:space="0" w:color="auto"/>
        <w:bottom w:val="none" w:sz="0" w:space="0" w:color="auto"/>
        <w:right w:val="none" w:sz="0" w:space="0" w:color="auto"/>
      </w:divBdr>
      <w:divsChild>
        <w:div w:id="2134013224">
          <w:marLeft w:val="480"/>
          <w:marRight w:val="0"/>
          <w:marTop w:val="0"/>
          <w:marBottom w:val="0"/>
          <w:divBdr>
            <w:top w:val="none" w:sz="0" w:space="0" w:color="auto"/>
            <w:left w:val="none" w:sz="0" w:space="0" w:color="auto"/>
            <w:bottom w:val="none" w:sz="0" w:space="0" w:color="auto"/>
            <w:right w:val="none" w:sz="0" w:space="0" w:color="auto"/>
          </w:divBdr>
          <w:divsChild>
            <w:div w:id="137711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5210">
      <w:bodyDiv w:val="1"/>
      <w:marLeft w:val="0"/>
      <w:marRight w:val="0"/>
      <w:marTop w:val="0"/>
      <w:marBottom w:val="0"/>
      <w:divBdr>
        <w:top w:val="none" w:sz="0" w:space="0" w:color="auto"/>
        <w:left w:val="none" w:sz="0" w:space="0" w:color="auto"/>
        <w:bottom w:val="none" w:sz="0" w:space="0" w:color="auto"/>
        <w:right w:val="none" w:sz="0" w:space="0" w:color="auto"/>
      </w:divBdr>
      <w:divsChild>
        <w:div w:id="1388409863">
          <w:marLeft w:val="480"/>
          <w:marRight w:val="0"/>
          <w:marTop w:val="0"/>
          <w:marBottom w:val="0"/>
          <w:divBdr>
            <w:top w:val="none" w:sz="0" w:space="0" w:color="auto"/>
            <w:left w:val="none" w:sz="0" w:space="0" w:color="auto"/>
            <w:bottom w:val="none" w:sz="0" w:space="0" w:color="auto"/>
            <w:right w:val="none" w:sz="0" w:space="0" w:color="auto"/>
          </w:divBdr>
          <w:divsChild>
            <w:div w:id="175520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195678">
      <w:bodyDiv w:val="1"/>
      <w:marLeft w:val="0"/>
      <w:marRight w:val="0"/>
      <w:marTop w:val="0"/>
      <w:marBottom w:val="0"/>
      <w:divBdr>
        <w:top w:val="none" w:sz="0" w:space="0" w:color="auto"/>
        <w:left w:val="none" w:sz="0" w:space="0" w:color="auto"/>
        <w:bottom w:val="none" w:sz="0" w:space="0" w:color="auto"/>
        <w:right w:val="none" w:sz="0" w:space="0" w:color="auto"/>
      </w:divBdr>
      <w:divsChild>
        <w:div w:id="208800">
          <w:marLeft w:val="274"/>
          <w:marRight w:val="0"/>
          <w:marTop w:val="0"/>
          <w:marBottom w:val="0"/>
          <w:divBdr>
            <w:top w:val="none" w:sz="0" w:space="0" w:color="auto"/>
            <w:left w:val="none" w:sz="0" w:space="0" w:color="auto"/>
            <w:bottom w:val="none" w:sz="0" w:space="0" w:color="auto"/>
            <w:right w:val="none" w:sz="0" w:space="0" w:color="auto"/>
          </w:divBdr>
        </w:div>
        <w:div w:id="1022705782">
          <w:marLeft w:val="274"/>
          <w:marRight w:val="0"/>
          <w:marTop w:val="0"/>
          <w:marBottom w:val="0"/>
          <w:divBdr>
            <w:top w:val="none" w:sz="0" w:space="0" w:color="auto"/>
            <w:left w:val="none" w:sz="0" w:space="0" w:color="auto"/>
            <w:bottom w:val="none" w:sz="0" w:space="0" w:color="auto"/>
            <w:right w:val="none" w:sz="0" w:space="0" w:color="auto"/>
          </w:divBdr>
        </w:div>
        <w:div w:id="395393297">
          <w:marLeft w:val="274"/>
          <w:marRight w:val="0"/>
          <w:marTop w:val="0"/>
          <w:marBottom w:val="0"/>
          <w:divBdr>
            <w:top w:val="none" w:sz="0" w:space="0" w:color="auto"/>
            <w:left w:val="none" w:sz="0" w:space="0" w:color="auto"/>
            <w:bottom w:val="none" w:sz="0" w:space="0" w:color="auto"/>
            <w:right w:val="none" w:sz="0" w:space="0" w:color="auto"/>
          </w:divBdr>
        </w:div>
      </w:divsChild>
    </w:div>
    <w:div w:id="1632974092">
      <w:bodyDiv w:val="1"/>
      <w:marLeft w:val="0"/>
      <w:marRight w:val="0"/>
      <w:marTop w:val="0"/>
      <w:marBottom w:val="0"/>
      <w:divBdr>
        <w:top w:val="none" w:sz="0" w:space="0" w:color="auto"/>
        <w:left w:val="none" w:sz="0" w:space="0" w:color="auto"/>
        <w:bottom w:val="none" w:sz="0" w:space="0" w:color="auto"/>
        <w:right w:val="none" w:sz="0" w:space="0" w:color="auto"/>
      </w:divBdr>
      <w:divsChild>
        <w:div w:id="22633434">
          <w:marLeft w:val="480"/>
          <w:marRight w:val="0"/>
          <w:marTop w:val="0"/>
          <w:marBottom w:val="0"/>
          <w:divBdr>
            <w:top w:val="none" w:sz="0" w:space="0" w:color="auto"/>
            <w:left w:val="none" w:sz="0" w:space="0" w:color="auto"/>
            <w:bottom w:val="none" w:sz="0" w:space="0" w:color="auto"/>
            <w:right w:val="none" w:sz="0" w:space="0" w:color="auto"/>
          </w:divBdr>
          <w:divsChild>
            <w:div w:id="30208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656102">
      <w:bodyDiv w:val="1"/>
      <w:marLeft w:val="0"/>
      <w:marRight w:val="0"/>
      <w:marTop w:val="0"/>
      <w:marBottom w:val="0"/>
      <w:divBdr>
        <w:top w:val="none" w:sz="0" w:space="0" w:color="auto"/>
        <w:left w:val="none" w:sz="0" w:space="0" w:color="auto"/>
        <w:bottom w:val="none" w:sz="0" w:space="0" w:color="auto"/>
        <w:right w:val="none" w:sz="0" w:space="0" w:color="auto"/>
      </w:divBdr>
      <w:divsChild>
        <w:div w:id="89855307">
          <w:marLeft w:val="480"/>
          <w:marRight w:val="0"/>
          <w:marTop w:val="0"/>
          <w:marBottom w:val="0"/>
          <w:divBdr>
            <w:top w:val="none" w:sz="0" w:space="0" w:color="auto"/>
            <w:left w:val="none" w:sz="0" w:space="0" w:color="auto"/>
            <w:bottom w:val="none" w:sz="0" w:space="0" w:color="auto"/>
            <w:right w:val="none" w:sz="0" w:space="0" w:color="auto"/>
          </w:divBdr>
          <w:divsChild>
            <w:div w:id="170413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387228">
      <w:bodyDiv w:val="1"/>
      <w:marLeft w:val="0"/>
      <w:marRight w:val="0"/>
      <w:marTop w:val="0"/>
      <w:marBottom w:val="0"/>
      <w:divBdr>
        <w:top w:val="none" w:sz="0" w:space="0" w:color="auto"/>
        <w:left w:val="none" w:sz="0" w:space="0" w:color="auto"/>
        <w:bottom w:val="none" w:sz="0" w:space="0" w:color="auto"/>
        <w:right w:val="none" w:sz="0" w:space="0" w:color="auto"/>
      </w:divBdr>
      <w:divsChild>
        <w:div w:id="1261793448">
          <w:marLeft w:val="480"/>
          <w:marRight w:val="0"/>
          <w:marTop w:val="0"/>
          <w:marBottom w:val="0"/>
          <w:divBdr>
            <w:top w:val="none" w:sz="0" w:space="0" w:color="auto"/>
            <w:left w:val="none" w:sz="0" w:space="0" w:color="auto"/>
            <w:bottom w:val="none" w:sz="0" w:space="0" w:color="auto"/>
            <w:right w:val="none" w:sz="0" w:space="0" w:color="auto"/>
          </w:divBdr>
          <w:divsChild>
            <w:div w:id="198292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111/bjep.12342" TargetMode="External"/><Relationship Id="rId21" Type="http://schemas.openxmlformats.org/officeDocument/2006/relationships/hyperlink" Target="https://doi.org/10.1111/j.1746-1561.2009.00428.x" TargetMode="External"/><Relationship Id="rId42" Type="http://schemas.openxmlformats.org/officeDocument/2006/relationships/hyperlink" Target="https://tinyurl.com/4ak7v5xb" TargetMode="External"/><Relationship Id="rId63" Type="http://schemas.openxmlformats.org/officeDocument/2006/relationships/hyperlink" Target="https://doi.org/10.1086/461853" TargetMode="External"/><Relationship Id="rId84" Type="http://schemas.openxmlformats.org/officeDocument/2006/relationships/hyperlink" Target="https://doi.org/10.1177/2332858418809346" TargetMode="External"/><Relationship Id="rId138" Type="http://schemas.openxmlformats.org/officeDocument/2006/relationships/hyperlink" Target="https://doi.org/10.1207/s15389286ajde2001_3" TargetMode="External"/><Relationship Id="rId159" Type="http://schemas.openxmlformats.org/officeDocument/2006/relationships/hyperlink" Target="https://doi.org/10.3102/0002831209361209" TargetMode="External"/><Relationship Id="rId170" Type="http://schemas.openxmlformats.org/officeDocument/2006/relationships/hyperlink" Target="https://doi.org/10.24059/olj.v23i4.2076." TargetMode="External"/><Relationship Id="rId107" Type="http://schemas.openxmlformats.org/officeDocument/2006/relationships/hyperlink" Target="https://doi.org/10.19173/irrodl.v22i2.5187" TargetMode="External"/><Relationship Id="rId11" Type="http://schemas.openxmlformats.org/officeDocument/2006/relationships/image" Target="media/image1.png"/><Relationship Id="rId32" Type="http://schemas.openxmlformats.org/officeDocument/2006/relationships/hyperlink" Target="https://www.westga.edu/~distance/ojdla/summer142/boston_ice142.html" TargetMode="External"/><Relationship Id="rId53" Type="http://schemas.openxmlformats.org/officeDocument/2006/relationships/hyperlink" Target="https://doi.org/10.1177/073428290502300303" TargetMode="External"/><Relationship Id="rId74" Type="http://schemas.openxmlformats.org/officeDocument/2006/relationships/hyperlink" Target="https://doi.org/10.1016/j.compedu.2015.11.002" TargetMode="External"/><Relationship Id="rId128" Type="http://schemas.openxmlformats.org/officeDocument/2006/relationships/hyperlink" Target="https://doi.org/10.1037/0022-0663.82.1.33" TargetMode="External"/><Relationship Id="rId149" Type="http://schemas.openxmlformats.org/officeDocument/2006/relationships/hyperlink" Target="https://doi.org/10.1080/07481756.2017.1339563" TargetMode="External"/><Relationship Id="rId5" Type="http://schemas.openxmlformats.org/officeDocument/2006/relationships/webSettings" Target="webSettings.xml"/><Relationship Id="rId95" Type="http://schemas.openxmlformats.org/officeDocument/2006/relationships/hyperlink" Target="https://doi-org.ezproxy.lib.ou.edu/10.1002/kpm.1574" TargetMode="External"/><Relationship Id="rId160" Type="http://schemas.openxmlformats.org/officeDocument/2006/relationships/hyperlink" Target="https://doi.org/10.1016/j.chb.2019.01.034" TargetMode="External"/><Relationship Id="rId181" Type="http://schemas.openxmlformats.org/officeDocument/2006/relationships/theme" Target="theme/theme1.xml"/><Relationship Id="rId22" Type="http://schemas.openxmlformats.org/officeDocument/2006/relationships/hyperlink" Target="https://doi.org/10.1016/j.iheduc.2010.07.005" TargetMode="External"/><Relationship Id="rId43" Type="http://schemas.openxmlformats.org/officeDocument/2006/relationships/hyperlink" Target="https://doi.org/10.1080/13538320500074915" TargetMode="External"/><Relationship Id="rId64" Type="http://schemas.openxmlformats.org/officeDocument/2006/relationships/hyperlink" Target="https://doi.org/10.1037/0021-9010.82.2.221" TargetMode="External"/><Relationship Id="rId118" Type="http://schemas.openxmlformats.org/officeDocument/2006/relationships/hyperlink" Target="https://doi.org/10.1016/j.compedu.2010.12.009" TargetMode="External"/><Relationship Id="rId139" Type="http://schemas.openxmlformats.org/officeDocument/2006/relationships/hyperlink" Target="https://doi.org/10.1037/a0037252" TargetMode="External"/><Relationship Id="rId85" Type="http://schemas.openxmlformats.org/officeDocument/2006/relationships/hyperlink" Target="https://doi.org/10.24059/olj.v24i2.2285" TargetMode="External"/><Relationship Id="rId150" Type="http://schemas.openxmlformats.org/officeDocument/2006/relationships/hyperlink" Target="https://www.naspa.org/images/uploads/main/5things-surveys_feb2014_web.pdf" TargetMode="External"/><Relationship Id="rId171" Type="http://schemas.openxmlformats.org/officeDocument/2006/relationships/hyperlink" Target="https://doi.org/10.1177/0735633118786855" TargetMode="External"/><Relationship Id="rId12" Type="http://schemas.openxmlformats.org/officeDocument/2006/relationships/header" Target="header3.xml"/><Relationship Id="rId33" Type="http://schemas.openxmlformats.org/officeDocument/2006/relationships/hyperlink" Target="https://doi.org/10.1177/0049124192021002005" TargetMode="External"/><Relationship Id="rId108" Type="http://schemas.openxmlformats.org/officeDocument/2006/relationships/hyperlink" Target="https://doi.org/10.24059/olj.v23i1.1329" TargetMode="External"/><Relationship Id="rId129" Type="http://schemas.openxmlformats.org/officeDocument/2006/relationships/hyperlink" Target="https://doi.org/10.1177/0013164493053003024" TargetMode="External"/><Relationship Id="rId54" Type="http://schemas.openxmlformats.org/officeDocument/2006/relationships/hyperlink" Target="https://doi.org/10.24059/olj.v19i4.561" TargetMode="External"/><Relationship Id="rId75" Type="http://schemas.openxmlformats.org/officeDocument/2006/relationships/hyperlink" Target="https://doi.org/10.1006/ceps.1996.0015" TargetMode="External"/><Relationship Id="rId96" Type="http://schemas.openxmlformats.org/officeDocument/2006/relationships/hyperlink" Target="https://doi.org/10.1016/j.compedu.2020.104084" TargetMode="External"/><Relationship Id="rId140" Type="http://schemas.openxmlformats.org/officeDocument/2006/relationships/hyperlink" Target="https://doi.org/10.18637/jss.v048.i02" TargetMode="External"/><Relationship Id="rId161" Type="http://schemas.openxmlformats.org/officeDocument/2006/relationships/hyperlink" Target="https://doi.org/10.24059/olj.v22i4.1512" TargetMode="External"/><Relationship Id="rId6" Type="http://schemas.openxmlformats.org/officeDocument/2006/relationships/footnotes" Target="footnotes.xml"/><Relationship Id="rId23" Type="http://schemas.openxmlformats.org/officeDocument/2006/relationships/hyperlink" Target="https://doi.org/10.1016/j.iheduc.2012.01.006" TargetMode="External"/><Relationship Id="rId119" Type="http://schemas.openxmlformats.org/officeDocument/2006/relationships/hyperlink" Target="https://doi.org/10.1080/09523987.2016.1189255" TargetMode="External"/><Relationship Id="rId44" Type="http://schemas.openxmlformats.org/officeDocument/2006/relationships/hyperlink" Target="https://doi.org/10.1080/02602930600801878" TargetMode="External"/><Relationship Id="rId60" Type="http://schemas.openxmlformats.org/officeDocument/2006/relationships/hyperlink" Target="https://doi.org/10.1007/s10734-020-00657-5" TargetMode="External"/><Relationship Id="rId65" Type="http://schemas.openxmlformats.org/officeDocument/2006/relationships/hyperlink" Target="https://doi.org/10.1080/00220671.2020.1787314" TargetMode="External"/><Relationship Id="rId81" Type="http://schemas.openxmlformats.org/officeDocument/2006/relationships/hyperlink" Target="https://doi.org/10.1007/s10639-019-09863-w" TargetMode="External"/><Relationship Id="rId86" Type="http://schemas.openxmlformats.org/officeDocument/2006/relationships/hyperlink" Target="https://doi.org/10.1177/0011000006286347" TargetMode="External"/><Relationship Id="rId130" Type="http://schemas.openxmlformats.org/officeDocument/2006/relationships/hyperlink" Target="https://doi.org/10.1016/j.compedu.2006.11.003" TargetMode="External"/><Relationship Id="rId135" Type="http://schemas.openxmlformats.org/officeDocument/2006/relationships/hyperlink" Target="https://doi.org/10.1016/j.cedpsych.2011.05.002" TargetMode="External"/><Relationship Id="rId151" Type="http://schemas.openxmlformats.org/officeDocument/2006/relationships/hyperlink" Target="https://doi.org/10.1111/j.1467-8535.2010.01157.x" TargetMode="External"/><Relationship Id="rId156" Type="http://schemas.openxmlformats.org/officeDocument/2006/relationships/hyperlink" Target="https://doi.org/10.14742/ajet.1045" TargetMode="External"/><Relationship Id="rId177" Type="http://schemas.openxmlformats.org/officeDocument/2006/relationships/image" Target="media/image4.png"/><Relationship Id="rId172" Type="http://schemas.openxmlformats.org/officeDocument/2006/relationships/hyperlink" Target="https://jolt.merlot.org/vol7no2/young_0611.pdf" TargetMode="External"/><Relationship Id="rId13" Type="http://schemas.openxmlformats.org/officeDocument/2006/relationships/image" Target="media/image2.png"/><Relationship Id="rId18" Type="http://schemas.openxmlformats.org/officeDocument/2006/relationships/hyperlink" Target="https://doi.org/10.1037/0022-0663.80.3.260" TargetMode="External"/><Relationship Id="rId39" Type="http://schemas.openxmlformats.org/officeDocument/2006/relationships/hyperlink" Target="https://doi.org/10.1016/j.compedu.2009.11.008" TargetMode="External"/><Relationship Id="rId109" Type="http://schemas.openxmlformats.org/officeDocument/2006/relationships/hyperlink" Target="https://doi.org/10.1016/j.compedu.2020.104009" TargetMode="External"/><Relationship Id="rId34" Type="http://schemas.openxmlformats.org/officeDocument/2006/relationships/hyperlink" Target="https://doi.org/10.24059/olj.v22i4.1384" TargetMode="External"/><Relationship Id="rId50" Type="http://schemas.openxmlformats.org/officeDocument/2006/relationships/hyperlink" Target="https://doi.org/10.1111/bjet.12810" TargetMode="External"/><Relationship Id="rId55" Type="http://schemas.openxmlformats.org/officeDocument/2006/relationships/hyperlink" Target="https://doi.org/10.1080/03634523.2016.1209222" TargetMode="External"/><Relationship Id="rId76" Type="http://schemas.openxmlformats.org/officeDocument/2006/relationships/hyperlink" Target="https://doi.org/10.1002/tl.20287" TargetMode="External"/><Relationship Id="rId97" Type="http://schemas.openxmlformats.org/officeDocument/2006/relationships/hyperlink" Target="https://doi.org/10.3390/su11040985" TargetMode="External"/><Relationship Id="rId104" Type="http://schemas.openxmlformats.org/officeDocument/2006/relationships/hyperlink" Target="https://doi.org/10.1016/j.iheduc.2017.06.002" TargetMode="External"/><Relationship Id="rId120" Type="http://schemas.openxmlformats.org/officeDocument/2006/relationships/hyperlink" Target="https://doi.org/10.1016/j.iheduc.2015.11.001" TargetMode="External"/><Relationship Id="rId125" Type="http://schemas.openxmlformats.org/officeDocument/2006/relationships/hyperlink" Target="https://www.researchgate.net/profile/Javier-Sanchez-Rosas/post/How-can-i-apply-and-access-the-Academic-Emotions-Questionnaire-by-Pekrun-et-al-2005/attachment/59d6351c79197b8077992b77/AS%3A383031052390406%401468333127197/download/2005+AEQ+Manual.pdf" TargetMode="External"/><Relationship Id="rId141" Type="http://schemas.openxmlformats.org/officeDocument/2006/relationships/hyperlink" Target="https://doi.org/10.1177/014616702237645" TargetMode="External"/><Relationship Id="rId146" Type="http://schemas.openxmlformats.org/officeDocument/2006/relationships/hyperlink" Target="https://doi.org/10.1080/03634523.2010.486440" TargetMode="External"/><Relationship Id="rId167" Type="http://schemas.openxmlformats.org/officeDocument/2006/relationships/hyperlink" Target="https://doi.org/10.2190/7BAK-EGAH-3MH1-K7C6" TargetMode="External"/><Relationship Id="rId7" Type="http://schemas.openxmlformats.org/officeDocument/2006/relationships/endnotes" Target="endnotes.xml"/><Relationship Id="rId71" Type="http://schemas.openxmlformats.org/officeDocument/2006/relationships/hyperlink" Target="https://www.timeshighereducation.com/news/student-engagement-the-latestbuzzword/2012947.article" TargetMode="External"/><Relationship Id="rId92" Type="http://schemas.openxmlformats.org/officeDocument/2006/relationships/hyperlink" Target="https://doi.org/10.24059/olj.v23i2.1455" TargetMode="External"/><Relationship Id="rId162" Type="http://schemas.openxmlformats.org/officeDocument/2006/relationships/hyperlink" Target="https://doi.org/10.1007/s11528-017-0216-y" TargetMode="External"/><Relationship Id="rId2" Type="http://schemas.openxmlformats.org/officeDocument/2006/relationships/numbering" Target="numbering.xml"/><Relationship Id="rId29" Type="http://schemas.openxmlformats.org/officeDocument/2006/relationships/hyperlink" Target="https://doi.org/10.1186/s41239-019-0176-8" TargetMode="External"/><Relationship Id="rId24" Type="http://schemas.openxmlformats.org/officeDocument/2006/relationships/hyperlink" Target="https://doi.org/10.1037/0033-2909.117.3.497" TargetMode="External"/><Relationship Id="rId40" Type="http://schemas.openxmlformats.org/officeDocument/2006/relationships/hyperlink" Target="https://doi.org/10.1016/j.compedu.2010.07.024" TargetMode="External"/><Relationship Id="rId45" Type="http://schemas.openxmlformats.org/officeDocument/2006/relationships/hyperlink" Target="https://doi.org/10.1080/00461528309529266" TargetMode="External"/><Relationship Id="rId66" Type="http://schemas.openxmlformats.org/officeDocument/2006/relationships/hyperlink" Target="http://dx.doi.org/10.1016/B978-0-08-097086-8.26085-6" TargetMode="External"/><Relationship Id="rId87" Type="http://schemas.openxmlformats.org/officeDocument/2006/relationships/hyperlink" Target="https://doi.org/10.1016/0361-476X(91)90032-G" TargetMode="External"/><Relationship Id="rId110" Type="http://schemas.openxmlformats.org/officeDocument/2006/relationships/hyperlink" Target="https://doi.org/10.1037/0003-066X.50.9.741" TargetMode="External"/><Relationship Id="rId115" Type="http://schemas.openxmlformats.org/officeDocument/2006/relationships/hyperlink" Target="https://doi.org/10.1016/j.compedu.2019.103608" TargetMode="External"/><Relationship Id="rId131" Type="http://schemas.openxmlformats.org/officeDocument/2006/relationships/hyperlink" Target="https://doi.org/10.24059/olj.v22i1.1175" TargetMode="External"/><Relationship Id="rId136" Type="http://schemas.openxmlformats.org/officeDocument/2006/relationships/hyperlink" Target="https://doi.org/10.1016/j.lindif.2018.01.017" TargetMode="External"/><Relationship Id="rId157" Type="http://schemas.openxmlformats.org/officeDocument/2006/relationships/hyperlink" Target="https://doi.org/10.1111/cdev.12138" TargetMode="External"/><Relationship Id="rId178" Type="http://schemas.openxmlformats.org/officeDocument/2006/relationships/image" Target="media/image5.png"/><Relationship Id="rId61" Type="http://schemas.openxmlformats.org/officeDocument/2006/relationships/hyperlink" Target="https://doi.org/10.2307/1170412" TargetMode="External"/><Relationship Id="rId82" Type="http://schemas.openxmlformats.org/officeDocument/2006/relationships/hyperlink" Target="https://doi.org/10.1007/978-94-007-0753-5_751" TargetMode="External"/><Relationship Id="rId152" Type="http://schemas.openxmlformats.org/officeDocument/2006/relationships/hyperlink" Target="https://doi.org/10.1016/j.iheduc.2011.10.003" TargetMode="External"/><Relationship Id="rId173" Type="http://schemas.openxmlformats.org/officeDocument/2006/relationships/hyperlink" Target="https://doi.org/10.1007/s11251-006-0004-0" TargetMode="External"/><Relationship Id="rId19" Type="http://schemas.openxmlformats.org/officeDocument/2006/relationships/hyperlink" Target="https://doi.org/10.1016/j.jsp.2006.04.002" TargetMode="External"/><Relationship Id="rId14" Type="http://schemas.openxmlformats.org/officeDocument/2006/relationships/hyperlink" Target="https://files.eric.ed.gov/fulltext/ED541571.pdf" TargetMode="External"/><Relationship Id="rId30" Type="http://schemas.openxmlformats.org/officeDocument/2006/relationships/hyperlink" Target="https://doi.org/10.1542/peds.106.5.1017" TargetMode="External"/><Relationship Id="rId35" Type="http://schemas.openxmlformats.org/officeDocument/2006/relationships/hyperlink" Target="https://doi.org/10.1207/s15327752jpa8501_02" TargetMode="External"/><Relationship Id="rId56" Type="http://schemas.openxmlformats.org/officeDocument/2006/relationships/hyperlink" Target="https://doi.org/10.1007/s00038-012-0416-3" TargetMode="External"/><Relationship Id="rId77" Type="http://schemas.openxmlformats.org/officeDocument/2006/relationships/hyperlink" Target="https://doi.org/10.1016/j.compedu.2015.09.005" TargetMode="External"/><Relationship Id="rId100" Type="http://schemas.openxmlformats.org/officeDocument/2006/relationships/hyperlink" Target="https://doi.org/10.1007/s10964-012-9857-5" TargetMode="External"/><Relationship Id="rId105" Type="http://schemas.openxmlformats.org/officeDocument/2006/relationships/hyperlink" Target="https://doi.org/10.2307/1163475" TargetMode="External"/><Relationship Id="rId126" Type="http://schemas.openxmlformats.org/officeDocument/2006/relationships/hyperlink" Target="https://doi.org/10.1207/S15326985EP3702_4" TargetMode="External"/><Relationship Id="rId147" Type="http://schemas.openxmlformats.org/officeDocument/2006/relationships/hyperlink" Target="https://doi.org/10.1080/00461520.2014.1002924" TargetMode="External"/><Relationship Id="rId168" Type="http://schemas.openxmlformats.org/officeDocument/2006/relationships/hyperlink" Target="https://doi.org/10.1016/j.compedu.2018.09.020" TargetMode="External"/><Relationship Id="rId8" Type="http://schemas.openxmlformats.org/officeDocument/2006/relationships/header" Target="header1.xml"/><Relationship Id="rId51" Type="http://schemas.openxmlformats.org/officeDocument/2006/relationships/hyperlink" Target="https://doi.org/10.1016/j.chb.2007.06.003" TargetMode="External"/><Relationship Id="rId72" Type="http://schemas.openxmlformats.org/officeDocument/2006/relationships/hyperlink" Target="https://doi.org/10.1111/j.1467-8624.2012.01862.x" TargetMode="External"/><Relationship Id="rId93" Type="http://schemas.openxmlformats.org/officeDocument/2006/relationships/hyperlink" Target="https://doi.org/10.1002/ir.283" TargetMode="External"/><Relationship Id="rId98" Type="http://schemas.openxmlformats.org/officeDocument/2006/relationships/hyperlink" Target="https://doi.org/10.1080/01488376.2011.580697" TargetMode="External"/><Relationship Id="rId121" Type="http://schemas.openxmlformats.org/officeDocument/2006/relationships/hyperlink" Target="https://doi.org/10.1080/08923647.2018.1412738" TargetMode="External"/><Relationship Id="rId142" Type="http://schemas.openxmlformats.org/officeDocument/2006/relationships/hyperlink" Target="https://doi.org/10.1177/1098214012441499" TargetMode="External"/><Relationship Id="rId163" Type="http://schemas.openxmlformats.org/officeDocument/2006/relationships/hyperlink" Target="https://doi.org/10.1002/tl.443" TargetMode="External"/><Relationship Id="rId3" Type="http://schemas.openxmlformats.org/officeDocument/2006/relationships/styles" Target="styles.xml"/><Relationship Id="rId25" Type="http://schemas.openxmlformats.org/officeDocument/2006/relationships/hyperlink" Target="https://www.westga.edu/~distance/ojdla/summer182/bigatel_williams182.html" TargetMode="External"/><Relationship Id="rId46" Type="http://schemas.openxmlformats.org/officeDocument/2006/relationships/hyperlink" Target="https://doi.org/10.1016/j.lindif.2011.03.002" TargetMode="External"/><Relationship Id="rId67" Type="http://schemas.openxmlformats.org/officeDocument/2006/relationships/hyperlink" Target="https://doi.org/10.3102/00346543074001059" TargetMode="External"/><Relationship Id="rId116" Type="http://schemas.openxmlformats.org/officeDocument/2006/relationships/hyperlink" Target="https://doi.org/10.1080/00220671.2016.1220359" TargetMode="External"/><Relationship Id="rId137" Type="http://schemas.openxmlformats.org/officeDocument/2006/relationships/hyperlink" Target="https://doi.org/10.1177/07419325060270050301" TargetMode="External"/><Relationship Id="rId158" Type="http://schemas.openxmlformats.org/officeDocument/2006/relationships/hyperlink" Target="https://doi.org/10.1016/j.learninstruc.2016.01.008" TargetMode="External"/><Relationship Id="rId20" Type="http://schemas.openxmlformats.org/officeDocument/2006/relationships/hyperlink" Target="https://doi.org/10.1002/pits.20303" TargetMode="External"/><Relationship Id="rId41" Type="http://schemas.openxmlformats.org/officeDocument/2006/relationships/hyperlink" Target="https://doi.org/10.1007/978-94-007-0753-5_573" TargetMode="External"/><Relationship Id="rId62" Type="http://schemas.openxmlformats.org/officeDocument/2006/relationships/hyperlink" Target="http://libraries.ou.edu/access.aspx?url=http://search.ebscohost.com/login.aspx?direct=true&amp;db=eric&amp;AN=ED362322&amp;site=ehost-live" TargetMode="External"/><Relationship Id="rId83" Type="http://schemas.openxmlformats.org/officeDocument/2006/relationships/hyperlink" Target="https://doi.org/10.1016/j.compedu.2015.04.015" TargetMode="External"/><Relationship Id="rId88" Type="http://schemas.openxmlformats.org/officeDocument/2006/relationships/hyperlink" Target="https://doi.org/10.1111/j.1467-8535.2006.00560.x" TargetMode="External"/><Relationship Id="rId111" Type="http://schemas.openxmlformats.org/officeDocument/2006/relationships/hyperlink" Target="https://doi.org/10.1111/j.1745-3992.1995.tb00881.x" TargetMode="External"/><Relationship Id="rId132" Type="http://schemas.openxmlformats.org/officeDocument/2006/relationships/hyperlink" Target="https://doi.org/10.1037/a0032690" TargetMode="External"/><Relationship Id="rId153" Type="http://schemas.openxmlformats.org/officeDocument/2006/relationships/hyperlink" Target="https://doi.org/10.1177/0735633116656849" TargetMode="External"/><Relationship Id="rId174" Type="http://schemas.openxmlformats.org/officeDocument/2006/relationships/hyperlink" Target="https://doi.org/10.1207/s15326985ep2501_2" TargetMode="External"/><Relationship Id="rId179" Type="http://schemas.openxmlformats.org/officeDocument/2006/relationships/image" Target="media/image6.png"/><Relationship Id="rId15" Type="http://schemas.openxmlformats.org/officeDocument/2006/relationships/hyperlink" Target="https://files.eric.ed.gov/fulltext/ED580868.pdf" TargetMode="External"/><Relationship Id="rId36" Type="http://schemas.openxmlformats.org/officeDocument/2006/relationships/hyperlink" Target="https://doi.org/10.1016/j.iheduc.2018.05.002" TargetMode="External"/><Relationship Id="rId57" Type="http://schemas.openxmlformats.org/officeDocument/2006/relationships/hyperlink" Target="https://doi.org/10.1037/0022-3514.54.1.5" TargetMode="External"/><Relationship Id="rId106" Type="http://schemas.openxmlformats.org/officeDocument/2006/relationships/hyperlink" Target="https://doi.org/10.24059/olj.v24i2.2053" TargetMode="External"/><Relationship Id="rId127" Type="http://schemas.openxmlformats.org/officeDocument/2006/relationships/hyperlink" Target="https://doi.org/10.1080/02699931.2016.1204989" TargetMode="External"/><Relationship Id="rId10" Type="http://schemas.openxmlformats.org/officeDocument/2006/relationships/header" Target="header2.xml"/><Relationship Id="rId31" Type="http://schemas.openxmlformats.org/officeDocument/2006/relationships/hyperlink" Target="https://doi.org/10.1016/j.iheduc.2011.11.001" TargetMode="External"/><Relationship Id="rId52" Type="http://schemas.openxmlformats.org/officeDocument/2006/relationships/hyperlink" Target="https://doi.org/10.1016/j.compedu.2017.06.016" TargetMode="External"/><Relationship Id="rId73" Type="http://schemas.openxmlformats.org/officeDocument/2006/relationships/hyperlink" Target="https://doi.org/10.1177/0013164406299126" TargetMode="External"/><Relationship Id="rId78" Type="http://schemas.openxmlformats.org/officeDocument/2006/relationships/hyperlink" Target="https://doi.org/10.1007/s11251-008-9087-0" TargetMode="External"/><Relationship Id="rId94" Type="http://schemas.openxmlformats.org/officeDocument/2006/relationships/hyperlink" Target="https://doi.org/10.1002/tl.20174" TargetMode="External"/><Relationship Id="rId99" Type="http://schemas.openxmlformats.org/officeDocument/2006/relationships/hyperlink" Target="https://doi.org/10.3758/s13428-015-0619-7" TargetMode="External"/><Relationship Id="rId101" Type="http://schemas.openxmlformats.org/officeDocument/2006/relationships/hyperlink" Target="https://doi.org/10.1016/j.compedu.2017.05.014" TargetMode="External"/><Relationship Id="rId122" Type="http://schemas.openxmlformats.org/officeDocument/2006/relationships/hyperlink" Target="https://doi.org/10.1177/0091552120909908" TargetMode="External"/><Relationship Id="rId143" Type="http://schemas.openxmlformats.org/officeDocument/2006/relationships/hyperlink" Target="https://doi.org/10.1016/j.chb.2014.12.037" TargetMode="External"/><Relationship Id="rId148" Type="http://schemas.openxmlformats.org/officeDocument/2006/relationships/hyperlink" Target="https://doi.org/10.1177/0013164408323233" TargetMode="External"/><Relationship Id="rId164" Type="http://schemas.openxmlformats.org/officeDocument/2006/relationships/hyperlink" Target="https://doi.org/10.1006/ceps.1999.1015" TargetMode="External"/><Relationship Id="rId169" Type="http://schemas.openxmlformats.org/officeDocument/2006/relationships/hyperlink" Target="https://doi.org/10.1016/j.compedu.2020.103956" TargetMode="External"/><Relationship Id="rId4" Type="http://schemas.openxmlformats.org/officeDocument/2006/relationships/settings" Target="settings.xml"/><Relationship Id="rId9" Type="http://schemas.openxmlformats.org/officeDocument/2006/relationships/footer" Target="footer1.xml"/><Relationship Id="rId180" Type="http://schemas.openxmlformats.org/officeDocument/2006/relationships/fontTable" Target="fontTable.xml"/><Relationship Id="rId26" Type="http://schemas.openxmlformats.org/officeDocument/2006/relationships/hyperlink" Target="https://doi.org/10.1016/S0022-4405(96)00029-5" TargetMode="External"/><Relationship Id="rId47" Type="http://schemas.openxmlformats.org/officeDocument/2006/relationships/hyperlink" Target="https://doi.org/10.1007/s11528-016-0110-z" TargetMode="External"/><Relationship Id="rId68" Type="http://schemas.openxmlformats.org/officeDocument/2006/relationships/hyperlink" Target="https://doi.org/10.1016/j.learninstruc.2016.02.002" TargetMode="External"/><Relationship Id="rId89" Type="http://schemas.openxmlformats.org/officeDocument/2006/relationships/hyperlink" Target="https://doi.org/10.1207/S15328007SEM1003_1" TargetMode="External"/><Relationship Id="rId112" Type="http://schemas.openxmlformats.org/officeDocument/2006/relationships/hyperlink" Target="https://doi.org/10.1002/aehe.20018" TargetMode="External"/><Relationship Id="rId133" Type="http://schemas.openxmlformats.org/officeDocument/2006/relationships/hyperlink" Target="https://doi.org/10.1016/j.cedpsych.2020.101899" TargetMode="External"/><Relationship Id="rId154" Type="http://schemas.openxmlformats.org/officeDocument/2006/relationships/hyperlink" Target="https://repositorio.ul.pt/handle/10451/18036" TargetMode="External"/><Relationship Id="rId175" Type="http://schemas.openxmlformats.org/officeDocument/2006/relationships/header" Target="header4.xml"/><Relationship Id="rId16" Type="http://schemas.openxmlformats.org/officeDocument/2006/relationships/hyperlink" Target="https://files.eric.ed.gov/fulltext/ED572777.pdf" TargetMode="External"/><Relationship Id="rId37" Type="http://schemas.openxmlformats.org/officeDocument/2006/relationships/hyperlink" Target="https://doi.org/10.1016/j.compedu.2020.104111" TargetMode="External"/><Relationship Id="rId58" Type="http://schemas.openxmlformats.org/officeDocument/2006/relationships/hyperlink" Target="https://doi.org/10.1111/j.2044-8279.1970.tb02113.x" TargetMode="External"/><Relationship Id="rId79" Type="http://schemas.openxmlformats.org/officeDocument/2006/relationships/hyperlink" Target="https://doi.org/10.1177/2158244013510305" TargetMode="External"/><Relationship Id="rId102" Type="http://schemas.openxmlformats.org/officeDocument/2006/relationships/hyperlink" Target="https://doi.org/10.1080/02680513.2015.1007859" TargetMode="External"/><Relationship Id="rId123" Type="http://schemas.openxmlformats.org/officeDocument/2006/relationships/hyperlink" Target="https://doi.org/10.3102/0013189X19898690" TargetMode="External"/><Relationship Id="rId144" Type="http://schemas.openxmlformats.org/officeDocument/2006/relationships/hyperlink" Target="https://doi.org/10.1177/014662167700100310" TargetMode="External"/><Relationship Id="rId90" Type="http://schemas.openxmlformats.org/officeDocument/2006/relationships/hyperlink" Target="https://doi.org/10.1111/j.1746-1561.2004.tb08283.x" TargetMode="External"/><Relationship Id="rId165" Type="http://schemas.openxmlformats.org/officeDocument/2006/relationships/hyperlink" Target="https://doi.org/10.1177/0011000006288127" TargetMode="External"/><Relationship Id="rId27" Type="http://schemas.openxmlformats.org/officeDocument/2006/relationships/hyperlink" Target="https://doi.org/10.1080/01587919.2018.1520041" TargetMode="External"/><Relationship Id="rId48" Type="http://schemas.openxmlformats.org/officeDocument/2006/relationships/hyperlink" Target="https://doi.org/10.1016/j.iheduc.2012.04.002" TargetMode="External"/><Relationship Id="rId69" Type="http://schemas.openxmlformats.org/officeDocument/2006/relationships/hyperlink" Target="https://doi.org/10.1016/j.learninstruc.2016.01.009" TargetMode="External"/><Relationship Id="rId113" Type="http://schemas.openxmlformats.org/officeDocument/2006/relationships/hyperlink" Target="https://doi.org/10.1006/ceps.1996.0028" TargetMode="External"/><Relationship Id="rId134" Type="http://schemas.openxmlformats.org/officeDocument/2006/relationships/hyperlink" Target="https://doi.org/10.1023/B:MOEM.0000032312.95499.6f" TargetMode="External"/><Relationship Id="rId80" Type="http://schemas.openxmlformats.org/officeDocument/2006/relationships/hyperlink" Target="https://doi.org/10.1111/jcal.12551" TargetMode="External"/><Relationship Id="rId155" Type="http://schemas.openxmlformats.org/officeDocument/2006/relationships/hyperlink" Target="https://doi.org/10.24059/olj.v21i2.881" TargetMode="External"/><Relationship Id="rId176" Type="http://schemas.openxmlformats.org/officeDocument/2006/relationships/image" Target="media/image3.png"/><Relationship Id="rId17" Type="http://schemas.openxmlformats.org/officeDocument/2006/relationships/hyperlink" Target="https://doi.org/10.1108/ITSE-07-2018-0046" TargetMode="External"/><Relationship Id="rId38" Type="http://schemas.openxmlformats.org/officeDocument/2006/relationships/hyperlink" Target="https://doi.org/10.1016/j.compedu.2016.02.006" TargetMode="External"/><Relationship Id="rId59" Type="http://schemas.openxmlformats.org/officeDocument/2006/relationships/hyperlink" Target="https://doi.org/10.1080/10705519909540119" TargetMode="External"/><Relationship Id="rId103" Type="http://schemas.openxmlformats.org/officeDocument/2006/relationships/hyperlink" Target="https://doi.org/10.1207/S15327752JPA8001_16" TargetMode="External"/><Relationship Id="rId124" Type="http://schemas.openxmlformats.org/officeDocument/2006/relationships/hyperlink" Target="https://doi.org/10.1016/j.cedpsych.2010.10.002" TargetMode="External"/><Relationship Id="rId70" Type="http://schemas.openxmlformats.org/officeDocument/2006/relationships/hyperlink" Target="https://doi.org/10.1007/BF03340899" TargetMode="External"/><Relationship Id="rId91" Type="http://schemas.openxmlformats.org/officeDocument/2006/relationships/hyperlink" Target="https://doi.org/10.1016/j.iheduc.2013.10.007" TargetMode="External"/><Relationship Id="rId145" Type="http://schemas.openxmlformats.org/officeDocument/2006/relationships/hyperlink" Target="https://doi.org/10.1006/ceps.1994.1033" TargetMode="External"/><Relationship Id="rId166" Type="http://schemas.openxmlformats.org/officeDocument/2006/relationships/hyperlink" Target="https://doi.org/10.1080/01488376.2017.1329775" TargetMode="External"/><Relationship Id="rId1" Type="http://schemas.openxmlformats.org/officeDocument/2006/relationships/customXml" Target="../customXml/item1.xml"/><Relationship Id="rId28" Type="http://schemas.openxmlformats.org/officeDocument/2006/relationships/hyperlink" Target="https://doi.org/10.1108/JARHE-02-2020-0045" TargetMode="External"/><Relationship Id="rId49" Type="http://schemas.openxmlformats.org/officeDocument/2006/relationships/hyperlink" Target="https://doi.org/10.3200/JEXE.76.3.281-314" TargetMode="External"/><Relationship Id="rId114" Type="http://schemas.openxmlformats.org/officeDocument/2006/relationships/hyperlink" Target="https://psycnet.apa.org/doi/10.1037/0033-2909.105.3.4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060C1-5F11-42C9-A272-98E4735F0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185</Pages>
  <Words>50041</Words>
  <Characters>285240</Characters>
  <Application>Microsoft Office Word</Application>
  <DocSecurity>0</DocSecurity>
  <Lines>2377</Lines>
  <Paragraphs>669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murat.turk@ou.edu</dc:creator>
  <cp:keywords/>
  <dc:description/>
  <cp:lastModifiedBy>Murat Turk</cp:lastModifiedBy>
  <cp:revision>10</cp:revision>
  <dcterms:created xsi:type="dcterms:W3CDTF">2022-05-03T20:49:00Z</dcterms:created>
  <dcterms:modified xsi:type="dcterms:W3CDTF">2022-05-06T19:42:00Z</dcterms:modified>
</cp:coreProperties>
</file>