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2.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drawings/drawing3.xml" ContentType="application/vnd.openxmlformats-officedocument.drawingml.chartshapes+xml"/>
  <Override PartName="/word/charts/chart12.xml" ContentType="application/vnd.openxmlformats-officedocument.drawingml.chart+xml"/>
  <Override PartName="/word/drawings/drawing4.xml" ContentType="application/vnd.openxmlformats-officedocument.drawingml.chartshapes+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EE80" w14:textId="77777777" w:rsidR="00A50007" w:rsidRPr="0008176F" w:rsidRDefault="0008176F" w:rsidP="004A2B6A">
      <w:pPr>
        <w:pStyle w:val="NoSpacing"/>
        <w:ind w:firstLine="0"/>
        <w:jc w:val="center"/>
        <w:rPr>
          <w:caps/>
        </w:rPr>
      </w:pPr>
      <w:r w:rsidRPr="0008176F">
        <w:rPr>
          <w:caps/>
        </w:rPr>
        <w:t>University of Oklahoma</w:t>
      </w:r>
    </w:p>
    <w:p w14:paraId="5CD87B44" w14:textId="77777777" w:rsidR="0008176F" w:rsidRPr="0008176F" w:rsidRDefault="0008176F" w:rsidP="0008176F">
      <w:pPr>
        <w:pStyle w:val="NoSpacing"/>
        <w:jc w:val="center"/>
        <w:rPr>
          <w:caps/>
        </w:rPr>
      </w:pPr>
    </w:p>
    <w:p w14:paraId="77FDC694" w14:textId="77777777" w:rsidR="0008176F" w:rsidRPr="0008176F" w:rsidRDefault="0008176F" w:rsidP="004A2B6A">
      <w:pPr>
        <w:pStyle w:val="NoSpacing"/>
        <w:ind w:firstLine="0"/>
        <w:jc w:val="center"/>
        <w:rPr>
          <w:caps/>
        </w:rPr>
      </w:pPr>
      <w:r w:rsidRPr="0008176F">
        <w:rPr>
          <w:caps/>
        </w:rPr>
        <w:t>Graduate College</w:t>
      </w:r>
    </w:p>
    <w:p w14:paraId="5DB804AA" w14:textId="77777777" w:rsidR="0008176F" w:rsidRPr="0008176F" w:rsidRDefault="0008176F" w:rsidP="0008176F">
      <w:pPr>
        <w:pStyle w:val="NoSpacing"/>
        <w:jc w:val="center"/>
        <w:rPr>
          <w:caps/>
        </w:rPr>
      </w:pPr>
    </w:p>
    <w:p w14:paraId="7797D2FC" w14:textId="77777777" w:rsidR="0008176F" w:rsidRPr="0008176F" w:rsidRDefault="0008176F" w:rsidP="0008176F">
      <w:pPr>
        <w:pStyle w:val="NoSpacing"/>
        <w:jc w:val="center"/>
        <w:rPr>
          <w:caps/>
        </w:rPr>
      </w:pPr>
    </w:p>
    <w:p w14:paraId="1685F699" w14:textId="77777777" w:rsidR="0008176F" w:rsidRPr="0008176F" w:rsidRDefault="0008176F" w:rsidP="0008176F">
      <w:pPr>
        <w:pStyle w:val="NoSpacing"/>
        <w:jc w:val="center"/>
        <w:rPr>
          <w:caps/>
        </w:rPr>
      </w:pPr>
    </w:p>
    <w:p w14:paraId="2C521889" w14:textId="77777777" w:rsidR="0008176F" w:rsidRPr="0008176F" w:rsidRDefault="0008176F" w:rsidP="0008176F">
      <w:pPr>
        <w:pStyle w:val="NoSpacing"/>
        <w:jc w:val="center"/>
        <w:rPr>
          <w:caps/>
        </w:rPr>
      </w:pPr>
    </w:p>
    <w:p w14:paraId="64840826" w14:textId="77777777" w:rsidR="0008176F" w:rsidRPr="0008176F" w:rsidRDefault="0008176F" w:rsidP="0008176F">
      <w:pPr>
        <w:pStyle w:val="NoSpacing"/>
        <w:jc w:val="center"/>
        <w:rPr>
          <w:caps/>
        </w:rPr>
      </w:pPr>
    </w:p>
    <w:p w14:paraId="3839857A" w14:textId="77777777" w:rsidR="0008176F" w:rsidRPr="0008176F" w:rsidRDefault="0008176F" w:rsidP="0008176F">
      <w:pPr>
        <w:pStyle w:val="NoSpacing"/>
        <w:jc w:val="center"/>
        <w:rPr>
          <w:caps/>
        </w:rPr>
      </w:pPr>
    </w:p>
    <w:p w14:paraId="11C273D6"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6BE29C66" w14:textId="4A74BB80" w:rsidR="0008176F" w:rsidRPr="0008176F" w:rsidRDefault="00105213" w:rsidP="004A2B6A">
          <w:pPr>
            <w:pStyle w:val="NoSpacing"/>
            <w:spacing w:line="480" w:lineRule="auto"/>
            <w:ind w:firstLine="0"/>
            <w:jc w:val="center"/>
            <w:rPr>
              <w:caps/>
            </w:rPr>
          </w:pPr>
          <w:r>
            <w:rPr>
              <w:caps/>
            </w:rPr>
            <w:t>Quantifying particle transportation for unconventional reservoir characterization</w:t>
          </w:r>
        </w:p>
      </w:sdtContent>
    </w:sdt>
    <w:p w14:paraId="6F96F614" w14:textId="77777777" w:rsidR="0008176F" w:rsidRPr="0008176F" w:rsidRDefault="0008176F" w:rsidP="0008176F">
      <w:pPr>
        <w:pStyle w:val="NoSpacing"/>
        <w:jc w:val="center"/>
        <w:rPr>
          <w:caps/>
        </w:rPr>
      </w:pPr>
    </w:p>
    <w:p w14:paraId="0D6B5561" w14:textId="77777777" w:rsidR="0008176F" w:rsidRPr="0008176F" w:rsidRDefault="0008176F" w:rsidP="0008176F">
      <w:pPr>
        <w:pStyle w:val="NoSpacing"/>
        <w:jc w:val="center"/>
        <w:rPr>
          <w:caps/>
        </w:rPr>
      </w:pPr>
    </w:p>
    <w:p w14:paraId="69B7244E" w14:textId="77777777" w:rsidR="0008176F" w:rsidRPr="0008176F" w:rsidRDefault="0008176F" w:rsidP="0008176F">
      <w:pPr>
        <w:pStyle w:val="NoSpacing"/>
        <w:jc w:val="center"/>
        <w:rPr>
          <w:caps/>
        </w:rPr>
      </w:pPr>
    </w:p>
    <w:p w14:paraId="31F8BBC6" w14:textId="77777777" w:rsidR="0008176F" w:rsidRPr="0008176F" w:rsidRDefault="0008176F" w:rsidP="0008176F">
      <w:pPr>
        <w:pStyle w:val="NoSpacing"/>
        <w:jc w:val="center"/>
        <w:rPr>
          <w:caps/>
        </w:rPr>
      </w:pPr>
    </w:p>
    <w:p w14:paraId="2E4862F0" w14:textId="77777777" w:rsidR="0008176F" w:rsidRPr="0008176F" w:rsidRDefault="0008176F" w:rsidP="0008176F">
      <w:pPr>
        <w:pStyle w:val="NoSpacing"/>
        <w:jc w:val="center"/>
        <w:rPr>
          <w:caps/>
        </w:rPr>
      </w:pPr>
    </w:p>
    <w:p w14:paraId="2A085A05" w14:textId="77777777" w:rsidR="0008176F" w:rsidRPr="0008176F" w:rsidRDefault="0008176F" w:rsidP="0008176F">
      <w:pPr>
        <w:pStyle w:val="NoSpacing"/>
        <w:jc w:val="center"/>
        <w:rPr>
          <w:caps/>
        </w:rPr>
      </w:pPr>
    </w:p>
    <w:p w14:paraId="1D723A93" w14:textId="77777777" w:rsidR="0008176F" w:rsidRPr="0008176F" w:rsidRDefault="0008176F" w:rsidP="004A2B6A">
      <w:pPr>
        <w:pStyle w:val="NoSpacing"/>
        <w:ind w:firstLine="0"/>
        <w:jc w:val="center"/>
        <w:rPr>
          <w:caps/>
        </w:rPr>
      </w:pPr>
      <w:r w:rsidRPr="0008176F">
        <w:rPr>
          <w:caps/>
        </w:rPr>
        <w:t xml:space="preserve">A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2052CC">
            <w:rPr>
              <w:caps/>
            </w:rPr>
            <w:t>Dissertation</w:t>
          </w:r>
        </w:sdtContent>
      </w:sdt>
    </w:p>
    <w:p w14:paraId="423DDB31" w14:textId="77777777" w:rsidR="0008176F" w:rsidRPr="0008176F" w:rsidRDefault="0008176F" w:rsidP="0008176F">
      <w:pPr>
        <w:pStyle w:val="NoSpacing"/>
        <w:jc w:val="center"/>
        <w:rPr>
          <w:caps/>
        </w:rPr>
      </w:pPr>
    </w:p>
    <w:p w14:paraId="5A0EACB5" w14:textId="77777777" w:rsidR="0008176F" w:rsidRPr="0008176F" w:rsidRDefault="0008176F" w:rsidP="004A2B6A">
      <w:pPr>
        <w:pStyle w:val="NoSpacing"/>
        <w:ind w:firstLine="0"/>
        <w:jc w:val="center"/>
        <w:rPr>
          <w:caps/>
        </w:rPr>
      </w:pPr>
      <w:r w:rsidRPr="0008176F">
        <w:rPr>
          <w:caps/>
        </w:rPr>
        <w:t>submitted to the Graduate Faculty</w:t>
      </w:r>
    </w:p>
    <w:p w14:paraId="000487A8" w14:textId="77777777" w:rsidR="0008176F" w:rsidRDefault="0008176F" w:rsidP="0008176F">
      <w:pPr>
        <w:pStyle w:val="NoSpacing"/>
        <w:jc w:val="center"/>
      </w:pPr>
    </w:p>
    <w:p w14:paraId="48D4DAB9" w14:textId="77777777" w:rsidR="0008176F" w:rsidRDefault="0008176F" w:rsidP="004A2B6A">
      <w:pPr>
        <w:pStyle w:val="NoSpacing"/>
        <w:ind w:firstLine="0"/>
        <w:jc w:val="center"/>
      </w:pPr>
      <w:r>
        <w:t>in partial fulfillment of the requirements for the</w:t>
      </w:r>
    </w:p>
    <w:p w14:paraId="28D7C8DF" w14:textId="77777777" w:rsidR="0008176F" w:rsidRDefault="0008176F" w:rsidP="0008176F">
      <w:pPr>
        <w:pStyle w:val="NoSpacing"/>
        <w:jc w:val="center"/>
      </w:pPr>
    </w:p>
    <w:p w14:paraId="7941D64B" w14:textId="77777777" w:rsidR="0008176F" w:rsidRDefault="0008176F" w:rsidP="004A2B6A">
      <w:pPr>
        <w:pStyle w:val="NoSpacing"/>
        <w:ind w:firstLine="0"/>
        <w:jc w:val="center"/>
      </w:pPr>
      <w:r>
        <w:t>Degree of</w:t>
      </w:r>
    </w:p>
    <w:p w14:paraId="6DC6FFCB" w14:textId="77777777" w:rsidR="0008176F" w:rsidRDefault="0008176F" w:rsidP="0008176F">
      <w:pPr>
        <w:pStyle w:val="NoSpacing"/>
        <w:jc w:val="center"/>
      </w:pPr>
    </w:p>
    <w:p w14:paraId="064FF507" w14:textId="77777777" w:rsidR="00746E16" w:rsidRDefault="002052CC" w:rsidP="004A2B6A">
      <w:pPr>
        <w:pStyle w:val="NoSpacing"/>
        <w:spacing w:line="480" w:lineRule="auto"/>
        <w:ind w:firstLine="0"/>
        <w:jc w:val="center"/>
        <w:rPr>
          <w:caps/>
        </w:rPr>
      </w:pPr>
      <w:r>
        <w:rPr>
          <w:caps/>
        </w:rPr>
        <w:t>Doctor of Philosophy</w:t>
      </w:r>
    </w:p>
    <w:p w14:paraId="4477BEC5" w14:textId="77777777" w:rsidR="00730F0A" w:rsidRDefault="00730F0A" w:rsidP="0008176F">
      <w:pPr>
        <w:pStyle w:val="NoSpacing"/>
        <w:jc w:val="center"/>
      </w:pPr>
    </w:p>
    <w:p w14:paraId="40DE725E" w14:textId="77777777" w:rsidR="00730F0A" w:rsidRDefault="00730F0A" w:rsidP="0008176F">
      <w:pPr>
        <w:pStyle w:val="NoSpacing"/>
        <w:jc w:val="center"/>
      </w:pPr>
    </w:p>
    <w:p w14:paraId="30D66215" w14:textId="77777777" w:rsidR="00730F0A" w:rsidRDefault="00730F0A" w:rsidP="0008176F">
      <w:pPr>
        <w:pStyle w:val="NoSpacing"/>
        <w:jc w:val="center"/>
      </w:pPr>
    </w:p>
    <w:p w14:paraId="2B7D829E" w14:textId="77777777" w:rsidR="00730F0A" w:rsidRDefault="00730F0A" w:rsidP="0008176F">
      <w:pPr>
        <w:pStyle w:val="NoSpacing"/>
        <w:jc w:val="center"/>
      </w:pPr>
    </w:p>
    <w:p w14:paraId="0908A9B7" w14:textId="77777777" w:rsidR="00730F0A" w:rsidRDefault="00730F0A" w:rsidP="0008176F">
      <w:pPr>
        <w:pStyle w:val="NoSpacing"/>
        <w:jc w:val="center"/>
      </w:pPr>
    </w:p>
    <w:p w14:paraId="2C637B71" w14:textId="77777777" w:rsidR="00730F0A" w:rsidRDefault="00730F0A" w:rsidP="0008176F">
      <w:pPr>
        <w:pStyle w:val="NoSpacing"/>
        <w:jc w:val="center"/>
      </w:pPr>
    </w:p>
    <w:p w14:paraId="7F836D19" w14:textId="77777777" w:rsidR="00730F0A" w:rsidRDefault="00730F0A" w:rsidP="0008176F">
      <w:pPr>
        <w:pStyle w:val="NoSpacing"/>
        <w:jc w:val="center"/>
      </w:pPr>
    </w:p>
    <w:p w14:paraId="6FFD4A1F" w14:textId="77777777" w:rsidR="00730F0A" w:rsidRDefault="00730F0A" w:rsidP="0008176F">
      <w:pPr>
        <w:pStyle w:val="NoSpacing"/>
        <w:jc w:val="center"/>
      </w:pPr>
    </w:p>
    <w:p w14:paraId="631172C8" w14:textId="77777777" w:rsidR="00730F0A" w:rsidRDefault="00730F0A" w:rsidP="0008176F">
      <w:pPr>
        <w:pStyle w:val="NoSpacing"/>
        <w:jc w:val="center"/>
      </w:pPr>
    </w:p>
    <w:p w14:paraId="2F6D55AC" w14:textId="77777777" w:rsidR="00730F0A" w:rsidRDefault="00730F0A" w:rsidP="004A2B6A">
      <w:pPr>
        <w:pStyle w:val="NoSpacing"/>
        <w:ind w:firstLine="0"/>
        <w:jc w:val="center"/>
      </w:pPr>
      <w:r>
        <w:t>By</w:t>
      </w:r>
    </w:p>
    <w:p w14:paraId="107C7A5C"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126ECADB" w14:textId="77777777" w:rsidR="00746E16" w:rsidRDefault="002052CC" w:rsidP="004A2B6A">
          <w:pPr>
            <w:pStyle w:val="NoSpacing"/>
            <w:ind w:firstLine="0"/>
            <w:jc w:val="center"/>
            <w:rPr>
              <w:caps/>
            </w:rPr>
          </w:pPr>
          <w:r>
            <w:rPr>
              <w:caps/>
            </w:rPr>
            <w:t>Wei Tian</w:t>
          </w:r>
        </w:p>
      </w:sdtContent>
    </w:sdt>
    <w:p w14:paraId="3F68E636" w14:textId="77777777" w:rsidR="00730F0A" w:rsidRDefault="00746E16" w:rsidP="004A2B6A">
      <w:pPr>
        <w:pStyle w:val="NoSpacing"/>
        <w:ind w:firstLine="0"/>
        <w:jc w:val="center"/>
      </w:pPr>
      <w:r>
        <w:t xml:space="preserve"> </w:t>
      </w:r>
      <w:r w:rsidR="00730F0A">
        <w:t>Norman, Oklahoma</w:t>
      </w:r>
    </w:p>
    <w:p w14:paraId="3654775D" w14:textId="77777777" w:rsidR="00730F0A" w:rsidRDefault="002052CC" w:rsidP="004A2B6A">
      <w:pPr>
        <w:pStyle w:val="NoSpacing"/>
        <w:ind w:firstLine="0"/>
        <w:jc w:val="center"/>
      </w:pPr>
      <w:r>
        <w:t>2017</w:t>
      </w:r>
    </w:p>
    <w:p w14:paraId="61740B24" w14:textId="77777777" w:rsidR="00730F0A" w:rsidRDefault="00730F0A" w:rsidP="00730F0A">
      <w:pPr>
        <w:pStyle w:val="NoSpacing"/>
        <w:jc w:val="center"/>
      </w:pPr>
      <w:r>
        <w:br w:type="page"/>
      </w:r>
    </w:p>
    <w:p w14:paraId="3BDC548C" w14:textId="77777777" w:rsidR="00730F0A" w:rsidRDefault="00730F0A" w:rsidP="00730F0A">
      <w:pPr>
        <w:pStyle w:val="NoSpacing"/>
        <w:jc w:val="center"/>
      </w:pPr>
    </w:p>
    <w:p w14:paraId="0EA44AFD" w14:textId="77777777" w:rsidR="00F93475" w:rsidRDefault="00F93475" w:rsidP="00730F0A">
      <w:pPr>
        <w:pStyle w:val="NoSpacing"/>
        <w:jc w:val="center"/>
      </w:pPr>
    </w:p>
    <w:p w14:paraId="4FDD945D" w14:textId="77777777" w:rsidR="00F93475" w:rsidRDefault="00F93475" w:rsidP="00730F0A">
      <w:pPr>
        <w:pStyle w:val="NoSpacing"/>
        <w:jc w:val="center"/>
      </w:pPr>
    </w:p>
    <w:p w14:paraId="0291A66E" w14:textId="77777777" w:rsidR="00730F0A" w:rsidRDefault="00730F0A" w:rsidP="00730F0A">
      <w:pPr>
        <w:pStyle w:val="NoSpacing"/>
        <w:jc w:val="center"/>
      </w:pPr>
    </w:p>
    <w:p w14:paraId="28AA79FE"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433169907"/>
            <w:placeholder>
              <w:docPart w:val="C3A05F86BF17481089AA9C1A73504D0D"/>
            </w:placeholder>
          </w:sdtPr>
          <w:sdtEndPr/>
          <w:sdtContent>
            <w:sdt>
              <w:sdtPr>
                <w:rPr>
                  <w:caps/>
                </w:rPr>
                <w:alias w:val="Click to enter dissertation title"/>
                <w:tag w:val="Click to enter dissertation title"/>
                <w:id w:val="470482036"/>
                <w:placeholder>
                  <w:docPart w:val="BECC85C61559451EB2BAAA3B58E459CC"/>
                </w:placeholder>
              </w:sdtPr>
              <w:sdtEndPr/>
              <w:sdtContent>
                <w:p w14:paraId="2F16C950" w14:textId="601623CE" w:rsidR="00730F0A" w:rsidRPr="00635364" w:rsidRDefault="00635364" w:rsidP="00496C57">
                  <w:pPr>
                    <w:pStyle w:val="NoSpacing"/>
                    <w:ind w:firstLine="0"/>
                    <w:jc w:val="center"/>
                    <w:rPr>
                      <w:caps/>
                    </w:rPr>
                  </w:pPr>
                  <w:r>
                    <w:rPr>
                      <w:caps/>
                    </w:rPr>
                    <w:t>Quantifying particle transportation for unconventional reservoir characterization</w:t>
                  </w:r>
                </w:p>
              </w:sdtContent>
            </w:sdt>
          </w:sdtContent>
        </w:sdt>
      </w:sdtContent>
    </w:sdt>
    <w:p w14:paraId="1835C9D9" w14:textId="77777777" w:rsidR="00730F0A" w:rsidRPr="00730F0A" w:rsidRDefault="00730F0A" w:rsidP="00730F0A">
      <w:pPr>
        <w:pStyle w:val="NoSpacing"/>
        <w:jc w:val="center"/>
        <w:rPr>
          <w:caps/>
        </w:rPr>
      </w:pPr>
    </w:p>
    <w:p w14:paraId="628D3DC1" w14:textId="77777777" w:rsidR="00730F0A" w:rsidRPr="00730F0A" w:rsidRDefault="00730F0A" w:rsidP="00730F0A">
      <w:pPr>
        <w:pStyle w:val="NoSpacing"/>
        <w:jc w:val="center"/>
        <w:rPr>
          <w:caps/>
        </w:rPr>
      </w:pPr>
    </w:p>
    <w:p w14:paraId="5F871098" w14:textId="77777777" w:rsidR="00730F0A" w:rsidRPr="00730F0A" w:rsidRDefault="00A53410" w:rsidP="004A2B6A">
      <w:pPr>
        <w:pStyle w:val="NoSpacing"/>
        <w:ind w:firstLine="0"/>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r w:rsidR="002052CC">
        <w:rPr>
          <w:caps/>
        </w:rPr>
        <w:t>Dissertation</w:t>
      </w:r>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p w14:paraId="5B947E3E" w14:textId="19DFAB85" w:rsidR="00746E16" w:rsidRDefault="0055098F" w:rsidP="004A2B6A">
      <w:pPr>
        <w:pStyle w:val="NoSpacing"/>
        <w:ind w:firstLine="0"/>
        <w:jc w:val="center"/>
        <w:rPr>
          <w:caps/>
        </w:rPr>
      </w:pPr>
      <w:r w:rsidRPr="0055098F">
        <w:rPr>
          <w:caps/>
        </w:rPr>
        <w:t>MEWBOURNE SCHOOL OF PETROLEUM AND GEOLOGICAL ENGINEERING</w:t>
      </w:r>
    </w:p>
    <w:p w14:paraId="6ABC075C" w14:textId="77777777" w:rsidR="00730F0A" w:rsidRPr="00730F0A" w:rsidRDefault="00730F0A" w:rsidP="00730F0A">
      <w:pPr>
        <w:pStyle w:val="NoSpacing"/>
        <w:jc w:val="center"/>
        <w:rPr>
          <w:caps/>
        </w:rPr>
      </w:pPr>
    </w:p>
    <w:p w14:paraId="4A733168" w14:textId="77777777" w:rsidR="00730F0A" w:rsidRPr="00730F0A" w:rsidRDefault="00730F0A" w:rsidP="00730F0A">
      <w:pPr>
        <w:pStyle w:val="NoSpacing"/>
        <w:jc w:val="center"/>
        <w:rPr>
          <w:caps/>
        </w:rPr>
      </w:pPr>
    </w:p>
    <w:p w14:paraId="403B4C95" w14:textId="77777777" w:rsidR="00730F0A" w:rsidRPr="00730F0A" w:rsidRDefault="00730F0A" w:rsidP="00730F0A">
      <w:pPr>
        <w:pStyle w:val="NoSpacing"/>
        <w:jc w:val="center"/>
        <w:rPr>
          <w:caps/>
        </w:rPr>
      </w:pPr>
    </w:p>
    <w:p w14:paraId="3DF5B5E3" w14:textId="77777777" w:rsidR="00730F0A" w:rsidRDefault="00730F0A" w:rsidP="00730F0A">
      <w:pPr>
        <w:pStyle w:val="NoSpacing"/>
        <w:jc w:val="center"/>
        <w:rPr>
          <w:caps/>
        </w:rPr>
      </w:pPr>
    </w:p>
    <w:p w14:paraId="164FA36E" w14:textId="77777777" w:rsidR="00730F0A" w:rsidRPr="00730F0A" w:rsidRDefault="00730F0A" w:rsidP="00730F0A">
      <w:pPr>
        <w:pStyle w:val="NoSpacing"/>
        <w:jc w:val="center"/>
        <w:rPr>
          <w:caps/>
        </w:rPr>
      </w:pPr>
    </w:p>
    <w:p w14:paraId="083D5DE6" w14:textId="77777777" w:rsidR="00730F0A" w:rsidRPr="00730F0A" w:rsidRDefault="00730F0A" w:rsidP="00730F0A">
      <w:pPr>
        <w:pStyle w:val="NoSpacing"/>
        <w:jc w:val="center"/>
        <w:rPr>
          <w:caps/>
        </w:rPr>
      </w:pPr>
    </w:p>
    <w:p w14:paraId="3547F71A" w14:textId="2AB84A82" w:rsidR="00730F0A" w:rsidRDefault="00730F0A" w:rsidP="00730F0A">
      <w:pPr>
        <w:pStyle w:val="NoSpacing"/>
        <w:jc w:val="center"/>
        <w:rPr>
          <w:caps/>
        </w:rPr>
      </w:pPr>
    </w:p>
    <w:p w14:paraId="7B0F17AB" w14:textId="77777777" w:rsidR="00496C57" w:rsidRPr="00730F0A" w:rsidRDefault="00496C57" w:rsidP="00730F0A">
      <w:pPr>
        <w:pStyle w:val="NoSpacing"/>
        <w:jc w:val="center"/>
        <w:rPr>
          <w:caps/>
        </w:rPr>
      </w:pPr>
    </w:p>
    <w:p w14:paraId="24DF8347" w14:textId="77777777" w:rsidR="00730F0A" w:rsidRPr="00730F0A" w:rsidRDefault="00730F0A" w:rsidP="00730F0A">
      <w:pPr>
        <w:pStyle w:val="NoSpacing"/>
        <w:jc w:val="center"/>
        <w:rPr>
          <w:caps/>
        </w:rPr>
      </w:pPr>
    </w:p>
    <w:p w14:paraId="2DBC04AC" w14:textId="77777777" w:rsidR="00730F0A" w:rsidRPr="00730F0A" w:rsidRDefault="00730F0A" w:rsidP="004A2B6A">
      <w:pPr>
        <w:pStyle w:val="NoSpacing"/>
        <w:ind w:firstLine="0"/>
        <w:jc w:val="center"/>
        <w:rPr>
          <w:caps/>
        </w:rPr>
      </w:pPr>
      <w:r w:rsidRPr="00730F0A">
        <w:rPr>
          <w:caps/>
        </w:rPr>
        <w:t>By</w:t>
      </w:r>
    </w:p>
    <w:p w14:paraId="210C1812" w14:textId="77777777" w:rsidR="00730F0A" w:rsidRDefault="00730F0A" w:rsidP="00730F0A">
      <w:pPr>
        <w:pStyle w:val="NoSpacing"/>
        <w:jc w:val="center"/>
      </w:pPr>
    </w:p>
    <w:p w14:paraId="68043F5B" w14:textId="77777777" w:rsidR="00730F0A" w:rsidRDefault="00730F0A" w:rsidP="00730F0A">
      <w:pPr>
        <w:pStyle w:val="NoSpacing"/>
        <w:jc w:val="center"/>
      </w:pPr>
    </w:p>
    <w:p w14:paraId="05FF7794" w14:textId="77777777" w:rsidR="00730F0A" w:rsidRDefault="00730F0A" w:rsidP="00730F0A">
      <w:pPr>
        <w:pStyle w:val="NoSpacing"/>
        <w:jc w:val="center"/>
      </w:pPr>
    </w:p>
    <w:p w14:paraId="349B235C" w14:textId="77777777" w:rsidR="00730F0A" w:rsidRPr="006B4721" w:rsidRDefault="006B4721" w:rsidP="00730F0A">
      <w:pPr>
        <w:pStyle w:val="NoSpacing"/>
        <w:jc w:val="right"/>
      </w:pPr>
      <w:r>
        <w:t>______________________________</w:t>
      </w:r>
    </w:p>
    <w:p w14:paraId="3EA85BE9" w14:textId="77777777" w:rsidR="00730F0A" w:rsidRDefault="00A53410"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FE08D8">
            <w:t>Xingru Wu</w:t>
          </w:r>
        </w:sdtContent>
      </w:sdt>
      <w:r w:rsidR="00730F0A">
        <w:t>, Chair</w:t>
      </w:r>
    </w:p>
    <w:p w14:paraId="5BDACB2A" w14:textId="77777777" w:rsidR="00730F0A" w:rsidRDefault="00730F0A" w:rsidP="00730F0A">
      <w:pPr>
        <w:pStyle w:val="NoSpacing"/>
        <w:jc w:val="right"/>
      </w:pPr>
    </w:p>
    <w:p w14:paraId="73B0FC12" w14:textId="77777777" w:rsidR="00730F0A" w:rsidRDefault="00730F0A" w:rsidP="00730F0A">
      <w:pPr>
        <w:pStyle w:val="NoSpacing"/>
        <w:jc w:val="right"/>
      </w:pPr>
    </w:p>
    <w:p w14:paraId="67C33B5E" w14:textId="77777777" w:rsidR="00730F0A" w:rsidRPr="006B4721" w:rsidRDefault="006B4721" w:rsidP="00730F0A">
      <w:pPr>
        <w:pStyle w:val="NoSpacing"/>
        <w:jc w:val="right"/>
      </w:pPr>
      <w:r>
        <w:t>______________________________</w:t>
      </w:r>
    </w:p>
    <w:p w14:paraId="47C976AA" w14:textId="77777777" w:rsidR="00730F0A" w:rsidRDefault="00A5341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FE08D8">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FE08D8">
            <w:t>Jeffrey H. Harwell</w:t>
          </w:r>
        </w:sdtContent>
      </w:sdt>
    </w:p>
    <w:p w14:paraId="16DA38B8" w14:textId="77777777" w:rsidR="00730F0A" w:rsidRDefault="00730F0A" w:rsidP="00730F0A">
      <w:pPr>
        <w:pStyle w:val="NoSpacing"/>
        <w:jc w:val="right"/>
      </w:pPr>
    </w:p>
    <w:p w14:paraId="4CBE9FF8" w14:textId="77777777" w:rsidR="00730F0A" w:rsidRDefault="00730F0A" w:rsidP="00730F0A">
      <w:pPr>
        <w:pStyle w:val="NoSpacing"/>
        <w:jc w:val="right"/>
      </w:pPr>
    </w:p>
    <w:p w14:paraId="480BBE9E" w14:textId="77777777" w:rsidR="00730F0A" w:rsidRPr="006B4721" w:rsidRDefault="006B4721" w:rsidP="00730F0A">
      <w:pPr>
        <w:pStyle w:val="NoSpacing"/>
        <w:jc w:val="right"/>
      </w:pPr>
      <w:r>
        <w:t>______________________________</w:t>
      </w:r>
    </w:p>
    <w:p w14:paraId="059C7EDB" w14:textId="77777777" w:rsidR="00730F0A" w:rsidRDefault="00A5341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FE08D8">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FE08D8">
            <w:t>Bor-Jier (Ben) Shiau</w:t>
          </w:r>
        </w:sdtContent>
      </w:sdt>
    </w:p>
    <w:p w14:paraId="5FBB47A9" w14:textId="77777777" w:rsidR="00730F0A" w:rsidRDefault="00730F0A" w:rsidP="00730F0A">
      <w:pPr>
        <w:pStyle w:val="NoSpacing"/>
        <w:jc w:val="right"/>
      </w:pPr>
    </w:p>
    <w:p w14:paraId="2EB90FC3" w14:textId="77777777" w:rsidR="00730F0A" w:rsidRDefault="00730F0A" w:rsidP="00730F0A">
      <w:pPr>
        <w:pStyle w:val="NoSpacing"/>
        <w:jc w:val="right"/>
      </w:pPr>
    </w:p>
    <w:p w14:paraId="0C9E7EDD" w14:textId="77777777" w:rsidR="00730F0A" w:rsidRPr="006B4721" w:rsidRDefault="006B4721" w:rsidP="00730F0A">
      <w:pPr>
        <w:pStyle w:val="NoSpacing"/>
        <w:jc w:val="right"/>
      </w:pPr>
      <w:r>
        <w:t>______________________________</w:t>
      </w:r>
    </w:p>
    <w:p w14:paraId="3775A1A7" w14:textId="77777777" w:rsidR="00FF0F0F" w:rsidRDefault="00A53410"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FE08D8">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FE08D8">
            <w:t>Ahmad Jamili</w:t>
          </w:r>
        </w:sdtContent>
      </w:sdt>
    </w:p>
    <w:p w14:paraId="36C75471" w14:textId="77777777" w:rsidR="00FF0F0F" w:rsidRDefault="00FF0F0F" w:rsidP="00FF0F0F">
      <w:pPr>
        <w:pStyle w:val="NoSpacing"/>
        <w:jc w:val="right"/>
      </w:pPr>
    </w:p>
    <w:p w14:paraId="17FF458D" w14:textId="77777777" w:rsidR="00FF0F0F" w:rsidRDefault="00FF0F0F" w:rsidP="00FF0F0F">
      <w:pPr>
        <w:pStyle w:val="NoSpacing"/>
        <w:jc w:val="right"/>
      </w:pPr>
    </w:p>
    <w:p w14:paraId="371BE52D" w14:textId="77777777" w:rsidR="00FF0F0F" w:rsidRPr="006B4721" w:rsidRDefault="006B4721" w:rsidP="00FF0F0F">
      <w:pPr>
        <w:pStyle w:val="NoSpacing"/>
        <w:jc w:val="right"/>
      </w:pPr>
      <w:r>
        <w:t>______________________________</w:t>
      </w:r>
    </w:p>
    <w:p w14:paraId="4433B69B" w14:textId="77777777" w:rsidR="00FF0F0F" w:rsidRDefault="00A53410"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FE08D8">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FE08D8">
            <w:t>Rouzbeh G. Moghanloo</w:t>
          </w:r>
        </w:sdtContent>
      </w:sdt>
    </w:p>
    <w:p w14:paraId="0EF1282F" w14:textId="77777777" w:rsidR="00730F0A" w:rsidRDefault="00730F0A" w:rsidP="00730F0A">
      <w:pPr>
        <w:pStyle w:val="NoSpacing"/>
        <w:jc w:val="right"/>
      </w:pPr>
    </w:p>
    <w:p w14:paraId="549F5EAD" w14:textId="77777777" w:rsidR="00730F0A" w:rsidRDefault="00730F0A" w:rsidP="00730F0A">
      <w:pPr>
        <w:pStyle w:val="NoSpacing"/>
        <w:jc w:val="center"/>
      </w:pPr>
      <w:r>
        <w:br w:type="page"/>
      </w:r>
    </w:p>
    <w:p w14:paraId="00FFF741" w14:textId="77777777" w:rsidR="00730F0A" w:rsidRDefault="00730F0A" w:rsidP="00730F0A">
      <w:pPr>
        <w:pStyle w:val="NoSpacing"/>
        <w:jc w:val="center"/>
      </w:pPr>
    </w:p>
    <w:p w14:paraId="76BD3B5F" w14:textId="77777777" w:rsidR="00730F0A" w:rsidRDefault="00730F0A" w:rsidP="00730F0A">
      <w:pPr>
        <w:pStyle w:val="NoSpacing"/>
        <w:jc w:val="center"/>
      </w:pPr>
    </w:p>
    <w:p w14:paraId="549BA5A5" w14:textId="77777777" w:rsidR="00730F0A" w:rsidRDefault="00730F0A" w:rsidP="00730F0A">
      <w:pPr>
        <w:pStyle w:val="NoSpacing"/>
        <w:jc w:val="center"/>
      </w:pPr>
    </w:p>
    <w:p w14:paraId="722E932A" w14:textId="77777777" w:rsidR="00730F0A" w:rsidRDefault="00730F0A" w:rsidP="00730F0A">
      <w:pPr>
        <w:pStyle w:val="NoSpacing"/>
        <w:jc w:val="center"/>
      </w:pPr>
    </w:p>
    <w:p w14:paraId="7FD0A57E" w14:textId="77777777" w:rsidR="00730F0A" w:rsidRDefault="00730F0A" w:rsidP="00730F0A">
      <w:pPr>
        <w:pStyle w:val="NoSpacing"/>
        <w:jc w:val="center"/>
      </w:pPr>
    </w:p>
    <w:p w14:paraId="0269E111" w14:textId="77777777" w:rsidR="00730F0A" w:rsidRDefault="00730F0A" w:rsidP="00730F0A">
      <w:pPr>
        <w:pStyle w:val="NoSpacing"/>
        <w:jc w:val="center"/>
      </w:pPr>
    </w:p>
    <w:p w14:paraId="32EBFA41" w14:textId="77777777" w:rsidR="00730F0A" w:rsidRDefault="00730F0A" w:rsidP="00730F0A">
      <w:pPr>
        <w:pStyle w:val="NoSpacing"/>
        <w:jc w:val="center"/>
      </w:pPr>
    </w:p>
    <w:p w14:paraId="21EC687C" w14:textId="77777777" w:rsidR="00730F0A" w:rsidRDefault="00730F0A" w:rsidP="00730F0A">
      <w:pPr>
        <w:pStyle w:val="NoSpacing"/>
        <w:jc w:val="center"/>
      </w:pPr>
    </w:p>
    <w:p w14:paraId="05711180" w14:textId="77777777" w:rsidR="00730F0A" w:rsidRDefault="00730F0A" w:rsidP="00730F0A">
      <w:pPr>
        <w:pStyle w:val="NoSpacing"/>
        <w:jc w:val="center"/>
      </w:pPr>
    </w:p>
    <w:p w14:paraId="5DB914AB" w14:textId="77777777" w:rsidR="00730F0A" w:rsidRDefault="00730F0A" w:rsidP="00730F0A">
      <w:pPr>
        <w:pStyle w:val="NoSpacing"/>
        <w:jc w:val="center"/>
      </w:pPr>
    </w:p>
    <w:p w14:paraId="205AD4AA" w14:textId="77777777" w:rsidR="00730F0A" w:rsidRDefault="00730F0A" w:rsidP="00730F0A">
      <w:pPr>
        <w:pStyle w:val="NoSpacing"/>
        <w:jc w:val="center"/>
      </w:pPr>
    </w:p>
    <w:p w14:paraId="579D50DA" w14:textId="77777777" w:rsidR="00730F0A" w:rsidRDefault="00730F0A" w:rsidP="00730F0A">
      <w:pPr>
        <w:pStyle w:val="NoSpacing"/>
        <w:jc w:val="center"/>
      </w:pPr>
    </w:p>
    <w:p w14:paraId="4933A5E5" w14:textId="77777777" w:rsidR="00730F0A" w:rsidRDefault="00730F0A" w:rsidP="00730F0A">
      <w:pPr>
        <w:pStyle w:val="NoSpacing"/>
        <w:jc w:val="center"/>
      </w:pPr>
    </w:p>
    <w:p w14:paraId="5D700ED7" w14:textId="77777777" w:rsidR="00730F0A" w:rsidRDefault="00730F0A" w:rsidP="00730F0A">
      <w:pPr>
        <w:pStyle w:val="NoSpacing"/>
        <w:jc w:val="center"/>
      </w:pPr>
    </w:p>
    <w:p w14:paraId="2EF64757" w14:textId="77777777" w:rsidR="00730F0A" w:rsidRDefault="00730F0A" w:rsidP="00730F0A">
      <w:pPr>
        <w:pStyle w:val="NoSpacing"/>
        <w:jc w:val="center"/>
      </w:pPr>
    </w:p>
    <w:p w14:paraId="391BAA66" w14:textId="77777777" w:rsidR="00730F0A" w:rsidRDefault="00730F0A" w:rsidP="00730F0A">
      <w:pPr>
        <w:pStyle w:val="NoSpacing"/>
        <w:jc w:val="center"/>
      </w:pPr>
    </w:p>
    <w:p w14:paraId="7564E411" w14:textId="77777777" w:rsidR="00730F0A" w:rsidRDefault="00730F0A" w:rsidP="00730F0A">
      <w:pPr>
        <w:pStyle w:val="NoSpacing"/>
        <w:jc w:val="center"/>
      </w:pPr>
    </w:p>
    <w:p w14:paraId="3A8E5849" w14:textId="77777777" w:rsidR="00730F0A" w:rsidRDefault="00730F0A" w:rsidP="00730F0A">
      <w:pPr>
        <w:pStyle w:val="NoSpacing"/>
        <w:jc w:val="center"/>
      </w:pPr>
    </w:p>
    <w:p w14:paraId="01DDC8F5" w14:textId="77777777" w:rsidR="00730F0A" w:rsidRDefault="00730F0A" w:rsidP="00730F0A">
      <w:pPr>
        <w:pStyle w:val="NoSpacing"/>
        <w:jc w:val="center"/>
      </w:pPr>
    </w:p>
    <w:p w14:paraId="347309B7" w14:textId="77777777" w:rsidR="00730F0A" w:rsidRDefault="00730F0A" w:rsidP="00730F0A">
      <w:pPr>
        <w:pStyle w:val="NoSpacing"/>
        <w:jc w:val="center"/>
      </w:pPr>
    </w:p>
    <w:p w14:paraId="3C48797D" w14:textId="77777777" w:rsidR="00730F0A" w:rsidRDefault="00730F0A" w:rsidP="00730F0A">
      <w:pPr>
        <w:pStyle w:val="NoSpacing"/>
        <w:jc w:val="center"/>
      </w:pPr>
    </w:p>
    <w:p w14:paraId="4369903E" w14:textId="77777777" w:rsidR="00730F0A" w:rsidRDefault="00730F0A" w:rsidP="00730F0A">
      <w:pPr>
        <w:pStyle w:val="NoSpacing"/>
        <w:jc w:val="center"/>
      </w:pPr>
    </w:p>
    <w:p w14:paraId="43CF8093" w14:textId="77777777" w:rsidR="00730F0A" w:rsidRDefault="00730F0A" w:rsidP="00730F0A">
      <w:pPr>
        <w:pStyle w:val="NoSpacing"/>
        <w:jc w:val="center"/>
      </w:pPr>
    </w:p>
    <w:p w14:paraId="0A847061" w14:textId="77777777" w:rsidR="00730F0A" w:rsidRDefault="00730F0A" w:rsidP="00730F0A">
      <w:pPr>
        <w:pStyle w:val="NoSpacing"/>
        <w:jc w:val="center"/>
      </w:pPr>
    </w:p>
    <w:p w14:paraId="15D7FF13" w14:textId="77777777" w:rsidR="00730F0A" w:rsidRDefault="00730F0A" w:rsidP="00730F0A">
      <w:pPr>
        <w:pStyle w:val="NoSpacing"/>
        <w:jc w:val="center"/>
      </w:pPr>
    </w:p>
    <w:p w14:paraId="1A613A78" w14:textId="77777777" w:rsidR="00730F0A" w:rsidRDefault="00730F0A" w:rsidP="00730F0A">
      <w:pPr>
        <w:pStyle w:val="NoSpacing"/>
        <w:jc w:val="center"/>
      </w:pPr>
    </w:p>
    <w:p w14:paraId="1F0CDAC6" w14:textId="77777777" w:rsidR="00730F0A" w:rsidRDefault="00730F0A" w:rsidP="00730F0A">
      <w:pPr>
        <w:pStyle w:val="NoSpacing"/>
        <w:jc w:val="center"/>
      </w:pPr>
    </w:p>
    <w:p w14:paraId="4B3194DA" w14:textId="77777777" w:rsidR="00730F0A" w:rsidRDefault="00730F0A" w:rsidP="00730F0A">
      <w:pPr>
        <w:pStyle w:val="NoSpacing"/>
        <w:jc w:val="center"/>
      </w:pPr>
    </w:p>
    <w:p w14:paraId="48284E81" w14:textId="77777777" w:rsidR="00730F0A" w:rsidRDefault="00730F0A" w:rsidP="00730F0A">
      <w:pPr>
        <w:pStyle w:val="NoSpacing"/>
        <w:jc w:val="center"/>
      </w:pPr>
    </w:p>
    <w:p w14:paraId="4D588680" w14:textId="77777777" w:rsidR="00730F0A" w:rsidRDefault="00730F0A" w:rsidP="00730F0A">
      <w:pPr>
        <w:pStyle w:val="NoSpacing"/>
        <w:jc w:val="center"/>
      </w:pPr>
    </w:p>
    <w:p w14:paraId="582CBBF5" w14:textId="77777777" w:rsidR="00730F0A" w:rsidRDefault="00730F0A" w:rsidP="00730F0A">
      <w:pPr>
        <w:pStyle w:val="NoSpacing"/>
        <w:jc w:val="center"/>
      </w:pPr>
    </w:p>
    <w:p w14:paraId="47338F94" w14:textId="77777777" w:rsidR="00730F0A" w:rsidRDefault="00730F0A" w:rsidP="00730F0A">
      <w:pPr>
        <w:pStyle w:val="NoSpacing"/>
        <w:jc w:val="center"/>
      </w:pPr>
    </w:p>
    <w:p w14:paraId="2017F7FC" w14:textId="77777777" w:rsidR="00730F0A" w:rsidRDefault="00730F0A" w:rsidP="00730F0A">
      <w:pPr>
        <w:pStyle w:val="NoSpacing"/>
        <w:jc w:val="center"/>
      </w:pPr>
    </w:p>
    <w:p w14:paraId="52914282" w14:textId="77777777" w:rsidR="00730F0A" w:rsidRDefault="00730F0A" w:rsidP="00730F0A">
      <w:pPr>
        <w:pStyle w:val="NoSpacing"/>
        <w:jc w:val="center"/>
      </w:pPr>
    </w:p>
    <w:p w14:paraId="29B14567" w14:textId="77777777" w:rsidR="00730F0A" w:rsidRDefault="00730F0A" w:rsidP="00730F0A">
      <w:pPr>
        <w:pStyle w:val="NoSpacing"/>
        <w:jc w:val="center"/>
      </w:pPr>
    </w:p>
    <w:p w14:paraId="10C04189" w14:textId="77777777" w:rsidR="00730F0A" w:rsidRDefault="00730F0A" w:rsidP="00730F0A">
      <w:pPr>
        <w:pStyle w:val="NoSpacing"/>
        <w:jc w:val="center"/>
      </w:pPr>
    </w:p>
    <w:p w14:paraId="3A9ED254" w14:textId="77777777" w:rsidR="00730F0A" w:rsidRDefault="00730F0A" w:rsidP="00730F0A">
      <w:pPr>
        <w:pStyle w:val="NoSpacing"/>
        <w:jc w:val="center"/>
      </w:pPr>
    </w:p>
    <w:p w14:paraId="79F7A4C6" w14:textId="77777777" w:rsidR="00730F0A" w:rsidRDefault="00730F0A" w:rsidP="00730F0A">
      <w:pPr>
        <w:pStyle w:val="NoSpacing"/>
        <w:jc w:val="center"/>
      </w:pPr>
    </w:p>
    <w:p w14:paraId="2C792BFA" w14:textId="77777777" w:rsidR="00730F0A" w:rsidRDefault="00730F0A" w:rsidP="00730F0A">
      <w:pPr>
        <w:pStyle w:val="NoSpacing"/>
        <w:jc w:val="center"/>
      </w:pPr>
    </w:p>
    <w:p w14:paraId="3F98ECF6" w14:textId="77777777" w:rsidR="00730F0A" w:rsidRDefault="00730F0A" w:rsidP="00730F0A">
      <w:pPr>
        <w:pStyle w:val="NoSpacing"/>
        <w:jc w:val="center"/>
      </w:pPr>
    </w:p>
    <w:p w14:paraId="68C77CB8" w14:textId="77777777" w:rsidR="00730F0A" w:rsidRDefault="00730F0A" w:rsidP="00730F0A">
      <w:pPr>
        <w:pStyle w:val="NoSpacing"/>
        <w:jc w:val="center"/>
      </w:pPr>
    </w:p>
    <w:p w14:paraId="48089980" w14:textId="77777777" w:rsidR="00730F0A" w:rsidRDefault="00730F0A" w:rsidP="00730F0A">
      <w:pPr>
        <w:pStyle w:val="NoSpacing"/>
        <w:jc w:val="center"/>
      </w:pPr>
    </w:p>
    <w:p w14:paraId="0CF5AA9B" w14:textId="77777777" w:rsidR="00730F0A" w:rsidRDefault="00730F0A" w:rsidP="004A2B6A">
      <w:pPr>
        <w:pStyle w:val="NoSpacing"/>
        <w:ind w:firstLine="0"/>
        <w:jc w:val="center"/>
      </w:pPr>
      <w:r>
        <w:t xml:space="preserve">© Copyright by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FE08D8">
            <w:t>WEI TIAN</w:t>
          </w:r>
        </w:sdtContent>
      </w:sdt>
      <w:r>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FE08D8">
            <w:t>2017</w:t>
          </w:r>
        </w:sdtContent>
      </w:sdt>
    </w:p>
    <w:p w14:paraId="479EAD63" w14:textId="77777777" w:rsidR="00730F0A" w:rsidRDefault="00730F0A" w:rsidP="004A2B6A">
      <w:pPr>
        <w:pStyle w:val="NoSpacing"/>
        <w:ind w:firstLine="0"/>
        <w:jc w:val="center"/>
      </w:pPr>
      <w:r>
        <w:t>All Rights Reserved.</w:t>
      </w:r>
    </w:p>
    <w:p w14:paraId="2D6E87D5" w14:textId="77777777" w:rsidR="00FE08D8" w:rsidRDefault="006F10CE" w:rsidP="008E1C26">
      <w:r>
        <w:br w:type="page"/>
      </w:r>
    </w:p>
    <w:p w14:paraId="045DBA31" w14:textId="77777777" w:rsidR="00FE08D8" w:rsidRDefault="00FE08D8" w:rsidP="004B68A3">
      <w:pPr>
        <w:ind w:firstLine="0"/>
        <w:jc w:val="center"/>
      </w:pPr>
      <w:r>
        <w:lastRenderedPageBreak/>
        <w:t>DEDICATION</w:t>
      </w:r>
    </w:p>
    <w:p w14:paraId="1ABCAC0A" w14:textId="77777777" w:rsidR="004B68A3" w:rsidRDefault="004B68A3" w:rsidP="004B68A3">
      <w:pPr>
        <w:ind w:firstLine="0"/>
        <w:jc w:val="center"/>
      </w:pPr>
      <w:bookmarkStart w:id="0" w:name="_Toc310579464"/>
      <w:r>
        <w:t xml:space="preserve">I dedicate this dissertation to my wonderful parents Lun Tian and Wanqin Zhang, </w:t>
      </w:r>
    </w:p>
    <w:p w14:paraId="5320C4FD" w14:textId="77777777" w:rsidR="004B68A3" w:rsidRDefault="004B68A3" w:rsidP="004B68A3">
      <w:pPr>
        <w:ind w:firstLine="0"/>
        <w:jc w:val="center"/>
      </w:pPr>
      <w:r>
        <w:t>my perfect wife Tong Shen</w:t>
      </w:r>
    </w:p>
    <w:p w14:paraId="2B31F115" w14:textId="77777777" w:rsidR="004B68A3" w:rsidRDefault="004B68A3" w:rsidP="004B68A3">
      <w:pPr>
        <w:ind w:firstLine="0"/>
        <w:jc w:val="center"/>
      </w:pPr>
      <w:r>
        <w:t>my beloved dog Ginger.</w:t>
      </w:r>
    </w:p>
    <w:p w14:paraId="35FA7DEF" w14:textId="77777777" w:rsidR="004B68A3" w:rsidRDefault="004B68A3" w:rsidP="004B68A3">
      <w:pPr>
        <w:ind w:firstLine="0"/>
        <w:jc w:val="center"/>
      </w:pPr>
      <w:r>
        <w:t>For all your companion, love, support and patience.</w:t>
      </w:r>
    </w:p>
    <w:p w14:paraId="65BE025A" w14:textId="77777777" w:rsidR="004B68A3" w:rsidRDefault="004B68A3" w:rsidP="004B68A3"/>
    <w:p w14:paraId="456D304E" w14:textId="77777777" w:rsidR="004B68A3" w:rsidRPr="0072135B" w:rsidRDefault="004B68A3" w:rsidP="004B68A3">
      <w:pPr>
        <w:sectPr w:rsidR="004B68A3" w:rsidRPr="0072135B" w:rsidSect="004B68A3">
          <w:footerReference w:type="first" r:id="rId9"/>
          <w:pgSz w:w="12240" w:h="15840" w:code="1"/>
          <w:pgMar w:top="1440" w:right="1440" w:bottom="1440" w:left="2304" w:header="720" w:footer="720" w:gutter="0"/>
          <w:cols w:space="720"/>
          <w:docGrid w:linePitch="360"/>
        </w:sectPr>
      </w:pPr>
    </w:p>
    <w:p w14:paraId="08E2F29C" w14:textId="77777777" w:rsidR="008E1C26" w:rsidRDefault="00775701" w:rsidP="004D1572">
      <w:pPr>
        <w:pStyle w:val="Heading1Modified"/>
      </w:pPr>
      <w:bookmarkStart w:id="1" w:name="_Toc494014182"/>
      <w:r>
        <w:lastRenderedPageBreak/>
        <w:t>Acknowledgements</w:t>
      </w:r>
      <w:bookmarkEnd w:id="0"/>
      <w:bookmarkEnd w:id="1"/>
    </w:p>
    <w:p w14:paraId="05820F16" w14:textId="74BCA8BB" w:rsidR="0045027D" w:rsidRDefault="005E6A44" w:rsidP="0045027D">
      <w:r>
        <w:t xml:space="preserve">My foremost gratitude goes to my advisor Dr. Xingru Wu for his inspiration, encouragement, patience and instruction in my research and </w:t>
      </w:r>
      <w:r w:rsidR="003F6AA5">
        <w:t>daily life. He</w:t>
      </w:r>
      <w:r>
        <w:t xml:space="preserve"> </w:t>
      </w:r>
      <w:r w:rsidR="00C7360D">
        <w:t xml:space="preserve">directed </w:t>
      </w:r>
      <w:r w:rsidR="003F6AA5">
        <w:t xml:space="preserve">me to grow up in academia </w:t>
      </w:r>
      <w:r w:rsidR="00C7360D">
        <w:t xml:space="preserve">and become a professional researcher. It was my great pleasure to work with Dr. Wu. His guidance benefited me in the past and </w:t>
      </w:r>
      <w:r w:rsidR="00515883">
        <w:t>will</w:t>
      </w:r>
      <w:r w:rsidR="00C7360D">
        <w:t xml:space="preserve"> lead me in the years to come. I would also like to thank Dr. Rouzbeh G. Moghanloo for friendship, experience and knowledge. I do appreciate his advice and creative thinking. </w:t>
      </w:r>
    </w:p>
    <w:p w14:paraId="69896C3F" w14:textId="77777777" w:rsidR="00234A43" w:rsidRDefault="00335E19" w:rsidP="0045027D">
      <w:r>
        <w:t xml:space="preserve">My gratitude also extends to other committee members, Dr. </w:t>
      </w:r>
      <w:r w:rsidR="007E6281">
        <w:t>Jeffrey Harwell</w:t>
      </w:r>
      <w:r>
        <w:t>,</w:t>
      </w:r>
      <w:r w:rsidR="007E6281">
        <w:t xml:space="preserve"> Dr. Benjamin Shaiu and Dr. Ahmad Jamili as well as former committee member Dr. Maysam Pournik. I thank you all for taking time to supervise my research work and provide insightful comments and suggestions. </w:t>
      </w:r>
    </w:p>
    <w:p w14:paraId="580AA200" w14:textId="77777777" w:rsidR="007E6281" w:rsidRDefault="007E6281" w:rsidP="0045027D">
      <w:r>
        <w:t xml:space="preserve">I am indebted to Dr. Carl Sondergeld for offering the opportunity to work with your group in my radon project. </w:t>
      </w:r>
      <w:r w:rsidR="00462619">
        <w:t xml:space="preserve">It cannot succeed without your input. </w:t>
      </w:r>
      <w:r w:rsidR="00234A43">
        <w:t xml:space="preserve">Thanks also goes to Dr. Junrong Liu and Dr. Kegang Ling for collaborating on various research projects. </w:t>
      </w:r>
    </w:p>
    <w:p w14:paraId="2AF5B02B" w14:textId="77777777" w:rsidR="007E6281" w:rsidRDefault="007E6281" w:rsidP="0045027D">
      <w:r>
        <w:t xml:space="preserve">I </w:t>
      </w:r>
      <w:r w:rsidR="00567E4E">
        <w:t>want to express my sincere gratitude to</w:t>
      </w:r>
      <w:r>
        <w:t xml:space="preserve"> my colleagues</w:t>
      </w:r>
      <w:r w:rsidR="00400F43">
        <w:t>.</w:t>
      </w:r>
      <w:r>
        <w:t xml:space="preserve"> Thank you Sumeer Kalra, Zhenyu Zhang, Changlong Chen, </w:t>
      </w:r>
      <w:r w:rsidR="00234A43">
        <w:t xml:space="preserve">Amanda Knaup, and </w:t>
      </w:r>
      <w:r>
        <w:t xml:space="preserve">Ali </w:t>
      </w:r>
      <w:r w:rsidR="00234A43">
        <w:t>Tinni</w:t>
      </w:r>
      <w:r w:rsidR="00400F43">
        <w:t xml:space="preserve"> for their significant contributions to my research. I would also like to thank my friends for making my journey </w:t>
      </w:r>
      <w:r w:rsidR="00A16C2F">
        <w:t xml:space="preserve">at University of Oklahoma </w:t>
      </w:r>
      <w:r w:rsidR="00400F43">
        <w:t xml:space="preserve">enjoyable and memorable. </w:t>
      </w:r>
    </w:p>
    <w:p w14:paraId="2E74371E" w14:textId="77777777" w:rsidR="006E59C3" w:rsidRDefault="00E90516" w:rsidP="006E59C3">
      <w:r>
        <w:t xml:space="preserve">My special thank goes to my wife Tong Shen. </w:t>
      </w:r>
      <w:r w:rsidR="006E59C3">
        <w:t xml:space="preserve">Her accompany, support and love made this dissertation possible. She took good care of my daily life so that I can concentrate on my research work. I also want to thank my parents and family for their endless love and support. </w:t>
      </w:r>
    </w:p>
    <w:p w14:paraId="3B73370A" w14:textId="77777777" w:rsidR="00335E19" w:rsidRDefault="00335E19" w:rsidP="0045027D">
      <w:r>
        <w:t xml:space="preserve"> </w:t>
      </w:r>
    </w:p>
    <w:p w14:paraId="4E135CDD" w14:textId="77777777" w:rsidR="00775701" w:rsidRDefault="00775701" w:rsidP="004D1572">
      <w:pPr>
        <w:pStyle w:val="Heading1Modified"/>
      </w:pPr>
      <w:r>
        <w:br w:type="page"/>
      </w:r>
      <w:bookmarkStart w:id="2" w:name="_Toc493076525"/>
      <w:bookmarkStart w:id="3" w:name="_Toc493076655"/>
      <w:bookmarkStart w:id="4" w:name="_Toc493422753"/>
      <w:bookmarkStart w:id="5" w:name="_Toc494014183"/>
      <w:r>
        <w:lastRenderedPageBreak/>
        <w:t xml:space="preserve">Table of </w:t>
      </w:r>
      <w:r w:rsidRPr="00775701">
        <w:t>Contents</w:t>
      </w:r>
      <w:bookmarkEnd w:id="2"/>
      <w:bookmarkEnd w:id="3"/>
      <w:bookmarkEnd w:id="4"/>
      <w:bookmarkEnd w:id="5"/>
    </w:p>
    <w:p w14:paraId="72548310" w14:textId="6F369F37" w:rsidR="00065C5B" w:rsidRDefault="00BE3C55">
      <w:pPr>
        <w:pStyle w:val="TOC1"/>
        <w:rPr>
          <w:rFonts w:cstheme="minorBidi"/>
          <w:sz w:val="22"/>
          <w:szCs w:val="22"/>
          <w:lang w:eastAsia="zh-CN" w:bidi="ar-SA"/>
        </w:rPr>
      </w:pPr>
      <w:r>
        <w:fldChar w:fldCharType="begin"/>
      </w:r>
      <w:r>
        <w:instrText xml:space="preserve"> TOC \o "1-3" \h \z \u </w:instrText>
      </w:r>
      <w:r>
        <w:fldChar w:fldCharType="separate"/>
      </w:r>
      <w:hyperlink w:anchor="_Toc494014182" w:history="1">
        <w:r w:rsidR="00065C5B" w:rsidRPr="000413A8">
          <w:rPr>
            <w:rStyle w:val="Hyperlink"/>
          </w:rPr>
          <w:t>Acknowledgements</w:t>
        </w:r>
        <w:r w:rsidR="00065C5B">
          <w:rPr>
            <w:webHidden/>
          </w:rPr>
          <w:tab/>
        </w:r>
        <w:r w:rsidR="00065C5B">
          <w:rPr>
            <w:webHidden/>
          </w:rPr>
          <w:fldChar w:fldCharType="begin"/>
        </w:r>
        <w:r w:rsidR="00065C5B">
          <w:rPr>
            <w:webHidden/>
          </w:rPr>
          <w:instrText xml:space="preserve"> PAGEREF _Toc494014182 \h </w:instrText>
        </w:r>
        <w:r w:rsidR="00065C5B">
          <w:rPr>
            <w:webHidden/>
          </w:rPr>
        </w:r>
        <w:r w:rsidR="00065C5B">
          <w:rPr>
            <w:webHidden/>
          </w:rPr>
          <w:fldChar w:fldCharType="separate"/>
        </w:r>
        <w:r w:rsidR="00024183">
          <w:rPr>
            <w:webHidden/>
          </w:rPr>
          <w:t>iv</w:t>
        </w:r>
        <w:r w:rsidR="00065C5B">
          <w:rPr>
            <w:webHidden/>
          </w:rPr>
          <w:fldChar w:fldCharType="end"/>
        </w:r>
      </w:hyperlink>
    </w:p>
    <w:p w14:paraId="2F34E411" w14:textId="77F16479" w:rsidR="00065C5B" w:rsidRDefault="00A53410">
      <w:pPr>
        <w:pStyle w:val="TOC1"/>
        <w:rPr>
          <w:rFonts w:cstheme="minorBidi"/>
          <w:sz w:val="22"/>
          <w:szCs w:val="22"/>
          <w:lang w:eastAsia="zh-CN" w:bidi="ar-SA"/>
        </w:rPr>
      </w:pPr>
      <w:hyperlink w:anchor="_Toc494014183" w:history="1">
        <w:r w:rsidR="00065C5B" w:rsidRPr="000413A8">
          <w:rPr>
            <w:rStyle w:val="Hyperlink"/>
          </w:rPr>
          <w:t>Table of Contents</w:t>
        </w:r>
        <w:r w:rsidR="00065C5B">
          <w:rPr>
            <w:webHidden/>
          </w:rPr>
          <w:tab/>
        </w:r>
        <w:r w:rsidR="00065C5B">
          <w:rPr>
            <w:webHidden/>
          </w:rPr>
          <w:fldChar w:fldCharType="begin"/>
        </w:r>
        <w:r w:rsidR="00065C5B">
          <w:rPr>
            <w:webHidden/>
          </w:rPr>
          <w:instrText xml:space="preserve"> PAGEREF _Toc494014183 \h </w:instrText>
        </w:r>
        <w:r w:rsidR="00065C5B">
          <w:rPr>
            <w:webHidden/>
          </w:rPr>
        </w:r>
        <w:r w:rsidR="00065C5B">
          <w:rPr>
            <w:webHidden/>
          </w:rPr>
          <w:fldChar w:fldCharType="separate"/>
        </w:r>
        <w:r w:rsidR="00024183">
          <w:rPr>
            <w:webHidden/>
          </w:rPr>
          <w:t>v</w:t>
        </w:r>
        <w:r w:rsidR="00065C5B">
          <w:rPr>
            <w:webHidden/>
          </w:rPr>
          <w:fldChar w:fldCharType="end"/>
        </w:r>
      </w:hyperlink>
    </w:p>
    <w:p w14:paraId="1B1E1F58" w14:textId="6BFE3469" w:rsidR="00065C5B" w:rsidRDefault="00A53410">
      <w:pPr>
        <w:pStyle w:val="TOC1"/>
        <w:rPr>
          <w:rFonts w:cstheme="minorBidi"/>
          <w:sz w:val="22"/>
          <w:szCs w:val="22"/>
          <w:lang w:eastAsia="zh-CN" w:bidi="ar-SA"/>
        </w:rPr>
      </w:pPr>
      <w:hyperlink w:anchor="_Toc494014184" w:history="1">
        <w:r w:rsidR="00065C5B" w:rsidRPr="000413A8">
          <w:rPr>
            <w:rStyle w:val="Hyperlink"/>
          </w:rPr>
          <w:t>List of Tables</w:t>
        </w:r>
        <w:r w:rsidR="00065C5B">
          <w:rPr>
            <w:webHidden/>
          </w:rPr>
          <w:tab/>
        </w:r>
        <w:r w:rsidR="00065C5B">
          <w:rPr>
            <w:webHidden/>
          </w:rPr>
          <w:fldChar w:fldCharType="begin"/>
        </w:r>
        <w:r w:rsidR="00065C5B">
          <w:rPr>
            <w:webHidden/>
          </w:rPr>
          <w:instrText xml:space="preserve"> PAGEREF _Toc494014184 \h </w:instrText>
        </w:r>
        <w:r w:rsidR="00065C5B">
          <w:rPr>
            <w:webHidden/>
          </w:rPr>
        </w:r>
        <w:r w:rsidR="00065C5B">
          <w:rPr>
            <w:webHidden/>
          </w:rPr>
          <w:fldChar w:fldCharType="separate"/>
        </w:r>
        <w:r w:rsidR="00024183">
          <w:rPr>
            <w:webHidden/>
          </w:rPr>
          <w:t>ix</w:t>
        </w:r>
        <w:r w:rsidR="00065C5B">
          <w:rPr>
            <w:webHidden/>
          </w:rPr>
          <w:fldChar w:fldCharType="end"/>
        </w:r>
      </w:hyperlink>
    </w:p>
    <w:p w14:paraId="6DA52B2A" w14:textId="30C62539" w:rsidR="00065C5B" w:rsidRDefault="00A53410">
      <w:pPr>
        <w:pStyle w:val="TOC1"/>
        <w:rPr>
          <w:rFonts w:cstheme="minorBidi"/>
          <w:sz w:val="22"/>
          <w:szCs w:val="22"/>
          <w:lang w:eastAsia="zh-CN" w:bidi="ar-SA"/>
        </w:rPr>
      </w:pPr>
      <w:hyperlink w:anchor="_Toc494014185" w:history="1">
        <w:r w:rsidR="00065C5B" w:rsidRPr="000413A8">
          <w:rPr>
            <w:rStyle w:val="Hyperlink"/>
          </w:rPr>
          <w:t>List of Figures</w:t>
        </w:r>
        <w:r w:rsidR="00065C5B">
          <w:rPr>
            <w:webHidden/>
          </w:rPr>
          <w:tab/>
        </w:r>
        <w:r w:rsidR="00065C5B">
          <w:rPr>
            <w:webHidden/>
          </w:rPr>
          <w:fldChar w:fldCharType="begin"/>
        </w:r>
        <w:r w:rsidR="00065C5B">
          <w:rPr>
            <w:webHidden/>
          </w:rPr>
          <w:instrText xml:space="preserve"> PAGEREF _Toc494014185 \h </w:instrText>
        </w:r>
        <w:r w:rsidR="00065C5B">
          <w:rPr>
            <w:webHidden/>
          </w:rPr>
        </w:r>
        <w:r w:rsidR="00065C5B">
          <w:rPr>
            <w:webHidden/>
          </w:rPr>
          <w:fldChar w:fldCharType="separate"/>
        </w:r>
        <w:r w:rsidR="00024183">
          <w:rPr>
            <w:webHidden/>
          </w:rPr>
          <w:t>x</w:t>
        </w:r>
        <w:r w:rsidR="00065C5B">
          <w:rPr>
            <w:webHidden/>
          </w:rPr>
          <w:fldChar w:fldCharType="end"/>
        </w:r>
      </w:hyperlink>
    </w:p>
    <w:p w14:paraId="7475CCEF" w14:textId="53F88F38" w:rsidR="00065C5B" w:rsidRDefault="00A53410">
      <w:pPr>
        <w:pStyle w:val="TOC1"/>
        <w:rPr>
          <w:rFonts w:cstheme="minorBidi"/>
          <w:sz w:val="22"/>
          <w:szCs w:val="22"/>
          <w:lang w:eastAsia="zh-CN" w:bidi="ar-SA"/>
        </w:rPr>
      </w:pPr>
      <w:hyperlink w:anchor="_Toc494014186" w:history="1">
        <w:r w:rsidR="00065C5B" w:rsidRPr="000413A8">
          <w:rPr>
            <w:rStyle w:val="Hyperlink"/>
          </w:rPr>
          <w:t>Abstract</w:t>
        </w:r>
        <w:r w:rsidR="00065C5B">
          <w:rPr>
            <w:webHidden/>
          </w:rPr>
          <w:tab/>
        </w:r>
        <w:r w:rsidR="00065C5B">
          <w:rPr>
            <w:webHidden/>
          </w:rPr>
          <w:fldChar w:fldCharType="begin"/>
        </w:r>
        <w:r w:rsidR="00065C5B">
          <w:rPr>
            <w:webHidden/>
          </w:rPr>
          <w:instrText xml:space="preserve"> PAGEREF _Toc494014186 \h </w:instrText>
        </w:r>
        <w:r w:rsidR="00065C5B">
          <w:rPr>
            <w:webHidden/>
          </w:rPr>
        </w:r>
        <w:r w:rsidR="00065C5B">
          <w:rPr>
            <w:webHidden/>
          </w:rPr>
          <w:fldChar w:fldCharType="separate"/>
        </w:r>
        <w:r w:rsidR="00024183">
          <w:rPr>
            <w:webHidden/>
          </w:rPr>
          <w:t>xvi</w:t>
        </w:r>
        <w:r w:rsidR="00065C5B">
          <w:rPr>
            <w:webHidden/>
          </w:rPr>
          <w:fldChar w:fldCharType="end"/>
        </w:r>
      </w:hyperlink>
    </w:p>
    <w:p w14:paraId="6643F591" w14:textId="6225C9ED" w:rsidR="00065C5B" w:rsidRDefault="00A53410">
      <w:pPr>
        <w:pStyle w:val="TOC1"/>
        <w:tabs>
          <w:tab w:val="left" w:pos="1440"/>
        </w:tabs>
        <w:rPr>
          <w:rFonts w:cstheme="minorBidi"/>
          <w:sz w:val="22"/>
          <w:szCs w:val="22"/>
          <w:lang w:eastAsia="zh-CN" w:bidi="ar-SA"/>
        </w:rPr>
      </w:pPr>
      <w:hyperlink w:anchor="_Toc494014187" w:history="1">
        <w:r w:rsidR="00065C5B" w:rsidRPr="000413A8">
          <w:rPr>
            <w:rStyle w:val="Hyperlink"/>
          </w:rPr>
          <w:t>Chapter 1.</w:t>
        </w:r>
        <w:r w:rsidR="00065C5B">
          <w:rPr>
            <w:rFonts w:cstheme="minorBidi"/>
            <w:sz w:val="22"/>
            <w:szCs w:val="22"/>
            <w:lang w:eastAsia="zh-CN" w:bidi="ar-SA"/>
          </w:rPr>
          <w:tab/>
        </w:r>
        <w:r w:rsidR="00065C5B" w:rsidRPr="000413A8">
          <w:rPr>
            <w:rStyle w:val="Hyperlink"/>
          </w:rPr>
          <w:t>Introduction</w:t>
        </w:r>
        <w:r w:rsidR="00065C5B">
          <w:rPr>
            <w:webHidden/>
          </w:rPr>
          <w:tab/>
        </w:r>
        <w:r w:rsidR="00065C5B">
          <w:rPr>
            <w:webHidden/>
          </w:rPr>
          <w:fldChar w:fldCharType="begin"/>
        </w:r>
        <w:r w:rsidR="00065C5B">
          <w:rPr>
            <w:webHidden/>
          </w:rPr>
          <w:instrText xml:space="preserve"> PAGEREF _Toc494014187 \h </w:instrText>
        </w:r>
        <w:r w:rsidR="00065C5B">
          <w:rPr>
            <w:webHidden/>
          </w:rPr>
        </w:r>
        <w:r w:rsidR="00065C5B">
          <w:rPr>
            <w:webHidden/>
          </w:rPr>
          <w:fldChar w:fldCharType="separate"/>
        </w:r>
        <w:r w:rsidR="00024183">
          <w:rPr>
            <w:webHidden/>
          </w:rPr>
          <w:t>1</w:t>
        </w:r>
        <w:r w:rsidR="00065C5B">
          <w:rPr>
            <w:webHidden/>
          </w:rPr>
          <w:fldChar w:fldCharType="end"/>
        </w:r>
      </w:hyperlink>
    </w:p>
    <w:p w14:paraId="5830A88C" w14:textId="4C3BA43F" w:rsidR="00065C5B" w:rsidRDefault="00A53410">
      <w:pPr>
        <w:pStyle w:val="TOC2"/>
        <w:rPr>
          <w:rFonts w:cstheme="minorBidi"/>
          <w:noProof/>
          <w:sz w:val="22"/>
          <w:szCs w:val="22"/>
          <w:lang w:eastAsia="zh-CN" w:bidi="ar-SA"/>
        </w:rPr>
      </w:pPr>
      <w:hyperlink w:anchor="_Toc494014188" w:history="1">
        <w:r w:rsidR="00065C5B" w:rsidRPr="000413A8">
          <w:rPr>
            <w:rStyle w:val="Hyperlink"/>
            <w:noProof/>
          </w:rPr>
          <w:t>1.1</w:t>
        </w:r>
        <w:r w:rsidR="00065C5B">
          <w:rPr>
            <w:rFonts w:cstheme="minorBidi"/>
            <w:noProof/>
            <w:sz w:val="22"/>
            <w:szCs w:val="22"/>
            <w:lang w:eastAsia="zh-CN" w:bidi="ar-SA"/>
          </w:rPr>
          <w:tab/>
        </w:r>
        <w:r w:rsidR="00065C5B" w:rsidRPr="000413A8">
          <w:rPr>
            <w:rStyle w:val="Hyperlink"/>
            <w:noProof/>
          </w:rPr>
          <w:t>Research Motivations</w:t>
        </w:r>
        <w:r w:rsidR="00065C5B">
          <w:rPr>
            <w:noProof/>
            <w:webHidden/>
          </w:rPr>
          <w:tab/>
        </w:r>
        <w:r w:rsidR="00065C5B">
          <w:rPr>
            <w:noProof/>
            <w:webHidden/>
          </w:rPr>
          <w:fldChar w:fldCharType="begin"/>
        </w:r>
        <w:r w:rsidR="00065C5B">
          <w:rPr>
            <w:noProof/>
            <w:webHidden/>
          </w:rPr>
          <w:instrText xml:space="preserve"> PAGEREF _Toc494014188 \h </w:instrText>
        </w:r>
        <w:r w:rsidR="00065C5B">
          <w:rPr>
            <w:noProof/>
            <w:webHidden/>
          </w:rPr>
        </w:r>
        <w:r w:rsidR="00065C5B">
          <w:rPr>
            <w:noProof/>
            <w:webHidden/>
          </w:rPr>
          <w:fldChar w:fldCharType="separate"/>
        </w:r>
        <w:r w:rsidR="00024183">
          <w:rPr>
            <w:noProof/>
            <w:webHidden/>
          </w:rPr>
          <w:t>1</w:t>
        </w:r>
        <w:r w:rsidR="00065C5B">
          <w:rPr>
            <w:noProof/>
            <w:webHidden/>
          </w:rPr>
          <w:fldChar w:fldCharType="end"/>
        </w:r>
      </w:hyperlink>
    </w:p>
    <w:p w14:paraId="5DBED9C6" w14:textId="6CAA6679" w:rsidR="00065C5B" w:rsidRDefault="00A53410">
      <w:pPr>
        <w:pStyle w:val="TOC2"/>
        <w:rPr>
          <w:rFonts w:cstheme="minorBidi"/>
          <w:noProof/>
          <w:sz w:val="22"/>
          <w:szCs w:val="22"/>
          <w:lang w:eastAsia="zh-CN" w:bidi="ar-SA"/>
        </w:rPr>
      </w:pPr>
      <w:hyperlink w:anchor="_Toc494014189" w:history="1">
        <w:r w:rsidR="00065C5B" w:rsidRPr="000413A8">
          <w:rPr>
            <w:rStyle w:val="Hyperlink"/>
            <w:noProof/>
          </w:rPr>
          <w:t>1.2</w:t>
        </w:r>
        <w:r w:rsidR="00065C5B">
          <w:rPr>
            <w:rFonts w:cstheme="minorBidi"/>
            <w:noProof/>
            <w:sz w:val="22"/>
            <w:szCs w:val="22"/>
            <w:lang w:eastAsia="zh-CN" w:bidi="ar-SA"/>
          </w:rPr>
          <w:tab/>
        </w:r>
        <w:r w:rsidR="00065C5B" w:rsidRPr="000413A8">
          <w:rPr>
            <w:rStyle w:val="Hyperlink"/>
            <w:noProof/>
          </w:rPr>
          <w:t>Research Objectives</w:t>
        </w:r>
        <w:r w:rsidR="00065C5B">
          <w:rPr>
            <w:noProof/>
            <w:webHidden/>
          </w:rPr>
          <w:tab/>
        </w:r>
        <w:r w:rsidR="00065C5B">
          <w:rPr>
            <w:noProof/>
            <w:webHidden/>
          </w:rPr>
          <w:fldChar w:fldCharType="begin"/>
        </w:r>
        <w:r w:rsidR="00065C5B">
          <w:rPr>
            <w:noProof/>
            <w:webHidden/>
          </w:rPr>
          <w:instrText xml:space="preserve"> PAGEREF _Toc494014189 \h </w:instrText>
        </w:r>
        <w:r w:rsidR="00065C5B">
          <w:rPr>
            <w:noProof/>
            <w:webHidden/>
          </w:rPr>
        </w:r>
        <w:r w:rsidR="00065C5B">
          <w:rPr>
            <w:noProof/>
            <w:webHidden/>
          </w:rPr>
          <w:fldChar w:fldCharType="separate"/>
        </w:r>
        <w:r w:rsidR="00024183">
          <w:rPr>
            <w:noProof/>
            <w:webHidden/>
          </w:rPr>
          <w:t>2</w:t>
        </w:r>
        <w:r w:rsidR="00065C5B">
          <w:rPr>
            <w:noProof/>
            <w:webHidden/>
          </w:rPr>
          <w:fldChar w:fldCharType="end"/>
        </w:r>
      </w:hyperlink>
    </w:p>
    <w:p w14:paraId="7DB575BD" w14:textId="131FB200" w:rsidR="00065C5B" w:rsidRDefault="00A53410">
      <w:pPr>
        <w:pStyle w:val="TOC2"/>
        <w:rPr>
          <w:rFonts w:cstheme="minorBidi"/>
          <w:noProof/>
          <w:sz w:val="22"/>
          <w:szCs w:val="22"/>
          <w:lang w:eastAsia="zh-CN" w:bidi="ar-SA"/>
        </w:rPr>
      </w:pPr>
      <w:hyperlink w:anchor="_Toc494014190" w:history="1">
        <w:r w:rsidR="00065C5B" w:rsidRPr="000413A8">
          <w:rPr>
            <w:rStyle w:val="Hyperlink"/>
            <w:noProof/>
          </w:rPr>
          <w:t>1.3</w:t>
        </w:r>
        <w:r w:rsidR="00065C5B">
          <w:rPr>
            <w:rFonts w:cstheme="minorBidi"/>
            <w:noProof/>
            <w:sz w:val="22"/>
            <w:szCs w:val="22"/>
            <w:lang w:eastAsia="zh-CN" w:bidi="ar-SA"/>
          </w:rPr>
          <w:tab/>
        </w:r>
        <w:r w:rsidR="00065C5B" w:rsidRPr="000413A8">
          <w:rPr>
            <w:rStyle w:val="Hyperlink"/>
            <w:noProof/>
          </w:rPr>
          <w:t>Chapter Layout</w:t>
        </w:r>
        <w:r w:rsidR="00065C5B">
          <w:rPr>
            <w:noProof/>
            <w:webHidden/>
          </w:rPr>
          <w:tab/>
        </w:r>
        <w:r w:rsidR="00065C5B">
          <w:rPr>
            <w:noProof/>
            <w:webHidden/>
          </w:rPr>
          <w:fldChar w:fldCharType="begin"/>
        </w:r>
        <w:r w:rsidR="00065C5B">
          <w:rPr>
            <w:noProof/>
            <w:webHidden/>
          </w:rPr>
          <w:instrText xml:space="preserve"> PAGEREF _Toc494014190 \h </w:instrText>
        </w:r>
        <w:r w:rsidR="00065C5B">
          <w:rPr>
            <w:noProof/>
            <w:webHidden/>
          </w:rPr>
        </w:r>
        <w:r w:rsidR="00065C5B">
          <w:rPr>
            <w:noProof/>
            <w:webHidden/>
          </w:rPr>
          <w:fldChar w:fldCharType="separate"/>
        </w:r>
        <w:r w:rsidR="00024183">
          <w:rPr>
            <w:noProof/>
            <w:webHidden/>
          </w:rPr>
          <w:t>3</w:t>
        </w:r>
        <w:r w:rsidR="00065C5B">
          <w:rPr>
            <w:noProof/>
            <w:webHidden/>
          </w:rPr>
          <w:fldChar w:fldCharType="end"/>
        </w:r>
      </w:hyperlink>
    </w:p>
    <w:p w14:paraId="3572DAAF" w14:textId="4F5AE570" w:rsidR="00065C5B" w:rsidRDefault="00A53410">
      <w:pPr>
        <w:pStyle w:val="TOC1"/>
        <w:tabs>
          <w:tab w:val="left" w:pos="1440"/>
        </w:tabs>
        <w:rPr>
          <w:rFonts w:cstheme="minorBidi"/>
          <w:sz w:val="22"/>
          <w:szCs w:val="22"/>
          <w:lang w:eastAsia="zh-CN" w:bidi="ar-SA"/>
        </w:rPr>
      </w:pPr>
      <w:hyperlink w:anchor="_Toc494014191" w:history="1">
        <w:r w:rsidR="00065C5B" w:rsidRPr="000413A8">
          <w:rPr>
            <w:rStyle w:val="Hyperlink"/>
          </w:rPr>
          <w:t>Chapter 2.</w:t>
        </w:r>
        <w:r w:rsidR="00065C5B">
          <w:rPr>
            <w:rFonts w:cstheme="minorBidi"/>
            <w:sz w:val="22"/>
            <w:szCs w:val="22"/>
            <w:lang w:eastAsia="zh-CN" w:bidi="ar-SA"/>
          </w:rPr>
          <w:tab/>
        </w:r>
        <w:r w:rsidR="00065C5B" w:rsidRPr="000413A8">
          <w:rPr>
            <w:rStyle w:val="Hyperlink"/>
          </w:rPr>
          <w:t>Improved Method of Moments to Determine Mobile Phase Saturations with Single Well Chemical Tracer Test</w:t>
        </w:r>
        <w:r w:rsidR="00065C5B">
          <w:rPr>
            <w:webHidden/>
          </w:rPr>
          <w:tab/>
        </w:r>
        <w:r w:rsidR="00065C5B">
          <w:rPr>
            <w:webHidden/>
          </w:rPr>
          <w:fldChar w:fldCharType="begin"/>
        </w:r>
        <w:r w:rsidR="00065C5B">
          <w:rPr>
            <w:webHidden/>
          </w:rPr>
          <w:instrText xml:space="preserve"> PAGEREF _Toc494014191 \h </w:instrText>
        </w:r>
        <w:r w:rsidR="00065C5B">
          <w:rPr>
            <w:webHidden/>
          </w:rPr>
        </w:r>
        <w:r w:rsidR="00065C5B">
          <w:rPr>
            <w:webHidden/>
          </w:rPr>
          <w:fldChar w:fldCharType="separate"/>
        </w:r>
        <w:r w:rsidR="00024183">
          <w:rPr>
            <w:webHidden/>
          </w:rPr>
          <w:t>5</w:t>
        </w:r>
        <w:r w:rsidR="00065C5B">
          <w:rPr>
            <w:webHidden/>
          </w:rPr>
          <w:fldChar w:fldCharType="end"/>
        </w:r>
      </w:hyperlink>
    </w:p>
    <w:p w14:paraId="123C2B57" w14:textId="293B28D1" w:rsidR="00065C5B" w:rsidRDefault="00A53410">
      <w:pPr>
        <w:pStyle w:val="TOC2"/>
        <w:rPr>
          <w:rFonts w:cstheme="minorBidi"/>
          <w:noProof/>
          <w:sz w:val="22"/>
          <w:szCs w:val="22"/>
          <w:lang w:eastAsia="zh-CN" w:bidi="ar-SA"/>
        </w:rPr>
      </w:pPr>
      <w:hyperlink w:anchor="_Toc494014192" w:history="1">
        <w:r w:rsidR="00065C5B" w:rsidRPr="000413A8">
          <w:rPr>
            <w:rStyle w:val="Hyperlink"/>
            <w:noProof/>
          </w:rPr>
          <w:t>2.1</w:t>
        </w:r>
        <w:r w:rsidR="00065C5B">
          <w:rPr>
            <w:rFonts w:cstheme="minorBidi"/>
            <w:noProof/>
            <w:sz w:val="22"/>
            <w:szCs w:val="22"/>
            <w:lang w:eastAsia="zh-CN" w:bidi="ar-SA"/>
          </w:rPr>
          <w:tab/>
        </w:r>
        <w:r w:rsidR="00065C5B" w:rsidRPr="000413A8">
          <w:rPr>
            <w:rStyle w:val="Hyperlink"/>
            <w:noProof/>
          </w:rPr>
          <w:t>Introduction</w:t>
        </w:r>
        <w:r w:rsidR="00065C5B">
          <w:rPr>
            <w:noProof/>
            <w:webHidden/>
          </w:rPr>
          <w:tab/>
        </w:r>
        <w:r w:rsidR="00065C5B">
          <w:rPr>
            <w:noProof/>
            <w:webHidden/>
          </w:rPr>
          <w:fldChar w:fldCharType="begin"/>
        </w:r>
        <w:r w:rsidR="00065C5B">
          <w:rPr>
            <w:noProof/>
            <w:webHidden/>
          </w:rPr>
          <w:instrText xml:space="preserve"> PAGEREF _Toc494014192 \h </w:instrText>
        </w:r>
        <w:r w:rsidR="00065C5B">
          <w:rPr>
            <w:noProof/>
            <w:webHidden/>
          </w:rPr>
        </w:r>
        <w:r w:rsidR="00065C5B">
          <w:rPr>
            <w:noProof/>
            <w:webHidden/>
          </w:rPr>
          <w:fldChar w:fldCharType="separate"/>
        </w:r>
        <w:r w:rsidR="00024183">
          <w:rPr>
            <w:noProof/>
            <w:webHidden/>
          </w:rPr>
          <w:t>5</w:t>
        </w:r>
        <w:r w:rsidR="00065C5B">
          <w:rPr>
            <w:noProof/>
            <w:webHidden/>
          </w:rPr>
          <w:fldChar w:fldCharType="end"/>
        </w:r>
      </w:hyperlink>
    </w:p>
    <w:p w14:paraId="29577230" w14:textId="279DB3D4" w:rsidR="00065C5B" w:rsidRDefault="00A53410">
      <w:pPr>
        <w:pStyle w:val="TOC2"/>
        <w:rPr>
          <w:rFonts w:cstheme="minorBidi"/>
          <w:noProof/>
          <w:sz w:val="22"/>
          <w:szCs w:val="22"/>
          <w:lang w:eastAsia="zh-CN" w:bidi="ar-SA"/>
        </w:rPr>
      </w:pPr>
      <w:hyperlink w:anchor="_Toc494014193" w:history="1">
        <w:r w:rsidR="00065C5B" w:rsidRPr="000413A8">
          <w:rPr>
            <w:rStyle w:val="Hyperlink"/>
            <w:noProof/>
          </w:rPr>
          <w:t>2.2</w:t>
        </w:r>
        <w:r w:rsidR="00065C5B">
          <w:rPr>
            <w:rFonts w:cstheme="minorBidi"/>
            <w:noProof/>
            <w:sz w:val="22"/>
            <w:szCs w:val="22"/>
            <w:lang w:eastAsia="zh-CN" w:bidi="ar-SA"/>
          </w:rPr>
          <w:tab/>
        </w:r>
        <w:r w:rsidR="00065C5B" w:rsidRPr="000413A8">
          <w:rPr>
            <w:rStyle w:val="Hyperlink"/>
            <w:noProof/>
          </w:rPr>
          <w:t>Modified SWCTT and MoM</w:t>
        </w:r>
        <w:r w:rsidR="00065C5B">
          <w:rPr>
            <w:noProof/>
            <w:webHidden/>
          </w:rPr>
          <w:tab/>
        </w:r>
        <w:r w:rsidR="00065C5B">
          <w:rPr>
            <w:noProof/>
            <w:webHidden/>
          </w:rPr>
          <w:fldChar w:fldCharType="begin"/>
        </w:r>
        <w:r w:rsidR="00065C5B">
          <w:rPr>
            <w:noProof/>
            <w:webHidden/>
          </w:rPr>
          <w:instrText xml:space="preserve"> PAGEREF _Toc494014193 \h </w:instrText>
        </w:r>
        <w:r w:rsidR="00065C5B">
          <w:rPr>
            <w:noProof/>
            <w:webHidden/>
          </w:rPr>
        </w:r>
        <w:r w:rsidR="00065C5B">
          <w:rPr>
            <w:noProof/>
            <w:webHidden/>
          </w:rPr>
          <w:fldChar w:fldCharType="separate"/>
        </w:r>
        <w:r w:rsidR="00024183">
          <w:rPr>
            <w:noProof/>
            <w:webHidden/>
          </w:rPr>
          <w:t>8</w:t>
        </w:r>
        <w:r w:rsidR="00065C5B">
          <w:rPr>
            <w:noProof/>
            <w:webHidden/>
          </w:rPr>
          <w:fldChar w:fldCharType="end"/>
        </w:r>
      </w:hyperlink>
    </w:p>
    <w:p w14:paraId="1AC45D27" w14:textId="5EE7FE29" w:rsidR="00065C5B" w:rsidRDefault="00A53410">
      <w:pPr>
        <w:pStyle w:val="TOC3"/>
        <w:tabs>
          <w:tab w:val="left" w:pos="1440"/>
        </w:tabs>
        <w:rPr>
          <w:rFonts w:cstheme="minorBidi"/>
          <w:sz w:val="22"/>
          <w:szCs w:val="22"/>
          <w:lang w:eastAsia="zh-CN" w:bidi="ar-SA"/>
        </w:rPr>
      </w:pPr>
      <w:hyperlink w:anchor="_Toc494014194" w:history="1">
        <w:r w:rsidR="00065C5B" w:rsidRPr="000413A8">
          <w:rPr>
            <w:rStyle w:val="Hyperlink"/>
          </w:rPr>
          <w:t>2.2.1</w:t>
        </w:r>
        <w:r w:rsidR="00065C5B">
          <w:rPr>
            <w:rFonts w:cstheme="minorBidi"/>
            <w:sz w:val="22"/>
            <w:szCs w:val="22"/>
            <w:lang w:eastAsia="zh-CN" w:bidi="ar-SA"/>
          </w:rPr>
          <w:tab/>
        </w:r>
        <w:r w:rsidR="00065C5B" w:rsidRPr="000413A8">
          <w:rPr>
            <w:rStyle w:val="Hyperlink"/>
          </w:rPr>
          <w:t>Modified Procedure of SWCTT</w:t>
        </w:r>
        <w:r w:rsidR="00065C5B">
          <w:rPr>
            <w:webHidden/>
          </w:rPr>
          <w:tab/>
        </w:r>
        <w:r w:rsidR="00065C5B">
          <w:rPr>
            <w:webHidden/>
          </w:rPr>
          <w:fldChar w:fldCharType="begin"/>
        </w:r>
        <w:r w:rsidR="00065C5B">
          <w:rPr>
            <w:webHidden/>
          </w:rPr>
          <w:instrText xml:space="preserve"> PAGEREF _Toc494014194 \h </w:instrText>
        </w:r>
        <w:r w:rsidR="00065C5B">
          <w:rPr>
            <w:webHidden/>
          </w:rPr>
        </w:r>
        <w:r w:rsidR="00065C5B">
          <w:rPr>
            <w:webHidden/>
          </w:rPr>
          <w:fldChar w:fldCharType="separate"/>
        </w:r>
        <w:r w:rsidR="00024183">
          <w:rPr>
            <w:webHidden/>
          </w:rPr>
          <w:t>8</w:t>
        </w:r>
        <w:r w:rsidR="00065C5B">
          <w:rPr>
            <w:webHidden/>
          </w:rPr>
          <w:fldChar w:fldCharType="end"/>
        </w:r>
      </w:hyperlink>
    </w:p>
    <w:p w14:paraId="7A36601B" w14:textId="5C48722A" w:rsidR="00065C5B" w:rsidRDefault="00A53410">
      <w:pPr>
        <w:pStyle w:val="TOC3"/>
        <w:tabs>
          <w:tab w:val="left" w:pos="1440"/>
        </w:tabs>
        <w:rPr>
          <w:rFonts w:cstheme="minorBidi"/>
          <w:sz w:val="22"/>
          <w:szCs w:val="22"/>
          <w:lang w:eastAsia="zh-CN" w:bidi="ar-SA"/>
        </w:rPr>
      </w:pPr>
      <w:hyperlink w:anchor="_Toc494014195" w:history="1">
        <w:r w:rsidR="00065C5B" w:rsidRPr="000413A8">
          <w:rPr>
            <w:rStyle w:val="Hyperlink"/>
          </w:rPr>
          <w:t>2.2.2</w:t>
        </w:r>
        <w:r w:rsidR="00065C5B">
          <w:rPr>
            <w:rFonts w:cstheme="minorBidi"/>
            <w:sz w:val="22"/>
            <w:szCs w:val="22"/>
            <w:lang w:eastAsia="zh-CN" w:bidi="ar-SA"/>
          </w:rPr>
          <w:tab/>
        </w:r>
        <w:r w:rsidR="00065C5B" w:rsidRPr="000413A8">
          <w:rPr>
            <w:rStyle w:val="Hyperlink"/>
          </w:rPr>
          <w:t>Movement of Tracers</w:t>
        </w:r>
        <w:r w:rsidR="00065C5B">
          <w:rPr>
            <w:webHidden/>
          </w:rPr>
          <w:tab/>
        </w:r>
        <w:r w:rsidR="00065C5B">
          <w:rPr>
            <w:webHidden/>
          </w:rPr>
          <w:fldChar w:fldCharType="begin"/>
        </w:r>
        <w:r w:rsidR="00065C5B">
          <w:rPr>
            <w:webHidden/>
          </w:rPr>
          <w:instrText xml:space="preserve"> PAGEREF _Toc494014195 \h </w:instrText>
        </w:r>
        <w:r w:rsidR="00065C5B">
          <w:rPr>
            <w:webHidden/>
          </w:rPr>
        </w:r>
        <w:r w:rsidR="00065C5B">
          <w:rPr>
            <w:webHidden/>
          </w:rPr>
          <w:fldChar w:fldCharType="separate"/>
        </w:r>
        <w:r w:rsidR="00024183">
          <w:rPr>
            <w:webHidden/>
          </w:rPr>
          <w:t>9</w:t>
        </w:r>
        <w:r w:rsidR="00065C5B">
          <w:rPr>
            <w:webHidden/>
          </w:rPr>
          <w:fldChar w:fldCharType="end"/>
        </w:r>
      </w:hyperlink>
    </w:p>
    <w:p w14:paraId="1311DBD4" w14:textId="394957D2" w:rsidR="00065C5B" w:rsidRDefault="00A53410">
      <w:pPr>
        <w:pStyle w:val="TOC3"/>
        <w:tabs>
          <w:tab w:val="left" w:pos="1440"/>
        </w:tabs>
        <w:rPr>
          <w:rFonts w:cstheme="minorBidi"/>
          <w:sz w:val="22"/>
          <w:szCs w:val="22"/>
          <w:lang w:eastAsia="zh-CN" w:bidi="ar-SA"/>
        </w:rPr>
      </w:pPr>
      <w:hyperlink w:anchor="_Toc494014196" w:history="1">
        <w:r w:rsidR="00065C5B" w:rsidRPr="000413A8">
          <w:rPr>
            <w:rStyle w:val="Hyperlink"/>
          </w:rPr>
          <w:t>2.2.3</w:t>
        </w:r>
        <w:r w:rsidR="00065C5B">
          <w:rPr>
            <w:rFonts w:cstheme="minorBidi"/>
            <w:sz w:val="22"/>
            <w:szCs w:val="22"/>
            <w:lang w:eastAsia="zh-CN" w:bidi="ar-SA"/>
          </w:rPr>
          <w:tab/>
        </w:r>
        <w:r w:rsidR="00065C5B" w:rsidRPr="000413A8">
          <w:rPr>
            <w:rStyle w:val="Hyperlink"/>
          </w:rPr>
          <w:t>Modified MoM</w:t>
        </w:r>
        <w:r w:rsidR="00065C5B">
          <w:rPr>
            <w:webHidden/>
          </w:rPr>
          <w:tab/>
        </w:r>
        <w:r w:rsidR="00065C5B">
          <w:rPr>
            <w:webHidden/>
          </w:rPr>
          <w:fldChar w:fldCharType="begin"/>
        </w:r>
        <w:r w:rsidR="00065C5B">
          <w:rPr>
            <w:webHidden/>
          </w:rPr>
          <w:instrText xml:space="preserve"> PAGEREF _Toc494014196 \h </w:instrText>
        </w:r>
        <w:r w:rsidR="00065C5B">
          <w:rPr>
            <w:webHidden/>
          </w:rPr>
        </w:r>
        <w:r w:rsidR="00065C5B">
          <w:rPr>
            <w:webHidden/>
          </w:rPr>
          <w:fldChar w:fldCharType="separate"/>
        </w:r>
        <w:r w:rsidR="00024183">
          <w:rPr>
            <w:webHidden/>
          </w:rPr>
          <w:t>13</w:t>
        </w:r>
        <w:r w:rsidR="00065C5B">
          <w:rPr>
            <w:webHidden/>
          </w:rPr>
          <w:fldChar w:fldCharType="end"/>
        </w:r>
      </w:hyperlink>
    </w:p>
    <w:p w14:paraId="2F2B1CC6" w14:textId="755B1C4B" w:rsidR="00065C5B" w:rsidRDefault="00A53410">
      <w:pPr>
        <w:pStyle w:val="TOC2"/>
        <w:rPr>
          <w:rFonts w:cstheme="minorBidi"/>
          <w:noProof/>
          <w:sz w:val="22"/>
          <w:szCs w:val="22"/>
          <w:lang w:eastAsia="zh-CN" w:bidi="ar-SA"/>
        </w:rPr>
      </w:pPr>
      <w:hyperlink w:anchor="_Toc494014197" w:history="1">
        <w:r w:rsidR="00065C5B" w:rsidRPr="000413A8">
          <w:rPr>
            <w:rStyle w:val="Hyperlink"/>
            <w:noProof/>
          </w:rPr>
          <w:t>2.3</w:t>
        </w:r>
        <w:r w:rsidR="00065C5B">
          <w:rPr>
            <w:rFonts w:cstheme="minorBidi"/>
            <w:noProof/>
            <w:sz w:val="22"/>
            <w:szCs w:val="22"/>
            <w:lang w:eastAsia="zh-CN" w:bidi="ar-SA"/>
          </w:rPr>
          <w:tab/>
        </w:r>
        <w:r w:rsidR="00065C5B" w:rsidRPr="000413A8">
          <w:rPr>
            <w:rStyle w:val="Hyperlink"/>
            <w:noProof/>
          </w:rPr>
          <w:t>Method Validation and Comparison</w:t>
        </w:r>
        <w:r w:rsidR="00065C5B">
          <w:rPr>
            <w:noProof/>
            <w:webHidden/>
          </w:rPr>
          <w:tab/>
        </w:r>
        <w:r w:rsidR="00065C5B">
          <w:rPr>
            <w:noProof/>
            <w:webHidden/>
          </w:rPr>
          <w:fldChar w:fldCharType="begin"/>
        </w:r>
        <w:r w:rsidR="00065C5B">
          <w:rPr>
            <w:noProof/>
            <w:webHidden/>
          </w:rPr>
          <w:instrText xml:space="preserve"> PAGEREF _Toc494014197 \h </w:instrText>
        </w:r>
        <w:r w:rsidR="00065C5B">
          <w:rPr>
            <w:noProof/>
            <w:webHidden/>
          </w:rPr>
        </w:r>
        <w:r w:rsidR="00065C5B">
          <w:rPr>
            <w:noProof/>
            <w:webHidden/>
          </w:rPr>
          <w:fldChar w:fldCharType="separate"/>
        </w:r>
        <w:r w:rsidR="00024183">
          <w:rPr>
            <w:noProof/>
            <w:webHidden/>
          </w:rPr>
          <w:t>15</w:t>
        </w:r>
        <w:r w:rsidR="00065C5B">
          <w:rPr>
            <w:noProof/>
            <w:webHidden/>
          </w:rPr>
          <w:fldChar w:fldCharType="end"/>
        </w:r>
      </w:hyperlink>
    </w:p>
    <w:p w14:paraId="23FB99B8" w14:textId="0C3DDB92" w:rsidR="00065C5B" w:rsidRDefault="00A53410">
      <w:pPr>
        <w:pStyle w:val="TOC3"/>
        <w:tabs>
          <w:tab w:val="left" w:pos="1440"/>
        </w:tabs>
        <w:rPr>
          <w:rFonts w:cstheme="minorBidi"/>
          <w:sz w:val="22"/>
          <w:szCs w:val="22"/>
          <w:lang w:eastAsia="zh-CN" w:bidi="ar-SA"/>
        </w:rPr>
      </w:pPr>
      <w:hyperlink w:anchor="_Toc494014198" w:history="1">
        <w:r w:rsidR="00065C5B" w:rsidRPr="000413A8">
          <w:rPr>
            <w:rStyle w:val="Hyperlink"/>
          </w:rPr>
          <w:t>2.3.1</w:t>
        </w:r>
        <w:r w:rsidR="00065C5B">
          <w:rPr>
            <w:rFonts w:cstheme="minorBidi"/>
            <w:sz w:val="22"/>
            <w:szCs w:val="22"/>
            <w:lang w:eastAsia="zh-CN" w:bidi="ar-SA"/>
          </w:rPr>
          <w:tab/>
        </w:r>
        <w:r w:rsidR="00065C5B" w:rsidRPr="000413A8">
          <w:rPr>
            <w:rStyle w:val="Hyperlink"/>
          </w:rPr>
          <w:t>Model Description</w:t>
        </w:r>
        <w:r w:rsidR="00065C5B">
          <w:rPr>
            <w:webHidden/>
          </w:rPr>
          <w:tab/>
        </w:r>
        <w:r w:rsidR="00065C5B">
          <w:rPr>
            <w:webHidden/>
          </w:rPr>
          <w:fldChar w:fldCharType="begin"/>
        </w:r>
        <w:r w:rsidR="00065C5B">
          <w:rPr>
            <w:webHidden/>
          </w:rPr>
          <w:instrText xml:space="preserve"> PAGEREF _Toc494014198 \h </w:instrText>
        </w:r>
        <w:r w:rsidR="00065C5B">
          <w:rPr>
            <w:webHidden/>
          </w:rPr>
        </w:r>
        <w:r w:rsidR="00065C5B">
          <w:rPr>
            <w:webHidden/>
          </w:rPr>
          <w:fldChar w:fldCharType="separate"/>
        </w:r>
        <w:r w:rsidR="00024183">
          <w:rPr>
            <w:webHidden/>
          </w:rPr>
          <w:t>15</w:t>
        </w:r>
        <w:r w:rsidR="00065C5B">
          <w:rPr>
            <w:webHidden/>
          </w:rPr>
          <w:fldChar w:fldCharType="end"/>
        </w:r>
      </w:hyperlink>
    </w:p>
    <w:p w14:paraId="0644EDC1" w14:textId="37357D23" w:rsidR="00065C5B" w:rsidRDefault="00A53410">
      <w:pPr>
        <w:pStyle w:val="TOC3"/>
        <w:tabs>
          <w:tab w:val="left" w:pos="1440"/>
        </w:tabs>
        <w:rPr>
          <w:rFonts w:cstheme="minorBidi"/>
          <w:sz w:val="22"/>
          <w:szCs w:val="22"/>
          <w:lang w:eastAsia="zh-CN" w:bidi="ar-SA"/>
        </w:rPr>
      </w:pPr>
      <w:hyperlink w:anchor="_Toc494014199" w:history="1">
        <w:r w:rsidR="00065C5B" w:rsidRPr="000413A8">
          <w:rPr>
            <w:rStyle w:val="Hyperlink"/>
          </w:rPr>
          <w:t>2.3.2</w:t>
        </w:r>
        <w:r w:rsidR="00065C5B">
          <w:rPr>
            <w:rFonts w:cstheme="minorBidi"/>
            <w:sz w:val="22"/>
            <w:szCs w:val="22"/>
            <w:lang w:eastAsia="zh-CN" w:bidi="ar-SA"/>
          </w:rPr>
          <w:tab/>
        </w:r>
        <w:r w:rsidR="00065C5B" w:rsidRPr="000413A8">
          <w:rPr>
            <w:rStyle w:val="Hyperlink"/>
          </w:rPr>
          <w:t>Analysis Procedure</w:t>
        </w:r>
        <w:r w:rsidR="00065C5B">
          <w:rPr>
            <w:webHidden/>
          </w:rPr>
          <w:tab/>
        </w:r>
        <w:r w:rsidR="00065C5B">
          <w:rPr>
            <w:webHidden/>
          </w:rPr>
          <w:fldChar w:fldCharType="begin"/>
        </w:r>
        <w:r w:rsidR="00065C5B">
          <w:rPr>
            <w:webHidden/>
          </w:rPr>
          <w:instrText xml:space="preserve"> PAGEREF _Toc494014199 \h </w:instrText>
        </w:r>
        <w:r w:rsidR="00065C5B">
          <w:rPr>
            <w:webHidden/>
          </w:rPr>
        </w:r>
        <w:r w:rsidR="00065C5B">
          <w:rPr>
            <w:webHidden/>
          </w:rPr>
          <w:fldChar w:fldCharType="separate"/>
        </w:r>
        <w:r w:rsidR="00024183">
          <w:rPr>
            <w:webHidden/>
          </w:rPr>
          <w:t>19</w:t>
        </w:r>
        <w:r w:rsidR="00065C5B">
          <w:rPr>
            <w:webHidden/>
          </w:rPr>
          <w:fldChar w:fldCharType="end"/>
        </w:r>
      </w:hyperlink>
    </w:p>
    <w:p w14:paraId="1D61CAA6" w14:textId="2EFBC671" w:rsidR="00065C5B" w:rsidRDefault="00A53410">
      <w:pPr>
        <w:pStyle w:val="TOC3"/>
        <w:tabs>
          <w:tab w:val="left" w:pos="1440"/>
        </w:tabs>
        <w:rPr>
          <w:rFonts w:cstheme="minorBidi"/>
          <w:sz w:val="22"/>
          <w:szCs w:val="22"/>
          <w:lang w:eastAsia="zh-CN" w:bidi="ar-SA"/>
        </w:rPr>
      </w:pPr>
      <w:hyperlink w:anchor="_Toc494014200" w:history="1">
        <w:r w:rsidR="00065C5B" w:rsidRPr="000413A8">
          <w:rPr>
            <w:rStyle w:val="Hyperlink"/>
          </w:rPr>
          <w:t>2.3.3</w:t>
        </w:r>
        <w:r w:rsidR="00065C5B">
          <w:rPr>
            <w:rFonts w:cstheme="minorBidi"/>
            <w:sz w:val="22"/>
            <w:szCs w:val="22"/>
            <w:lang w:eastAsia="zh-CN" w:bidi="ar-SA"/>
          </w:rPr>
          <w:tab/>
        </w:r>
        <w:r w:rsidR="00065C5B" w:rsidRPr="000413A8">
          <w:rPr>
            <w:rStyle w:val="Hyperlink"/>
          </w:rPr>
          <w:t>Saturation Estimation</w:t>
        </w:r>
        <w:r w:rsidR="00065C5B">
          <w:rPr>
            <w:webHidden/>
          </w:rPr>
          <w:tab/>
        </w:r>
        <w:r w:rsidR="00065C5B">
          <w:rPr>
            <w:webHidden/>
          </w:rPr>
          <w:fldChar w:fldCharType="begin"/>
        </w:r>
        <w:r w:rsidR="00065C5B">
          <w:rPr>
            <w:webHidden/>
          </w:rPr>
          <w:instrText xml:space="preserve"> PAGEREF _Toc494014200 \h </w:instrText>
        </w:r>
        <w:r w:rsidR="00065C5B">
          <w:rPr>
            <w:webHidden/>
          </w:rPr>
        </w:r>
        <w:r w:rsidR="00065C5B">
          <w:rPr>
            <w:webHidden/>
          </w:rPr>
          <w:fldChar w:fldCharType="separate"/>
        </w:r>
        <w:r w:rsidR="00024183">
          <w:rPr>
            <w:webHidden/>
          </w:rPr>
          <w:t>21</w:t>
        </w:r>
        <w:r w:rsidR="00065C5B">
          <w:rPr>
            <w:webHidden/>
          </w:rPr>
          <w:fldChar w:fldCharType="end"/>
        </w:r>
      </w:hyperlink>
    </w:p>
    <w:p w14:paraId="4BA80B5C" w14:textId="474A7C3B" w:rsidR="00065C5B" w:rsidRDefault="00A53410">
      <w:pPr>
        <w:pStyle w:val="TOC3"/>
        <w:tabs>
          <w:tab w:val="left" w:pos="1440"/>
        </w:tabs>
        <w:rPr>
          <w:rFonts w:cstheme="minorBidi"/>
          <w:sz w:val="22"/>
          <w:szCs w:val="22"/>
          <w:lang w:eastAsia="zh-CN" w:bidi="ar-SA"/>
        </w:rPr>
      </w:pPr>
      <w:hyperlink w:anchor="_Toc494014201" w:history="1">
        <w:r w:rsidR="00065C5B" w:rsidRPr="000413A8">
          <w:rPr>
            <w:rStyle w:val="Hyperlink"/>
          </w:rPr>
          <w:t>2.3.4</w:t>
        </w:r>
        <w:r w:rsidR="00065C5B">
          <w:rPr>
            <w:rFonts w:cstheme="minorBidi"/>
            <w:sz w:val="22"/>
            <w:szCs w:val="22"/>
            <w:lang w:eastAsia="zh-CN" w:bidi="ar-SA"/>
          </w:rPr>
          <w:tab/>
        </w:r>
        <w:r w:rsidR="00065C5B" w:rsidRPr="000413A8">
          <w:rPr>
            <w:rStyle w:val="Hyperlink"/>
          </w:rPr>
          <w:t>Comparison with Conventional Interpretation Methods</w:t>
        </w:r>
        <w:r w:rsidR="00065C5B">
          <w:rPr>
            <w:webHidden/>
          </w:rPr>
          <w:tab/>
        </w:r>
        <w:r w:rsidR="00065C5B">
          <w:rPr>
            <w:webHidden/>
          </w:rPr>
          <w:fldChar w:fldCharType="begin"/>
        </w:r>
        <w:r w:rsidR="00065C5B">
          <w:rPr>
            <w:webHidden/>
          </w:rPr>
          <w:instrText xml:space="preserve"> PAGEREF _Toc494014201 \h </w:instrText>
        </w:r>
        <w:r w:rsidR="00065C5B">
          <w:rPr>
            <w:webHidden/>
          </w:rPr>
        </w:r>
        <w:r w:rsidR="00065C5B">
          <w:rPr>
            <w:webHidden/>
          </w:rPr>
          <w:fldChar w:fldCharType="separate"/>
        </w:r>
        <w:r w:rsidR="00024183">
          <w:rPr>
            <w:webHidden/>
          </w:rPr>
          <w:t>22</w:t>
        </w:r>
        <w:r w:rsidR="00065C5B">
          <w:rPr>
            <w:webHidden/>
          </w:rPr>
          <w:fldChar w:fldCharType="end"/>
        </w:r>
      </w:hyperlink>
    </w:p>
    <w:p w14:paraId="08C8A616" w14:textId="64B98D82" w:rsidR="00065C5B" w:rsidRDefault="00A53410">
      <w:pPr>
        <w:pStyle w:val="TOC3"/>
        <w:tabs>
          <w:tab w:val="left" w:pos="1440"/>
        </w:tabs>
        <w:rPr>
          <w:rFonts w:cstheme="minorBidi"/>
          <w:sz w:val="22"/>
          <w:szCs w:val="22"/>
          <w:lang w:eastAsia="zh-CN" w:bidi="ar-SA"/>
        </w:rPr>
      </w:pPr>
      <w:hyperlink w:anchor="_Toc494014202" w:history="1">
        <w:r w:rsidR="00065C5B" w:rsidRPr="000413A8">
          <w:rPr>
            <w:rStyle w:val="Hyperlink"/>
          </w:rPr>
          <w:t>2.3.5</w:t>
        </w:r>
        <w:r w:rsidR="00065C5B">
          <w:rPr>
            <w:rFonts w:cstheme="minorBidi"/>
            <w:sz w:val="22"/>
            <w:szCs w:val="22"/>
            <w:lang w:eastAsia="zh-CN" w:bidi="ar-SA"/>
          </w:rPr>
          <w:tab/>
        </w:r>
        <w:r w:rsidR="00065C5B" w:rsidRPr="000413A8">
          <w:rPr>
            <w:rStyle w:val="Hyperlink"/>
          </w:rPr>
          <w:t>Comparison with Conventional SWCTT Procedure</w:t>
        </w:r>
        <w:r w:rsidR="00065C5B">
          <w:rPr>
            <w:webHidden/>
          </w:rPr>
          <w:tab/>
        </w:r>
        <w:r w:rsidR="00065C5B">
          <w:rPr>
            <w:webHidden/>
          </w:rPr>
          <w:fldChar w:fldCharType="begin"/>
        </w:r>
        <w:r w:rsidR="00065C5B">
          <w:rPr>
            <w:webHidden/>
          </w:rPr>
          <w:instrText xml:space="preserve"> PAGEREF _Toc494014202 \h </w:instrText>
        </w:r>
        <w:r w:rsidR="00065C5B">
          <w:rPr>
            <w:webHidden/>
          </w:rPr>
        </w:r>
        <w:r w:rsidR="00065C5B">
          <w:rPr>
            <w:webHidden/>
          </w:rPr>
          <w:fldChar w:fldCharType="separate"/>
        </w:r>
        <w:r w:rsidR="00024183">
          <w:rPr>
            <w:webHidden/>
          </w:rPr>
          <w:t>24</w:t>
        </w:r>
        <w:r w:rsidR="00065C5B">
          <w:rPr>
            <w:webHidden/>
          </w:rPr>
          <w:fldChar w:fldCharType="end"/>
        </w:r>
      </w:hyperlink>
    </w:p>
    <w:p w14:paraId="14984F6B" w14:textId="7BFE198A" w:rsidR="00065C5B" w:rsidRDefault="00A53410">
      <w:pPr>
        <w:pStyle w:val="TOC2"/>
        <w:rPr>
          <w:rFonts w:cstheme="minorBidi"/>
          <w:noProof/>
          <w:sz w:val="22"/>
          <w:szCs w:val="22"/>
          <w:lang w:eastAsia="zh-CN" w:bidi="ar-SA"/>
        </w:rPr>
      </w:pPr>
      <w:hyperlink w:anchor="_Toc494014203" w:history="1">
        <w:r w:rsidR="00065C5B" w:rsidRPr="000413A8">
          <w:rPr>
            <w:rStyle w:val="Hyperlink"/>
            <w:noProof/>
          </w:rPr>
          <w:t>2.4</w:t>
        </w:r>
        <w:r w:rsidR="00065C5B">
          <w:rPr>
            <w:rFonts w:cstheme="minorBidi"/>
            <w:noProof/>
            <w:sz w:val="22"/>
            <w:szCs w:val="22"/>
            <w:lang w:eastAsia="zh-CN" w:bidi="ar-SA"/>
          </w:rPr>
          <w:tab/>
        </w:r>
        <w:r w:rsidR="00065C5B" w:rsidRPr="000413A8">
          <w:rPr>
            <w:rStyle w:val="Hyperlink"/>
            <w:noProof/>
          </w:rPr>
          <w:t>Impacting Factor Analysis</w:t>
        </w:r>
        <w:r w:rsidR="00065C5B">
          <w:rPr>
            <w:noProof/>
            <w:webHidden/>
          </w:rPr>
          <w:tab/>
        </w:r>
        <w:r w:rsidR="00065C5B">
          <w:rPr>
            <w:noProof/>
            <w:webHidden/>
          </w:rPr>
          <w:fldChar w:fldCharType="begin"/>
        </w:r>
        <w:r w:rsidR="00065C5B">
          <w:rPr>
            <w:noProof/>
            <w:webHidden/>
          </w:rPr>
          <w:instrText xml:space="preserve"> PAGEREF _Toc494014203 \h </w:instrText>
        </w:r>
        <w:r w:rsidR="00065C5B">
          <w:rPr>
            <w:noProof/>
            <w:webHidden/>
          </w:rPr>
        </w:r>
        <w:r w:rsidR="00065C5B">
          <w:rPr>
            <w:noProof/>
            <w:webHidden/>
          </w:rPr>
          <w:fldChar w:fldCharType="separate"/>
        </w:r>
        <w:r w:rsidR="00024183">
          <w:rPr>
            <w:noProof/>
            <w:webHidden/>
          </w:rPr>
          <w:t>26</w:t>
        </w:r>
        <w:r w:rsidR="00065C5B">
          <w:rPr>
            <w:noProof/>
            <w:webHidden/>
          </w:rPr>
          <w:fldChar w:fldCharType="end"/>
        </w:r>
      </w:hyperlink>
    </w:p>
    <w:p w14:paraId="322B82E7" w14:textId="1CE701E8" w:rsidR="00065C5B" w:rsidRDefault="00A53410">
      <w:pPr>
        <w:pStyle w:val="TOC3"/>
        <w:tabs>
          <w:tab w:val="left" w:pos="1440"/>
        </w:tabs>
        <w:rPr>
          <w:rFonts w:cstheme="minorBidi"/>
          <w:sz w:val="22"/>
          <w:szCs w:val="22"/>
          <w:lang w:eastAsia="zh-CN" w:bidi="ar-SA"/>
        </w:rPr>
      </w:pPr>
      <w:hyperlink w:anchor="_Toc494014204" w:history="1">
        <w:r w:rsidR="00065C5B" w:rsidRPr="000413A8">
          <w:rPr>
            <w:rStyle w:val="Hyperlink"/>
          </w:rPr>
          <w:t>2.4.1</w:t>
        </w:r>
        <w:r w:rsidR="00065C5B">
          <w:rPr>
            <w:rFonts w:cstheme="minorBidi"/>
            <w:sz w:val="22"/>
            <w:szCs w:val="22"/>
            <w:lang w:eastAsia="zh-CN" w:bidi="ar-SA"/>
          </w:rPr>
          <w:tab/>
        </w:r>
        <w:r w:rsidR="00065C5B" w:rsidRPr="000413A8">
          <w:rPr>
            <w:rStyle w:val="Hyperlink"/>
          </w:rPr>
          <w:t>Impact of Variable Production Rate</w:t>
        </w:r>
        <w:r w:rsidR="00065C5B">
          <w:rPr>
            <w:webHidden/>
          </w:rPr>
          <w:tab/>
        </w:r>
        <w:r w:rsidR="00065C5B">
          <w:rPr>
            <w:webHidden/>
          </w:rPr>
          <w:fldChar w:fldCharType="begin"/>
        </w:r>
        <w:r w:rsidR="00065C5B">
          <w:rPr>
            <w:webHidden/>
          </w:rPr>
          <w:instrText xml:space="preserve"> PAGEREF _Toc494014204 \h </w:instrText>
        </w:r>
        <w:r w:rsidR="00065C5B">
          <w:rPr>
            <w:webHidden/>
          </w:rPr>
        </w:r>
        <w:r w:rsidR="00065C5B">
          <w:rPr>
            <w:webHidden/>
          </w:rPr>
          <w:fldChar w:fldCharType="separate"/>
        </w:r>
        <w:r w:rsidR="00024183">
          <w:rPr>
            <w:webHidden/>
          </w:rPr>
          <w:t>26</w:t>
        </w:r>
        <w:r w:rsidR="00065C5B">
          <w:rPr>
            <w:webHidden/>
          </w:rPr>
          <w:fldChar w:fldCharType="end"/>
        </w:r>
      </w:hyperlink>
    </w:p>
    <w:p w14:paraId="4A49B940" w14:textId="31B308BA" w:rsidR="00065C5B" w:rsidRDefault="00A53410">
      <w:pPr>
        <w:pStyle w:val="TOC3"/>
        <w:tabs>
          <w:tab w:val="left" w:pos="1440"/>
        </w:tabs>
        <w:rPr>
          <w:rFonts w:cstheme="minorBidi"/>
          <w:sz w:val="22"/>
          <w:szCs w:val="22"/>
          <w:lang w:eastAsia="zh-CN" w:bidi="ar-SA"/>
        </w:rPr>
      </w:pPr>
      <w:hyperlink w:anchor="_Toc494014205" w:history="1">
        <w:r w:rsidR="00065C5B" w:rsidRPr="000413A8">
          <w:rPr>
            <w:rStyle w:val="Hyperlink"/>
          </w:rPr>
          <w:t>2.4.2</w:t>
        </w:r>
        <w:r w:rsidR="00065C5B">
          <w:rPr>
            <w:rFonts w:cstheme="minorBidi"/>
            <w:sz w:val="22"/>
            <w:szCs w:val="22"/>
            <w:lang w:eastAsia="zh-CN" w:bidi="ar-SA"/>
          </w:rPr>
          <w:tab/>
        </w:r>
        <w:r w:rsidR="00065C5B" w:rsidRPr="000413A8">
          <w:rPr>
            <w:rStyle w:val="Hyperlink"/>
          </w:rPr>
          <w:t>Impact of Heterogeneous Permeability</w:t>
        </w:r>
        <w:r w:rsidR="00065C5B">
          <w:rPr>
            <w:webHidden/>
          </w:rPr>
          <w:tab/>
        </w:r>
        <w:r w:rsidR="00065C5B">
          <w:rPr>
            <w:webHidden/>
          </w:rPr>
          <w:fldChar w:fldCharType="begin"/>
        </w:r>
        <w:r w:rsidR="00065C5B">
          <w:rPr>
            <w:webHidden/>
          </w:rPr>
          <w:instrText xml:space="preserve"> PAGEREF _Toc494014205 \h </w:instrText>
        </w:r>
        <w:r w:rsidR="00065C5B">
          <w:rPr>
            <w:webHidden/>
          </w:rPr>
        </w:r>
        <w:r w:rsidR="00065C5B">
          <w:rPr>
            <w:webHidden/>
          </w:rPr>
          <w:fldChar w:fldCharType="separate"/>
        </w:r>
        <w:r w:rsidR="00024183">
          <w:rPr>
            <w:webHidden/>
          </w:rPr>
          <w:t>31</w:t>
        </w:r>
        <w:r w:rsidR="00065C5B">
          <w:rPr>
            <w:webHidden/>
          </w:rPr>
          <w:fldChar w:fldCharType="end"/>
        </w:r>
      </w:hyperlink>
    </w:p>
    <w:p w14:paraId="0954A438" w14:textId="22563437" w:rsidR="00065C5B" w:rsidRDefault="00A53410">
      <w:pPr>
        <w:pStyle w:val="TOC3"/>
        <w:tabs>
          <w:tab w:val="left" w:pos="1440"/>
        </w:tabs>
        <w:rPr>
          <w:rFonts w:cstheme="minorBidi"/>
          <w:sz w:val="22"/>
          <w:szCs w:val="22"/>
          <w:lang w:eastAsia="zh-CN" w:bidi="ar-SA"/>
        </w:rPr>
      </w:pPr>
      <w:hyperlink w:anchor="_Toc494014206" w:history="1">
        <w:r w:rsidR="00065C5B" w:rsidRPr="000413A8">
          <w:rPr>
            <w:rStyle w:val="Hyperlink"/>
          </w:rPr>
          <w:t>2.4.3</w:t>
        </w:r>
        <w:r w:rsidR="00065C5B">
          <w:rPr>
            <w:rFonts w:cstheme="minorBidi"/>
            <w:sz w:val="22"/>
            <w:szCs w:val="22"/>
            <w:lang w:eastAsia="zh-CN" w:bidi="ar-SA"/>
          </w:rPr>
          <w:tab/>
        </w:r>
        <w:r w:rsidR="00065C5B" w:rsidRPr="000413A8">
          <w:rPr>
            <w:rStyle w:val="Hyperlink"/>
          </w:rPr>
          <w:t>Impact of Heterogeneous Oil Saturation</w:t>
        </w:r>
        <w:r w:rsidR="00065C5B">
          <w:rPr>
            <w:webHidden/>
          </w:rPr>
          <w:tab/>
        </w:r>
        <w:r w:rsidR="00065C5B">
          <w:rPr>
            <w:webHidden/>
          </w:rPr>
          <w:fldChar w:fldCharType="begin"/>
        </w:r>
        <w:r w:rsidR="00065C5B">
          <w:rPr>
            <w:webHidden/>
          </w:rPr>
          <w:instrText xml:space="preserve"> PAGEREF _Toc494014206 \h </w:instrText>
        </w:r>
        <w:r w:rsidR="00065C5B">
          <w:rPr>
            <w:webHidden/>
          </w:rPr>
        </w:r>
        <w:r w:rsidR="00065C5B">
          <w:rPr>
            <w:webHidden/>
          </w:rPr>
          <w:fldChar w:fldCharType="separate"/>
        </w:r>
        <w:r w:rsidR="00024183">
          <w:rPr>
            <w:webHidden/>
          </w:rPr>
          <w:t>32</w:t>
        </w:r>
        <w:r w:rsidR="00065C5B">
          <w:rPr>
            <w:webHidden/>
          </w:rPr>
          <w:fldChar w:fldCharType="end"/>
        </w:r>
      </w:hyperlink>
    </w:p>
    <w:p w14:paraId="0F2CB544" w14:textId="6293F78B" w:rsidR="00065C5B" w:rsidRDefault="00A53410">
      <w:pPr>
        <w:pStyle w:val="TOC3"/>
        <w:tabs>
          <w:tab w:val="left" w:pos="1440"/>
        </w:tabs>
        <w:rPr>
          <w:rFonts w:cstheme="minorBidi"/>
          <w:sz w:val="22"/>
          <w:szCs w:val="22"/>
          <w:lang w:eastAsia="zh-CN" w:bidi="ar-SA"/>
        </w:rPr>
      </w:pPr>
      <w:hyperlink w:anchor="_Toc494014207" w:history="1">
        <w:r w:rsidR="00065C5B" w:rsidRPr="000413A8">
          <w:rPr>
            <w:rStyle w:val="Hyperlink"/>
          </w:rPr>
          <w:t>2.4.4</w:t>
        </w:r>
        <w:r w:rsidR="00065C5B">
          <w:rPr>
            <w:rFonts w:cstheme="minorBidi"/>
            <w:sz w:val="22"/>
            <w:szCs w:val="22"/>
            <w:lang w:eastAsia="zh-CN" w:bidi="ar-SA"/>
          </w:rPr>
          <w:tab/>
        </w:r>
        <w:r w:rsidR="00065C5B" w:rsidRPr="000413A8">
          <w:rPr>
            <w:rStyle w:val="Hyperlink"/>
          </w:rPr>
          <w:t>Impact of Dispersion</w:t>
        </w:r>
        <w:r w:rsidR="00065C5B">
          <w:rPr>
            <w:webHidden/>
          </w:rPr>
          <w:tab/>
        </w:r>
        <w:r w:rsidR="00065C5B">
          <w:rPr>
            <w:webHidden/>
          </w:rPr>
          <w:fldChar w:fldCharType="begin"/>
        </w:r>
        <w:r w:rsidR="00065C5B">
          <w:rPr>
            <w:webHidden/>
          </w:rPr>
          <w:instrText xml:space="preserve"> PAGEREF _Toc494014207 \h </w:instrText>
        </w:r>
        <w:r w:rsidR="00065C5B">
          <w:rPr>
            <w:webHidden/>
          </w:rPr>
        </w:r>
        <w:r w:rsidR="00065C5B">
          <w:rPr>
            <w:webHidden/>
          </w:rPr>
          <w:fldChar w:fldCharType="separate"/>
        </w:r>
        <w:r w:rsidR="00024183">
          <w:rPr>
            <w:webHidden/>
          </w:rPr>
          <w:t>34</w:t>
        </w:r>
        <w:r w:rsidR="00065C5B">
          <w:rPr>
            <w:webHidden/>
          </w:rPr>
          <w:fldChar w:fldCharType="end"/>
        </w:r>
      </w:hyperlink>
    </w:p>
    <w:p w14:paraId="413298AB" w14:textId="0EEA4658" w:rsidR="00065C5B" w:rsidRDefault="00A53410">
      <w:pPr>
        <w:pStyle w:val="TOC2"/>
        <w:rPr>
          <w:rFonts w:cstheme="minorBidi"/>
          <w:noProof/>
          <w:sz w:val="22"/>
          <w:szCs w:val="22"/>
          <w:lang w:eastAsia="zh-CN" w:bidi="ar-SA"/>
        </w:rPr>
      </w:pPr>
      <w:hyperlink w:anchor="_Toc494014208" w:history="1">
        <w:r w:rsidR="00065C5B" w:rsidRPr="000413A8">
          <w:rPr>
            <w:rStyle w:val="Hyperlink"/>
            <w:noProof/>
          </w:rPr>
          <w:t>2.5</w:t>
        </w:r>
        <w:r w:rsidR="00065C5B">
          <w:rPr>
            <w:rFonts w:cstheme="minorBidi"/>
            <w:noProof/>
            <w:sz w:val="22"/>
            <w:szCs w:val="22"/>
            <w:lang w:eastAsia="zh-CN" w:bidi="ar-SA"/>
          </w:rPr>
          <w:tab/>
        </w:r>
        <w:r w:rsidR="00065C5B" w:rsidRPr="000413A8">
          <w:rPr>
            <w:rStyle w:val="Hyperlink"/>
            <w:noProof/>
          </w:rPr>
          <w:t>Conclusions</w:t>
        </w:r>
        <w:r w:rsidR="00065C5B">
          <w:rPr>
            <w:noProof/>
            <w:webHidden/>
          </w:rPr>
          <w:tab/>
        </w:r>
        <w:r w:rsidR="00065C5B">
          <w:rPr>
            <w:noProof/>
            <w:webHidden/>
          </w:rPr>
          <w:fldChar w:fldCharType="begin"/>
        </w:r>
        <w:r w:rsidR="00065C5B">
          <w:rPr>
            <w:noProof/>
            <w:webHidden/>
          </w:rPr>
          <w:instrText xml:space="preserve"> PAGEREF _Toc494014208 \h </w:instrText>
        </w:r>
        <w:r w:rsidR="00065C5B">
          <w:rPr>
            <w:noProof/>
            <w:webHidden/>
          </w:rPr>
        </w:r>
        <w:r w:rsidR="00065C5B">
          <w:rPr>
            <w:noProof/>
            <w:webHidden/>
          </w:rPr>
          <w:fldChar w:fldCharType="separate"/>
        </w:r>
        <w:r w:rsidR="00024183">
          <w:rPr>
            <w:noProof/>
            <w:webHidden/>
          </w:rPr>
          <w:t>35</w:t>
        </w:r>
        <w:r w:rsidR="00065C5B">
          <w:rPr>
            <w:noProof/>
            <w:webHidden/>
          </w:rPr>
          <w:fldChar w:fldCharType="end"/>
        </w:r>
      </w:hyperlink>
    </w:p>
    <w:p w14:paraId="4D179CFB" w14:textId="56796707" w:rsidR="00065C5B" w:rsidRDefault="00A53410">
      <w:pPr>
        <w:pStyle w:val="TOC2"/>
        <w:rPr>
          <w:rFonts w:cstheme="minorBidi"/>
          <w:noProof/>
          <w:sz w:val="22"/>
          <w:szCs w:val="22"/>
          <w:lang w:eastAsia="zh-CN" w:bidi="ar-SA"/>
        </w:rPr>
      </w:pPr>
      <w:hyperlink w:anchor="_Toc494014209" w:history="1">
        <w:r w:rsidR="00065C5B" w:rsidRPr="000413A8">
          <w:rPr>
            <w:rStyle w:val="Hyperlink"/>
            <w:noProof/>
          </w:rPr>
          <w:t>Nomenclature</w:t>
        </w:r>
        <w:r w:rsidR="00065C5B">
          <w:rPr>
            <w:noProof/>
            <w:webHidden/>
          </w:rPr>
          <w:tab/>
        </w:r>
        <w:r w:rsidR="00065C5B">
          <w:rPr>
            <w:noProof/>
            <w:webHidden/>
          </w:rPr>
          <w:fldChar w:fldCharType="begin"/>
        </w:r>
        <w:r w:rsidR="00065C5B">
          <w:rPr>
            <w:noProof/>
            <w:webHidden/>
          </w:rPr>
          <w:instrText xml:space="preserve"> PAGEREF _Toc494014209 \h </w:instrText>
        </w:r>
        <w:r w:rsidR="00065C5B">
          <w:rPr>
            <w:noProof/>
            <w:webHidden/>
          </w:rPr>
        </w:r>
        <w:r w:rsidR="00065C5B">
          <w:rPr>
            <w:noProof/>
            <w:webHidden/>
          </w:rPr>
          <w:fldChar w:fldCharType="separate"/>
        </w:r>
        <w:r w:rsidR="00024183">
          <w:rPr>
            <w:noProof/>
            <w:webHidden/>
          </w:rPr>
          <w:t>36</w:t>
        </w:r>
        <w:r w:rsidR="00065C5B">
          <w:rPr>
            <w:noProof/>
            <w:webHidden/>
          </w:rPr>
          <w:fldChar w:fldCharType="end"/>
        </w:r>
      </w:hyperlink>
    </w:p>
    <w:p w14:paraId="1DEE2041" w14:textId="21BB9BF9" w:rsidR="00065C5B" w:rsidRDefault="00A53410">
      <w:pPr>
        <w:pStyle w:val="TOC1"/>
        <w:tabs>
          <w:tab w:val="left" w:pos="1440"/>
        </w:tabs>
        <w:rPr>
          <w:rFonts w:cstheme="minorBidi"/>
          <w:sz w:val="22"/>
          <w:szCs w:val="22"/>
          <w:lang w:eastAsia="zh-CN" w:bidi="ar-SA"/>
        </w:rPr>
      </w:pPr>
      <w:hyperlink w:anchor="_Toc494014210" w:history="1">
        <w:r w:rsidR="00065C5B" w:rsidRPr="000413A8">
          <w:rPr>
            <w:rStyle w:val="Hyperlink"/>
          </w:rPr>
          <w:t>Chapter 3.</w:t>
        </w:r>
        <w:r w:rsidR="00065C5B">
          <w:rPr>
            <w:rFonts w:cstheme="minorBidi"/>
            <w:sz w:val="22"/>
            <w:szCs w:val="22"/>
            <w:lang w:eastAsia="zh-CN" w:bidi="ar-SA"/>
          </w:rPr>
          <w:tab/>
        </w:r>
        <w:r w:rsidR="00065C5B" w:rsidRPr="000413A8">
          <w:rPr>
            <w:rStyle w:val="Hyperlink"/>
          </w:rPr>
          <w:t>Estimation of Hydraulic Fracture Volume utilizing Partitioning Chemical Tracer in Shale Gas Formation</w:t>
        </w:r>
        <w:r w:rsidR="00065C5B">
          <w:rPr>
            <w:webHidden/>
          </w:rPr>
          <w:tab/>
        </w:r>
        <w:r w:rsidR="00065C5B">
          <w:rPr>
            <w:webHidden/>
          </w:rPr>
          <w:fldChar w:fldCharType="begin"/>
        </w:r>
        <w:r w:rsidR="00065C5B">
          <w:rPr>
            <w:webHidden/>
          </w:rPr>
          <w:instrText xml:space="preserve"> PAGEREF _Toc494014210 \h </w:instrText>
        </w:r>
        <w:r w:rsidR="00065C5B">
          <w:rPr>
            <w:webHidden/>
          </w:rPr>
        </w:r>
        <w:r w:rsidR="00065C5B">
          <w:rPr>
            <w:webHidden/>
          </w:rPr>
          <w:fldChar w:fldCharType="separate"/>
        </w:r>
        <w:r w:rsidR="00024183">
          <w:rPr>
            <w:webHidden/>
          </w:rPr>
          <w:t>38</w:t>
        </w:r>
        <w:r w:rsidR="00065C5B">
          <w:rPr>
            <w:webHidden/>
          </w:rPr>
          <w:fldChar w:fldCharType="end"/>
        </w:r>
      </w:hyperlink>
    </w:p>
    <w:p w14:paraId="535813A3" w14:textId="56D29C46" w:rsidR="00065C5B" w:rsidRDefault="00A53410">
      <w:pPr>
        <w:pStyle w:val="TOC2"/>
        <w:rPr>
          <w:rFonts w:cstheme="minorBidi"/>
          <w:noProof/>
          <w:sz w:val="22"/>
          <w:szCs w:val="22"/>
          <w:lang w:eastAsia="zh-CN" w:bidi="ar-SA"/>
        </w:rPr>
      </w:pPr>
      <w:hyperlink w:anchor="_Toc494014211" w:history="1">
        <w:r w:rsidR="00065C5B" w:rsidRPr="000413A8">
          <w:rPr>
            <w:rStyle w:val="Hyperlink"/>
            <w:noProof/>
          </w:rPr>
          <w:t>3.1</w:t>
        </w:r>
        <w:r w:rsidR="00065C5B">
          <w:rPr>
            <w:rFonts w:cstheme="minorBidi"/>
            <w:noProof/>
            <w:sz w:val="22"/>
            <w:szCs w:val="22"/>
            <w:lang w:eastAsia="zh-CN" w:bidi="ar-SA"/>
          </w:rPr>
          <w:tab/>
        </w:r>
        <w:r w:rsidR="00065C5B" w:rsidRPr="000413A8">
          <w:rPr>
            <w:rStyle w:val="Hyperlink"/>
            <w:noProof/>
          </w:rPr>
          <w:t>Introduction</w:t>
        </w:r>
        <w:r w:rsidR="00065C5B">
          <w:rPr>
            <w:noProof/>
            <w:webHidden/>
          </w:rPr>
          <w:tab/>
        </w:r>
        <w:r w:rsidR="00065C5B">
          <w:rPr>
            <w:noProof/>
            <w:webHidden/>
          </w:rPr>
          <w:fldChar w:fldCharType="begin"/>
        </w:r>
        <w:r w:rsidR="00065C5B">
          <w:rPr>
            <w:noProof/>
            <w:webHidden/>
          </w:rPr>
          <w:instrText xml:space="preserve"> PAGEREF _Toc494014211 \h </w:instrText>
        </w:r>
        <w:r w:rsidR="00065C5B">
          <w:rPr>
            <w:noProof/>
            <w:webHidden/>
          </w:rPr>
        </w:r>
        <w:r w:rsidR="00065C5B">
          <w:rPr>
            <w:noProof/>
            <w:webHidden/>
          </w:rPr>
          <w:fldChar w:fldCharType="separate"/>
        </w:r>
        <w:r w:rsidR="00024183">
          <w:rPr>
            <w:noProof/>
            <w:webHidden/>
          </w:rPr>
          <w:t>38</w:t>
        </w:r>
        <w:r w:rsidR="00065C5B">
          <w:rPr>
            <w:noProof/>
            <w:webHidden/>
          </w:rPr>
          <w:fldChar w:fldCharType="end"/>
        </w:r>
      </w:hyperlink>
    </w:p>
    <w:p w14:paraId="74F62CA1" w14:textId="68A913AD" w:rsidR="00065C5B" w:rsidRDefault="00A53410">
      <w:pPr>
        <w:pStyle w:val="TOC2"/>
        <w:rPr>
          <w:rFonts w:cstheme="minorBidi"/>
          <w:noProof/>
          <w:sz w:val="22"/>
          <w:szCs w:val="22"/>
          <w:lang w:eastAsia="zh-CN" w:bidi="ar-SA"/>
        </w:rPr>
      </w:pPr>
      <w:hyperlink w:anchor="_Toc494014212" w:history="1">
        <w:r w:rsidR="00065C5B" w:rsidRPr="000413A8">
          <w:rPr>
            <w:rStyle w:val="Hyperlink"/>
            <w:noProof/>
          </w:rPr>
          <w:t>3.2</w:t>
        </w:r>
        <w:r w:rsidR="00065C5B">
          <w:rPr>
            <w:rFonts w:cstheme="minorBidi"/>
            <w:noProof/>
            <w:sz w:val="22"/>
            <w:szCs w:val="22"/>
            <w:lang w:eastAsia="zh-CN" w:bidi="ar-SA"/>
          </w:rPr>
          <w:tab/>
        </w:r>
        <w:r w:rsidR="00065C5B" w:rsidRPr="000413A8">
          <w:rPr>
            <w:rStyle w:val="Hyperlink"/>
            <w:noProof/>
          </w:rPr>
          <w:t>Methodology</w:t>
        </w:r>
        <w:r w:rsidR="00065C5B">
          <w:rPr>
            <w:noProof/>
            <w:webHidden/>
          </w:rPr>
          <w:tab/>
        </w:r>
        <w:r w:rsidR="00065C5B">
          <w:rPr>
            <w:noProof/>
            <w:webHidden/>
          </w:rPr>
          <w:fldChar w:fldCharType="begin"/>
        </w:r>
        <w:r w:rsidR="00065C5B">
          <w:rPr>
            <w:noProof/>
            <w:webHidden/>
          </w:rPr>
          <w:instrText xml:space="preserve"> PAGEREF _Toc494014212 \h </w:instrText>
        </w:r>
        <w:r w:rsidR="00065C5B">
          <w:rPr>
            <w:noProof/>
            <w:webHidden/>
          </w:rPr>
        </w:r>
        <w:r w:rsidR="00065C5B">
          <w:rPr>
            <w:noProof/>
            <w:webHidden/>
          </w:rPr>
          <w:fldChar w:fldCharType="separate"/>
        </w:r>
        <w:r w:rsidR="00024183">
          <w:rPr>
            <w:noProof/>
            <w:webHidden/>
          </w:rPr>
          <w:t>39</w:t>
        </w:r>
        <w:r w:rsidR="00065C5B">
          <w:rPr>
            <w:noProof/>
            <w:webHidden/>
          </w:rPr>
          <w:fldChar w:fldCharType="end"/>
        </w:r>
      </w:hyperlink>
    </w:p>
    <w:p w14:paraId="231B0338" w14:textId="6917400B" w:rsidR="00065C5B" w:rsidRDefault="00A53410">
      <w:pPr>
        <w:pStyle w:val="TOC3"/>
        <w:tabs>
          <w:tab w:val="left" w:pos="1440"/>
        </w:tabs>
        <w:rPr>
          <w:rFonts w:cstheme="minorBidi"/>
          <w:sz w:val="22"/>
          <w:szCs w:val="22"/>
          <w:lang w:eastAsia="zh-CN" w:bidi="ar-SA"/>
        </w:rPr>
      </w:pPr>
      <w:hyperlink w:anchor="_Toc494014213" w:history="1">
        <w:r w:rsidR="00065C5B" w:rsidRPr="000413A8">
          <w:rPr>
            <w:rStyle w:val="Hyperlink"/>
          </w:rPr>
          <w:t>3.2.1</w:t>
        </w:r>
        <w:r w:rsidR="00065C5B">
          <w:rPr>
            <w:rFonts w:cstheme="minorBidi"/>
            <w:sz w:val="22"/>
            <w:szCs w:val="22"/>
            <w:lang w:eastAsia="zh-CN" w:bidi="ar-SA"/>
          </w:rPr>
          <w:tab/>
        </w:r>
        <w:r w:rsidR="00065C5B" w:rsidRPr="000413A8">
          <w:rPr>
            <w:rStyle w:val="Hyperlink"/>
          </w:rPr>
          <w:t>Swept Volume Calculation</w:t>
        </w:r>
        <w:r w:rsidR="00065C5B">
          <w:rPr>
            <w:webHidden/>
          </w:rPr>
          <w:tab/>
        </w:r>
        <w:r w:rsidR="00065C5B">
          <w:rPr>
            <w:webHidden/>
          </w:rPr>
          <w:fldChar w:fldCharType="begin"/>
        </w:r>
        <w:r w:rsidR="00065C5B">
          <w:rPr>
            <w:webHidden/>
          </w:rPr>
          <w:instrText xml:space="preserve"> PAGEREF _Toc494014213 \h </w:instrText>
        </w:r>
        <w:r w:rsidR="00065C5B">
          <w:rPr>
            <w:webHidden/>
          </w:rPr>
        </w:r>
        <w:r w:rsidR="00065C5B">
          <w:rPr>
            <w:webHidden/>
          </w:rPr>
          <w:fldChar w:fldCharType="separate"/>
        </w:r>
        <w:r w:rsidR="00024183">
          <w:rPr>
            <w:webHidden/>
          </w:rPr>
          <w:t>40</w:t>
        </w:r>
        <w:r w:rsidR="00065C5B">
          <w:rPr>
            <w:webHidden/>
          </w:rPr>
          <w:fldChar w:fldCharType="end"/>
        </w:r>
      </w:hyperlink>
    </w:p>
    <w:p w14:paraId="5E573004" w14:textId="2EF1A8B3" w:rsidR="00065C5B" w:rsidRDefault="00A53410">
      <w:pPr>
        <w:pStyle w:val="TOC3"/>
        <w:tabs>
          <w:tab w:val="left" w:pos="1440"/>
        </w:tabs>
        <w:rPr>
          <w:rFonts w:cstheme="minorBidi"/>
          <w:sz w:val="22"/>
          <w:szCs w:val="22"/>
          <w:lang w:eastAsia="zh-CN" w:bidi="ar-SA"/>
        </w:rPr>
      </w:pPr>
      <w:hyperlink w:anchor="_Toc494014214" w:history="1">
        <w:r w:rsidR="00065C5B" w:rsidRPr="000413A8">
          <w:rPr>
            <w:rStyle w:val="Hyperlink"/>
          </w:rPr>
          <w:t>3.2.2</w:t>
        </w:r>
        <w:r w:rsidR="00065C5B">
          <w:rPr>
            <w:rFonts w:cstheme="minorBidi"/>
            <w:sz w:val="22"/>
            <w:szCs w:val="22"/>
            <w:lang w:eastAsia="zh-CN" w:bidi="ar-SA"/>
          </w:rPr>
          <w:tab/>
        </w:r>
        <w:r w:rsidR="00065C5B" w:rsidRPr="000413A8">
          <w:rPr>
            <w:rStyle w:val="Hyperlink"/>
          </w:rPr>
          <w:t>Exponential Decline</w:t>
        </w:r>
        <w:r w:rsidR="00065C5B">
          <w:rPr>
            <w:webHidden/>
          </w:rPr>
          <w:tab/>
        </w:r>
        <w:r w:rsidR="00065C5B">
          <w:rPr>
            <w:webHidden/>
          </w:rPr>
          <w:fldChar w:fldCharType="begin"/>
        </w:r>
        <w:r w:rsidR="00065C5B">
          <w:rPr>
            <w:webHidden/>
          </w:rPr>
          <w:instrText xml:space="preserve"> PAGEREF _Toc494014214 \h </w:instrText>
        </w:r>
        <w:r w:rsidR="00065C5B">
          <w:rPr>
            <w:webHidden/>
          </w:rPr>
        </w:r>
        <w:r w:rsidR="00065C5B">
          <w:rPr>
            <w:webHidden/>
          </w:rPr>
          <w:fldChar w:fldCharType="separate"/>
        </w:r>
        <w:r w:rsidR="00024183">
          <w:rPr>
            <w:webHidden/>
          </w:rPr>
          <w:t>41</w:t>
        </w:r>
        <w:r w:rsidR="00065C5B">
          <w:rPr>
            <w:webHidden/>
          </w:rPr>
          <w:fldChar w:fldCharType="end"/>
        </w:r>
      </w:hyperlink>
    </w:p>
    <w:p w14:paraId="51D9FDE4" w14:textId="7FE90A1D" w:rsidR="00065C5B" w:rsidRDefault="00A53410">
      <w:pPr>
        <w:pStyle w:val="TOC2"/>
        <w:rPr>
          <w:rFonts w:cstheme="minorBidi"/>
          <w:noProof/>
          <w:sz w:val="22"/>
          <w:szCs w:val="22"/>
          <w:lang w:eastAsia="zh-CN" w:bidi="ar-SA"/>
        </w:rPr>
      </w:pPr>
      <w:hyperlink w:anchor="_Toc494014215" w:history="1">
        <w:r w:rsidR="00065C5B" w:rsidRPr="000413A8">
          <w:rPr>
            <w:rStyle w:val="Hyperlink"/>
            <w:noProof/>
          </w:rPr>
          <w:t>3.3</w:t>
        </w:r>
        <w:r w:rsidR="00065C5B">
          <w:rPr>
            <w:rFonts w:cstheme="minorBidi"/>
            <w:noProof/>
            <w:sz w:val="22"/>
            <w:szCs w:val="22"/>
            <w:lang w:eastAsia="zh-CN" w:bidi="ar-SA"/>
          </w:rPr>
          <w:tab/>
        </w:r>
        <w:r w:rsidR="00065C5B" w:rsidRPr="000413A8">
          <w:rPr>
            <w:rStyle w:val="Hyperlink"/>
            <w:noProof/>
          </w:rPr>
          <w:t>Validation and Discussion</w:t>
        </w:r>
        <w:r w:rsidR="00065C5B">
          <w:rPr>
            <w:noProof/>
            <w:webHidden/>
          </w:rPr>
          <w:tab/>
        </w:r>
        <w:r w:rsidR="00065C5B">
          <w:rPr>
            <w:noProof/>
            <w:webHidden/>
          </w:rPr>
          <w:fldChar w:fldCharType="begin"/>
        </w:r>
        <w:r w:rsidR="00065C5B">
          <w:rPr>
            <w:noProof/>
            <w:webHidden/>
          </w:rPr>
          <w:instrText xml:space="preserve"> PAGEREF _Toc494014215 \h </w:instrText>
        </w:r>
        <w:r w:rsidR="00065C5B">
          <w:rPr>
            <w:noProof/>
            <w:webHidden/>
          </w:rPr>
        </w:r>
        <w:r w:rsidR="00065C5B">
          <w:rPr>
            <w:noProof/>
            <w:webHidden/>
          </w:rPr>
          <w:fldChar w:fldCharType="separate"/>
        </w:r>
        <w:r w:rsidR="00024183">
          <w:rPr>
            <w:noProof/>
            <w:webHidden/>
          </w:rPr>
          <w:t>41</w:t>
        </w:r>
        <w:r w:rsidR="00065C5B">
          <w:rPr>
            <w:noProof/>
            <w:webHidden/>
          </w:rPr>
          <w:fldChar w:fldCharType="end"/>
        </w:r>
      </w:hyperlink>
    </w:p>
    <w:p w14:paraId="32EDF802" w14:textId="108009AC" w:rsidR="00065C5B" w:rsidRDefault="00A53410">
      <w:pPr>
        <w:pStyle w:val="TOC3"/>
        <w:tabs>
          <w:tab w:val="left" w:pos="1440"/>
        </w:tabs>
        <w:rPr>
          <w:rFonts w:cstheme="minorBidi"/>
          <w:sz w:val="22"/>
          <w:szCs w:val="22"/>
          <w:lang w:eastAsia="zh-CN" w:bidi="ar-SA"/>
        </w:rPr>
      </w:pPr>
      <w:hyperlink w:anchor="_Toc494014216" w:history="1">
        <w:r w:rsidR="00065C5B" w:rsidRPr="000413A8">
          <w:rPr>
            <w:rStyle w:val="Hyperlink"/>
          </w:rPr>
          <w:t>3.3.1</w:t>
        </w:r>
        <w:r w:rsidR="00065C5B">
          <w:rPr>
            <w:rFonts w:cstheme="minorBidi"/>
            <w:sz w:val="22"/>
            <w:szCs w:val="22"/>
            <w:lang w:eastAsia="zh-CN" w:bidi="ar-SA"/>
          </w:rPr>
          <w:tab/>
        </w:r>
        <w:r w:rsidR="00065C5B" w:rsidRPr="000413A8">
          <w:rPr>
            <w:rStyle w:val="Hyperlink"/>
          </w:rPr>
          <w:t>Hydraulic Fracture Volume Estimation</w:t>
        </w:r>
        <w:r w:rsidR="00065C5B">
          <w:rPr>
            <w:webHidden/>
          </w:rPr>
          <w:tab/>
        </w:r>
        <w:r w:rsidR="00065C5B">
          <w:rPr>
            <w:webHidden/>
          </w:rPr>
          <w:fldChar w:fldCharType="begin"/>
        </w:r>
        <w:r w:rsidR="00065C5B">
          <w:rPr>
            <w:webHidden/>
          </w:rPr>
          <w:instrText xml:space="preserve"> PAGEREF _Toc494014216 \h </w:instrText>
        </w:r>
        <w:r w:rsidR="00065C5B">
          <w:rPr>
            <w:webHidden/>
          </w:rPr>
        </w:r>
        <w:r w:rsidR="00065C5B">
          <w:rPr>
            <w:webHidden/>
          </w:rPr>
          <w:fldChar w:fldCharType="separate"/>
        </w:r>
        <w:r w:rsidR="00024183">
          <w:rPr>
            <w:webHidden/>
          </w:rPr>
          <w:t>41</w:t>
        </w:r>
        <w:r w:rsidR="00065C5B">
          <w:rPr>
            <w:webHidden/>
          </w:rPr>
          <w:fldChar w:fldCharType="end"/>
        </w:r>
      </w:hyperlink>
    </w:p>
    <w:p w14:paraId="6E5038F2" w14:textId="0FF710A9" w:rsidR="00065C5B" w:rsidRDefault="00A53410">
      <w:pPr>
        <w:pStyle w:val="TOC3"/>
        <w:tabs>
          <w:tab w:val="left" w:pos="1440"/>
        </w:tabs>
        <w:rPr>
          <w:rFonts w:cstheme="minorBidi"/>
          <w:sz w:val="22"/>
          <w:szCs w:val="22"/>
          <w:lang w:eastAsia="zh-CN" w:bidi="ar-SA"/>
        </w:rPr>
      </w:pPr>
      <w:hyperlink w:anchor="_Toc494014217" w:history="1">
        <w:r w:rsidR="00065C5B" w:rsidRPr="000413A8">
          <w:rPr>
            <w:rStyle w:val="Hyperlink"/>
          </w:rPr>
          <w:t>3.3.2</w:t>
        </w:r>
        <w:r w:rsidR="00065C5B">
          <w:rPr>
            <w:rFonts w:cstheme="minorBidi"/>
            <w:sz w:val="22"/>
            <w:szCs w:val="22"/>
            <w:lang w:eastAsia="zh-CN" w:bidi="ar-SA"/>
          </w:rPr>
          <w:tab/>
        </w:r>
        <w:r w:rsidR="00065C5B" w:rsidRPr="000413A8">
          <w:rPr>
            <w:rStyle w:val="Hyperlink"/>
          </w:rPr>
          <w:t>Matrix Impact</w:t>
        </w:r>
        <w:r w:rsidR="00065C5B">
          <w:rPr>
            <w:webHidden/>
          </w:rPr>
          <w:tab/>
        </w:r>
        <w:r w:rsidR="00065C5B">
          <w:rPr>
            <w:webHidden/>
          </w:rPr>
          <w:fldChar w:fldCharType="begin"/>
        </w:r>
        <w:r w:rsidR="00065C5B">
          <w:rPr>
            <w:webHidden/>
          </w:rPr>
          <w:instrText xml:space="preserve"> PAGEREF _Toc494014217 \h </w:instrText>
        </w:r>
        <w:r w:rsidR="00065C5B">
          <w:rPr>
            <w:webHidden/>
          </w:rPr>
        </w:r>
        <w:r w:rsidR="00065C5B">
          <w:rPr>
            <w:webHidden/>
          </w:rPr>
          <w:fldChar w:fldCharType="separate"/>
        </w:r>
        <w:r w:rsidR="00024183">
          <w:rPr>
            <w:webHidden/>
          </w:rPr>
          <w:t>48</w:t>
        </w:r>
        <w:r w:rsidR="00065C5B">
          <w:rPr>
            <w:webHidden/>
          </w:rPr>
          <w:fldChar w:fldCharType="end"/>
        </w:r>
      </w:hyperlink>
    </w:p>
    <w:p w14:paraId="16A57C0D" w14:textId="0A3D090B" w:rsidR="00065C5B" w:rsidRDefault="00A53410">
      <w:pPr>
        <w:pStyle w:val="TOC3"/>
        <w:tabs>
          <w:tab w:val="left" w:pos="1440"/>
        </w:tabs>
        <w:rPr>
          <w:rFonts w:cstheme="minorBidi"/>
          <w:sz w:val="22"/>
          <w:szCs w:val="22"/>
          <w:lang w:eastAsia="zh-CN" w:bidi="ar-SA"/>
        </w:rPr>
      </w:pPr>
      <w:hyperlink w:anchor="_Toc494014218" w:history="1">
        <w:r w:rsidR="00065C5B" w:rsidRPr="000413A8">
          <w:rPr>
            <w:rStyle w:val="Hyperlink"/>
          </w:rPr>
          <w:t>3.3.3</w:t>
        </w:r>
        <w:r w:rsidR="00065C5B">
          <w:rPr>
            <w:rFonts w:cstheme="minorBidi"/>
            <w:sz w:val="22"/>
            <w:szCs w:val="22"/>
            <w:lang w:eastAsia="zh-CN" w:bidi="ar-SA"/>
          </w:rPr>
          <w:tab/>
        </w:r>
        <w:r w:rsidR="00065C5B" w:rsidRPr="000413A8">
          <w:rPr>
            <w:rStyle w:val="Hyperlink"/>
          </w:rPr>
          <w:t>Impact of Partition Coefficient (K)</w:t>
        </w:r>
        <w:r w:rsidR="00065C5B">
          <w:rPr>
            <w:webHidden/>
          </w:rPr>
          <w:tab/>
        </w:r>
        <w:r w:rsidR="00065C5B">
          <w:rPr>
            <w:webHidden/>
          </w:rPr>
          <w:fldChar w:fldCharType="begin"/>
        </w:r>
        <w:r w:rsidR="00065C5B">
          <w:rPr>
            <w:webHidden/>
          </w:rPr>
          <w:instrText xml:space="preserve"> PAGEREF _Toc494014218 \h </w:instrText>
        </w:r>
        <w:r w:rsidR="00065C5B">
          <w:rPr>
            <w:webHidden/>
          </w:rPr>
        </w:r>
        <w:r w:rsidR="00065C5B">
          <w:rPr>
            <w:webHidden/>
          </w:rPr>
          <w:fldChar w:fldCharType="separate"/>
        </w:r>
        <w:r w:rsidR="00024183">
          <w:rPr>
            <w:webHidden/>
          </w:rPr>
          <w:t>56</w:t>
        </w:r>
        <w:r w:rsidR="00065C5B">
          <w:rPr>
            <w:webHidden/>
          </w:rPr>
          <w:fldChar w:fldCharType="end"/>
        </w:r>
      </w:hyperlink>
    </w:p>
    <w:p w14:paraId="6594B3FF" w14:textId="50448203" w:rsidR="00065C5B" w:rsidRDefault="00A53410">
      <w:pPr>
        <w:pStyle w:val="TOC3"/>
        <w:tabs>
          <w:tab w:val="left" w:pos="1440"/>
        </w:tabs>
        <w:rPr>
          <w:rFonts w:cstheme="minorBidi"/>
          <w:sz w:val="22"/>
          <w:szCs w:val="22"/>
          <w:lang w:eastAsia="zh-CN" w:bidi="ar-SA"/>
        </w:rPr>
      </w:pPr>
      <w:hyperlink w:anchor="_Toc494014219" w:history="1">
        <w:r w:rsidR="00065C5B" w:rsidRPr="000413A8">
          <w:rPr>
            <w:rStyle w:val="Hyperlink"/>
          </w:rPr>
          <w:t>3.3.4</w:t>
        </w:r>
        <w:r w:rsidR="00065C5B">
          <w:rPr>
            <w:rFonts w:cstheme="minorBidi"/>
            <w:sz w:val="22"/>
            <w:szCs w:val="22"/>
            <w:lang w:eastAsia="zh-CN" w:bidi="ar-SA"/>
          </w:rPr>
          <w:tab/>
        </w:r>
        <w:r w:rsidR="00065C5B" w:rsidRPr="000413A8">
          <w:rPr>
            <w:rStyle w:val="Hyperlink"/>
          </w:rPr>
          <w:t>Impact of Adsorption</w:t>
        </w:r>
        <w:r w:rsidR="00065C5B">
          <w:rPr>
            <w:webHidden/>
          </w:rPr>
          <w:tab/>
        </w:r>
        <w:r w:rsidR="00065C5B">
          <w:rPr>
            <w:webHidden/>
          </w:rPr>
          <w:fldChar w:fldCharType="begin"/>
        </w:r>
        <w:r w:rsidR="00065C5B">
          <w:rPr>
            <w:webHidden/>
          </w:rPr>
          <w:instrText xml:space="preserve"> PAGEREF _Toc494014219 \h </w:instrText>
        </w:r>
        <w:r w:rsidR="00065C5B">
          <w:rPr>
            <w:webHidden/>
          </w:rPr>
        </w:r>
        <w:r w:rsidR="00065C5B">
          <w:rPr>
            <w:webHidden/>
          </w:rPr>
          <w:fldChar w:fldCharType="separate"/>
        </w:r>
        <w:r w:rsidR="00024183">
          <w:rPr>
            <w:webHidden/>
          </w:rPr>
          <w:t>61</w:t>
        </w:r>
        <w:r w:rsidR="00065C5B">
          <w:rPr>
            <w:webHidden/>
          </w:rPr>
          <w:fldChar w:fldCharType="end"/>
        </w:r>
      </w:hyperlink>
    </w:p>
    <w:p w14:paraId="14CA1D19" w14:textId="6A528666" w:rsidR="00065C5B" w:rsidRDefault="00A53410">
      <w:pPr>
        <w:pStyle w:val="TOC2"/>
        <w:rPr>
          <w:rFonts w:cstheme="minorBidi"/>
          <w:noProof/>
          <w:sz w:val="22"/>
          <w:szCs w:val="22"/>
          <w:lang w:eastAsia="zh-CN" w:bidi="ar-SA"/>
        </w:rPr>
      </w:pPr>
      <w:hyperlink w:anchor="_Toc494014220" w:history="1">
        <w:r w:rsidR="00065C5B" w:rsidRPr="000413A8">
          <w:rPr>
            <w:rStyle w:val="Hyperlink"/>
            <w:noProof/>
          </w:rPr>
          <w:t>3.4</w:t>
        </w:r>
        <w:r w:rsidR="00065C5B">
          <w:rPr>
            <w:rFonts w:cstheme="minorBidi"/>
            <w:noProof/>
            <w:sz w:val="22"/>
            <w:szCs w:val="22"/>
            <w:lang w:eastAsia="zh-CN" w:bidi="ar-SA"/>
          </w:rPr>
          <w:tab/>
        </w:r>
        <w:r w:rsidR="00065C5B" w:rsidRPr="000413A8">
          <w:rPr>
            <w:rStyle w:val="Hyperlink"/>
            <w:noProof/>
          </w:rPr>
          <w:t>Conclusion</w:t>
        </w:r>
        <w:r w:rsidR="00065C5B">
          <w:rPr>
            <w:noProof/>
            <w:webHidden/>
          </w:rPr>
          <w:tab/>
        </w:r>
        <w:r w:rsidR="00065C5B">
          <w:rPr>
            <w:noProof/>
            <w:webHidden/>
          </w:rPr>
          <w:fldChar w:fldCharType="begin"/>
        </w:r>
        <w:r w:rsidR="00065C5B">
          <w:rPr>
            <w:noProof/>
            <w:webHidden/>
          </w:rPr>
          <w:instrText xml:space="preserve"> PAGEREF _Toc494014220 \h </w:instrText>
        </w:r>
        <w:r w:rsidR="00065C5B">
          <w:rPr>
            <w:noProof/>
            <w:webHidden/>
          </w:rPr>
        </w:r>
        <w:r w:rsidR="00065C5B">
          <w:rPr>
            <w:noProof/>
            <w:webHidden/>
          </w:rPr>
          <w:fldChar w:fldCharType="separate"/>
        </w:r>
        <w:r w:rsidR="00024183">
          <w:rPr>
            <w:noProof/>
            <w:webHidden/>
          </w:rPr>
          <w:t>64</w:t>
        </w:r>
        <w:r w:rsidR="00065C5B">
          <w:rPr>
            <w:noProof/>
            <w:webHidden/>
          </w:rPr>
          <w:fldChar w:fldCharType="end"/>
        </w:r>
      </w:hyperlink>
    </w:p>
    <w:p w14:paraId="28CB0B4B" w14:textId="54969DB7" w:rsidR="00065C5B" w:rsidRDefault="00A53410">
      <w:pPr>
        <w:pStyle w:val="TOC2"/>
        <w:rPr>
          <w:rFonts w:cstheme="minorBidi"/>
          <w:noProof/>
          <w:sz w:val="22"/>
          <w:szCs w:val="22"/>
          <w:lang w:eastAsia="zh-CN" w:bidi="ar-SA"/>
        </w:rPr>
      </w:pPr>
      <w:hyperlink w:anchor="_Toc494014221" w:history="1">
        <w:r w:rsidR="00065C5B" w:rsidRPr="000413A8">
          <w:rPr>
            <w:rStyle w:val="Hyperlink"/>
            <w:noProof/>
          </w:rPr>
          <w:t>Nomenclature</w:t>
        </w:r>
        <w:r w:rsidR="00065C5B">
          <w:rPr>
            <w:noProof/>
            <w:webHidden/>
          </w:rPr>
          <w:tab/>
        </w:r>
        <w:r w:rsidR="00065C5B">
          <w:rPr>
            <w:noProof/>
            <w:webHidden/>
          </w:rPr>
          <w:fldChar w:fldCharType="begin"/>
        </w:r>
        <w:r w:rsidR="00065C5B">
          <w:rPr>
            <w:noProof/>
            <w:webHidden/>
          </w:rPr>
          <w:instrText xml:space="preserve"> PAGEREF _Toc494014221 \h </w:instrText>
        </w:r>
        <w:r w:rsidR="00065C5B">
          <w:rPr>
            <w:noProof/>
            <w:webHidden/>
          </w:rPr>
        </w:r>
        <w:r w:rsidR="00065C5B">
          <w:rPr>
            <w:noProof/>
            <w:webHidden/>
          </w:rPr>
          <w:fldChar w:fldCharType="separate"/>
        </w:r>
        <w:r w:rsidR="00024183">
          <w:rPr>
            <w:noProof/>
            <w:webHidden/>
          </w:rPr>
          <w:t>66</w:t>
        </w:r>
        <w:r w:rsidR="00065C5B">
          <w:rPr>
            <w:noProof/>
            <w:webHidden/>
          </w:rPr>
          <w:fldChar w:fldCharType="end"/>
        </w:r>
      </w:hyperlink>
    </w:p>
    <w:p w14:paraId="107D1377" w14:textId="12AB199E" w:rsidR="00065C5B" w:rsidRDefault="00A53410">
      <w:pPr>
        <w:pStyle w:val="TOC1"/>
        <w:tabs>
          <w:tab w:val="left" w:pos="1440"/>
        </w:tabs>
        <w:rPr>
          <w:rFonts w:cstheme="minorBidi"/>
          <w:sz w:val="22"/>
          <w:szCs w:val="22"/>
          <w:lang w:eastAsia="zh-CN" w:bidi="ar-SA"/>
        </w:rPr>
      </w:pPr>
      <w:hyperlink w:anchor="_Toc494014222" w:history="1">
        <w:r w:rsidR="00065C5B" w:rsidRPr="000413A8">
          <w:rPr>
            <w:rStyle w:val="Hyperlink"/>
            <w:lang w:eastAsia="zh-CN"/>
          </w:rPr>
          <w:t>Chapter 4.</w:t>
        </w:r>
        <w:r w:rsidR="00065C5B">
          <w:rPr>
            <w:rFonts w:cstheme="minorBidi"/>
            <w:sz w:val="22"/>
            <w:szCs w:val="22"/>
            <w:lang w:eastAsia="zh-CN" w:bidi="ar-SA"/>
          </w:rPr>
          <w:tab/>
        </w:r>
        <w:r w:rsidR="00065C5B" w:rsidRPr="000413A8">
          <w:rPr>
            <w:rStyle w:val="Hyperlink"/>
          </w:rPr>
          <w:t xml:space="preserve">Random Walk Algorithm to Track </w:t>
        </w:r>
        <w:r w:rsidR="00065C5B" w:rsidRPr="000413A8">
          <w:rPr>
            <w:rStyle w:val="Hyperlink"/>
            <w:lang w:eastAsia="zh-CN"/>
          </w:rPr>
          <w:t>Partitioning</w:t>
        </w:r>
        <w:r w:rsidR="00065C5B" w:rsidRPr="000413A8">
          <w:rPr>
            <w:rStyle w:val="Hyperlink"/>
          </w:rPr>
          <w:t xml:space="preserve"> </w:t>
        </w:r>
        <w:r w:rsidR="00065C5B" w:rsidRPr="000413A8">
          <w:rPr>
            <w:rStyle w:val="Hyperlink"/>
            <w:lang w:eastAsia="zh-CN"/>
          </w:rPr>
          <w:t>Tracer</w:t>
        </w:r>
        <w:r w:rsidR="00065C5B" w:rsidRPr="000413A8">
          <w:rPr>
            <w:rStyle w:val="Hyperlink"/>
          </w:rPr>
          <w:t xml:space="preserve"> </w:t>
        </w:r>
        <w:r w:rsidR="00065C5B" w:rsidRPr="000413A8">
          <w:rPr>
            <w:rStyle w:val="Hyperlink"/>
            <w:lang w:eastAsia="zh-CN"/>
          </w:rPr>
          <w:t>Movement</w:t>
        </w:r>
        <w:r w:rsidR="00065C5B">
          <w:rPr>
            <w:webHidden/>
          </w:rPr>
          <w:tab/>
        </w:r>
        <w:r w:rsidR="00065C5B">
          <w:rPr>
            <w:webHidden/>
          </w:rPr>
          <w:fldChar w:fldCharType="begin"/>
        </w:r>
        <w:r w:rsidR="00065C5B">
          <w:rPr>
            <w:webHidden/>
          </w:rPr>
          <w:instrText xml:space="preserve"> PAGEREF _Toc494014222 \h </w:instrText>
        </w:r>
        <w:r w:rsidR="00065C5B">
          <w:rPr>
            <w:webHidden/>
          </w:rPr>
        </w:r>
        <w:r w:rsidR="00065C5B">
          <w:rPr>
            <w:webHidden/>
          </w:rPr>
          <w:fldChar w:fldCharType="separate"/>
        </w:r>
        <w:r w:rsidR="00024183">
          <w:rPr>
            <w:webHidden/>
          </w:rPr>
          <w:t>68</w:t>
        </w:r>
        <w:r w:rsidR="00065C5B">
          <w:rPr>
            <w:webHidden/>
          </w:rPr>
          <w:fldChar w:fldCharType="end"/>
        </w:r>
      </w:hyperlink>
    </w:p>
    <w:p w14:paraId="29608031" w14:textId="0AB7CD82" w:rsidR="00065C5B" w:rsidRDefault="00A53410">
      <w:pPr>
        <w:pStyle w:val="TOC2"/>
        <w:rPr>
          <w:rFonts w:cstheme="minorBidi"/>
          <w:noProof/>
          <w:sz w:val="22"/>
          <w:szCs w:val="22"/>
          <w:lang w:eastAsia="zh-CN" w:bidi="ar-SA"/>
        </w:rPr>
      </w:pPr>
      <w:hyperlink w:anchor="_Toc494014223" w:history="1">
        <w:r w:rsidR="00065C5B" w:rsidRPr="000413A8">
          <w:rPr>
            <w:rStyle w:val="Hyperlink"/>
            <w:noProof/>
            <w:lang w:eastAsia="zh-CN"/>
          </w:rPr>
          <w:t>4.1</w:t>
        </w:r>
        <w:r w:rsidR="00065C5B">
          <w:rPr>
            <w:rFonts w:cstheme="minorBidi"/>
            <w:noProof/>
            <w:sz w:val="22"/>
            <w:szCs w:val="22"/>
            <w:lang w:eastAsia="zh-CN" w:bidi="ar-SA"/>
          </w:rPr>
          <w:tab/>
        </w:r>
        <w:r w:rsidR="00065C5B" w:rsidRPr="000413A8">
          <w:rPr>
            <w:rStyle w:val="Hyperlink"/>
            <w:noProof/>
            <w:lang w:eastAsia="zh-CN"/>
          </w:rPr>
          <w:t>Introduction</w:t>
        </w:r>
        <w:r w:rsidR="00065C5B">
          <w:rPr>
            <w:noProof/>
            <w:webHidden/>
          </w:rPr>
          <w:tab/>
        </w:r>
        <w:r w:rsidR="00065C5B">
          <w:rPr>
            <w:noProof/>
            <w:webHidden/>
          </w:rPr>
          <w:fldChar w:fldCharType="begin"/>
        </w:r>
        <w:r w:rsidR="00065C5B">
          <w:rPr>
            <w:noProof/>
            <w:webHidden/>
          </w:rPr>
          <w:instrText xml:space="preserve"> PAGEREF _Toc494014223 \h </w:instrText>
        </w:r>
        <w:r w:rsidR="00065C5B">
          <w:rPr>
            <w:noProof/>
            <w:webHidden/>
          </w:rPr>
        </w:r>
        <w:r w:rsidR="00065C5B">
          <w:rPr>
            <w:noProof/>
            <w:webHidden/>
          </w:rPr>
          <w:fldChar w:fldCharType="separate"/>
        </w:r>
        <w:r w:rsidR="00024183">
          <w:rPr>
            <w:noProof/>
            <w:webHidden/>
          </w:rPr>
          <w:t>68</w:t>
        </w:r>
        <w:r w:rsidR="00065C5B">
          <w:rPr>
            <w:noProof/>
            <w:webHidden/>
          </w:rPr>
          <w:fldChar w:fldCharType="end"/>
        </w:r>
      </w:hyperlink>
    </w:p>
    <w:p w14:paraId="7622A7F9" w14:textId="5C7744CA" w:rsidR="00065C5B" w:rsidRDefault="00A53410">
      <w:pPr>
        <w:pStyle w:val="TOC2"/>
        <w:rPr>
          <w:rFonts w:cstheme="minorBidi"/>
          <w:noProof/>
          <w:sz w:val="22"/>
          <w:szCs w:val="22"/>
          <w:lang w:eastAsia="zh-CN" w:bidi="ar-SA"/>
        </w:rPr>
      </w:pPr>
      <w:hyperlink w:anchor="_Toc494014224" w:history="1">
        <w:r w:rsidR="00065C5B" w:rsidRPr="000413A8">
          <w:rPr>
            <w:rStyle w:val="Hyperlink"/>
            <w:noProof/>
            <w:lang w:eastAsia="zh-CN"/>
          </w:rPr>
          <w:t>4.2</w:t>
        </w:r>
        <w:r w:rsidR="00065C5B">
          <w:rPr>
            <w:rFonts w:cstheme="minorBidi"/>
            <w:noProof/>
            <w:sz w:val="22"/>
            <w:szCs w:val="22"/>
            <w:lang w:eastAsia="zh-CN" w:bidi="ar-SA"/>
          </w:rPr>
          <w:tab/>
        </w:r>
        <w:r w:rsidR="00065C5B" w:rsidRPr="000413A8">
          <w:rPr>
            <w:rStyle w:val="Hyperlink"/>
            <w:noProof/>
            <w:lang w:eastAsia="zh-CN"/>
          </w:rPr>
          <w:t>Algorithm Description</w:t>
        </w:r>
        <w:r w:rsidR="00065C5B">
          <w:rPr>
            <w:noProof/>
            <w:webHidden/>
          </w:rPr>
          <w:tab/>
        </w:r>
        <w:r w:rsidR="00065C5B">
          <w:rPr>
            <w:noProof/>
            <w:webHidden/>
          </w:rPr>
          <w:fldChar w:fldCharType="begin"/>
        </w:r>
        <w:r w:rsidR="00065C5B">
          <w:rPr>
            <w:noProof/>
            <w:webHidden/>
          </w:rPr>
          <w:instrText xml:space="preserve"> PAGEREF _Toc494014224 \h </w:instrText>
        </w:r>
        <w:r w:rsidR="00065C5B">
          <w:rPr>
            <w:noProof/>
            <w:webHidden/>
          </w:rPr>
        </w:r>
        <w:r w:rsidR="00065C5B">
          <w:rPr>
            <w:noProof/>
            <w:webHidden/>
          </w:rPr>
          <w:fldChar w:fldCharType="separate"/>
        </w:r>
        <w:r w:rsidR="00024183">
          <w:rPr>
            <w:noProof/>
            <w:webHidden/>
          </w:rPr>
          <w:t>68</w:t>
        </w:r>
        <w:r w:rsidR="00065C5B">
          <w:rPr>
            <w:noProof/>
            <w:webHidden/>
          </w:rPr>
          <w:fldChar w:fldCharType="end"/>
        </w:r>
      </w:hyperlink>
    </w:p>
    <w:p w14:paraId="2A92E2EF" w14:textId="77F6B28F" w:rsidR="00065C5B" w:rsidRDefault="00A53410">
      <w:pPr>
        <w:pStyle w:val="TOC2"/>
        <w:rPr>
          <w:rFonts w:cstheme="minorBidi"/>
          <w:noProof/>
          <w:sz w:val="22"/>
          <w:szCs w:val="22"/>
          <w:lang w:eastAsia="zh-CN" w:bidi="ar-SA"/>
        </w:rPr>
      </w:pPr>
      <w:hyperlink w:anchor="_Toc494014225" w:history="1">
        <w:r w:rsidR="00065C5B" w:rsidRPr="000413A8">
          <w:rPr>
            <w:rStyle w:val="Hyperlink"/>
            <w:noProof/>
          </w:rPr>
          <w:t>4.3</w:t>
        </w:r>
        <w:r w:rsidR="00065C5B">
          <w:rPr>
            <w:rFonts w:cstheme="minorBidi"/>
            <w:noProof/>
            <w:sz w:val="22"/>
            <w:szCs w:val="22"/>
            <w:lang w:eastAsia="zh-CN" w:bidi="ar-SA"/>
          </w:rPr>
          <w:tab/>
        </w:r>
        <w:r w:rsidR="00065C5B" w:rsidRPr="000413A8">
          <w:rPr>
            <w:rStyle w:val="Hyperlink"/>
            <w:noProof/>
          </w:rPr>
          <w:t>Program Validation and Result</w:t>
        </w:r>
        <w:r w:rsidR="00065C5B">
          <w:rPr>
            <w:noProof/>
            <w:webHidden/>
          </w:rPr>
          <w:tab/>
        </w:r>
        <w:r w:rsidR="00065C5B">
          <w:rPr>
            <w:noProof/>
            <w:webHidden/>
          </w:rPr>
          <w:fldChar w:fldCharType="begin"/>
        </w:r>
        <w:r w:rsidR="00065C5B">
          <w:rPr>
            <w:noProof/>
            <w:webHidden/>
          </w:rPr>
          <w:instrText xml:space="preserve"> PAGEREF _Toc494014225 \h </w:instrText>
        </w:r>
        <w:r w:rsidR="00065C5B">
          <w:rPr>
            <w:noProof/>
            <w:webHidden/>
          </w:rPr>
        </w:r>
        <w:r w:rsidR="00065C5B">
          <w:rPr>
            <w:noProof/>
            <w:webHidden/>
          </w:rPr>
          <w:fldChar w:fldCharType="separate"/>
        </w:r>
        <w:r w:rsidR="00024183">
          <w:rPr>
            <w:noProof/>
            <w:webHidden/>
          </w:rPr>
          <w:t>71</w:t>
        </w:r>
        <w:r w:rsidR="00065C5B">
          <w:rPr>
            <w:noProof/>
            <w:webHidden/>
          </w:rPr>
          <w:fldChar w:fldCharType="end"/>
        </w:r>
      </w:hyperlink>
    </w:p>
    <w:p w14:paraId="6018BED1" w14:textId="0346D5EF" w:rsidR="00065C5B" w:rsidRDefault="00A53410">
      <w:pPr>
        <w:pStyle w:val="TOC3"/>
        <w:tabs>
          <w:tab w:val="left" w:pos="1440"/>
        </w:tabs>
        <w:rPr>
          <w:rFonts w:cstheme="minorBidi"/>
          <w:sz w:val="22"/>
          <w:szCs w:val="22"/>
          <w:lang w:eastAsia="zh-CN" w:bidi="ar-SA"/>
        </w:rPr>
      </w:pPr>
      <w:hyperlink w:anchor="_Toc494014226" w:history="1">
        <w:r w:rsidR="00065C5B" w:rsidRPr="000413A8">
          <w:rPr>
            <w:rStyle w:val="Hyperlink"/>
          </w:rPr>
          <w:t>4.3.1</w:t>
        </w:r>
        <w:r w:rsidR="00065C5B">
          <w:rPr>
            <w:rFonts w:cstheme="minorBidi"/>
            <w:sz w:val="22"/>
            <w:szCs w:val="22"/>
            <w:lang w:eastAsia="zh-CN" w:bidi="ar-SA"/>
          </w:rPr>
          <w:tab/>
        </w:r>
        <w:r w:rsidR="00065C5B" w:rsidRPr="000413A8">
          <w:rPr>
            <w:rStyle w:val="Hyperlink"/>
          </w:rPr>
          <w:t>Model Description</w:t>
        </w:r>
        <w:r w:rsidR="00065C5B">
          <w:rPr>
            <w:webHidden/>
          </w:rPr>
          <w:tab/>
        </w:r>
        <w:r w:rsidR="00065C5B">
          <w:rPr>
            <w:webHidden/>
          </w:rPr>
          <w:fldChar w:fldCharType="begin"/>
        </w:r>
        <w:r w:rsidR="00065C5B">
          <w:rPr>
            <w:webHidden/>
          </w:rPr>
          <w:instrText xml:space="preserve"> PAGEREF _Toc494014226 \h </w:instrText>
        </w:r>
        <w:r w:rsidR="00065C5B">
          <w:rPr>
            <w:webHidden/>
          </w:rPr>
        </w:r>
        <w:r w:rsidR="00065C5B">
          <w:rPr>
            <w:webHidden/>
          </w:rPr>
          <w:fldChar w:fldCharType="separate"/>
        </w:r>
        <w:r w:rsidR="00024183">
          <w:rPr>
            <w:webHidden/>
          </w:rPr>
          <w:t>71</w:t>
        </w:r>
        <w:r w:rsidR="00065C5B">
          <w:rPr>
            <w:webHidden/>
          </w:rPr>
          <w:fldChar w:fldCharType="end"/>
        </w:r>
      </w:hyperlink>
    </w:p>
    <w:p w14:paraId="305D4985" w14:textId="5493EF1B" w:rsidR="00065C5B" w:rsidRDefault="00A53410">
      <w:pPr>
        <w:pStyle w:val="TOC3"/>
        <w:tabs>
          <w:tab w:val="left" w:pos="1440"/>
        </w:tabs>
        <w:rPr>
          <w:rFonts w:cstheme="minorBidi"/>
          <w:sz w:val="22"/>
          <w:szCs w:val="22"/>
          <w:lang w:eastAsia="zh-CN" w:bidi="ar-SA"/>
        </w:rPr>
      </w:pPr>
      <w:hyperlink w:anchor="_Toc494014227" w:history="1">
        <w:r w:rsidR="00065C5B" w:rsidRPr="000413A8">
          <w:rPr>
            <w:rStyle w:val="Hyperlink"/>
          </w:rPr>
          <w:t>4.3.2</w:t>
        </w:r>
        <w:r w:rsidR="00065C5B">
          <w:rPr>
            <w:rFonts w:cstheme="minorBidi"/>
            <w:sz w:val="22"/>
            <w:szCs w:val="22"/>
            <w:lang w:eastAsia="zh-CN" w:bidi="ar-SA"/>
          </w:rPr>
          <w:tab/>
        </w:r>
        <w:r w:rsidR="00065C5B" w:rsidRPr="000413A8">
          <w:rPr>
            <w:rStyle w:val="Hyperlink"/>
          </w:rPr>
          <w:t>Validation</w:t>
        </w:r>
        <w:r w:rsidR="00065C5B">
          <w:rPr>
            <w:webHidden/>
          </w:rPr>
          <w:tab/>
        </w:r>
        <w:r w:rsidR="00065C5B">
          <w:rPr>
            <w:webHidden/>
          </w:rPr>
          <w:fldChar w:fldCharType="begin"/>
        </w:r>
        <w:r w:rsidR="00065C5B">
          <w:rPr>
            <w:webHidden/>
          </w:rPr>
          <w:instrText xml:space="preserve"> PAGEREF _Toc494014227 \h </w:instrText>
        </w:r>
        <w:r w:rsidR="00065C5B">
          <w:rPr>
            <w:webHidden/>
          </w:rPr>
        </w:r>
        <w:r w:rsidR="00065C5B">
          <w:rPr>
            <w:webHidden/>
          </w:rPr>
          <w:fldChar w:fldCharType="separate"/>
        </w:r>
        <w:r w:rsidR="00024183">
          <w:rPr>
            <w:webHidden/>
          </w:rPr>
          <w:t>73</w:t>
        </w:r>
        <w:r w:rsidR="00065C5B">
          <w:rPr>
            <w:webHidden/>
          </w:rPr>
          <w:fldChar w:fldCharType="end"/>
        </w:r>
      </w:hyperlink>
    </w:p>
    <w:p w14:paraId="05DA34E2" w14:textId="40EB2319" w:rsidR="00065C5B" w:rsidRDefault="00A53410">
      <w:pPr>
        <w:pStyle w:val="TOC3"/>
        <w:tabs>
          <w:tab w:val="left" w:pos="1440"/>
        </w:tabs>
        <w:rPr>
          <w:rFonts w:cstheme="minorBidi"/>
          <w:sz w:val="22"/>
          <w:szCs w:val="22"/>
          <w:lang w:eastAsia="zh-CN" w:bidi="ar-SA"/>
        </w:rPr>
      </w:pPr>
      <w:hyperlink w:anchor="_Toc494014228" w:history="1">
        <w:r w:rsidR="00065C5B" w:rsidRPr="000413A8">
          <w:rPr>
            <w:rStyle w:val="Hyperlink"/>
          </w:rPr>
          <w:t>4.3.3</w:t>
        </w:r>
        <w:r w:rsidR="00065C5B">
          <w:rPr>
            <w:rFonts w:cstheme="minorBidi"/>
            <w:sz w:val="22"/>
            <w:szCs w:val="22"/>
            <w:lang w:eastAsia="zh-CN" w:bidi="ar-SA"/>
          </w:rPr>
          <w:tab/>
        </w:r>
        <w:r w:rsidR="00065C5B" w:rsidRPr="000413A8">
          <w:rPr>
            <w:rStyle w:val="Hyperlink"/>
          </w:rPr>
          <w:t>Partitioning Tracer Movement with Two Mobile Phases</w:t>
        </w:r>
        <w:r w:rsidR="00065C5B">
          <w:rPr>
            <w:webHidden/>
          </w:rPr>
          <w:tab/>
        </w:r>
        <w:r w:rsidR="00065C5B">
          <w:rPr>
            <w:webHidden/>
          </w:rPr>
          <w:fldChar w:fldCharType="begin"/>
        </w:r>
        <w:r w:rsidR="00065C5B">
          <w:rPr>
            <w:webHidden/>
          </w:rPr>
          <w:instrText xml:space="preserve"> PAGEREF _Toc494014228 \h </w:instrText>
        </w:r>
        <w:r w:rsidR="00065C5B">
          <w:rPr>
            <w:webHidden/>
          </w:rPr>
        </w:r>
        <w:r w:rsidR="00065C5B">
          <w:rPr>
            <w:webHidden/>
          </w:rPr>
          <w:fldChar w:fldCharType="separate"/>
        </w:r>
        <w:r w:rsidR="00024183">
          <w:rPr>
            <w:webHidden/>
          </w:rPr>
          <w:t>75</w:t>
        </w:r>
        <w:r w:rsidR="00065C5B">
          <w:rPr>
            <w:webHidden/>
          </w:rPr>
          <w:fldChar w:fldCharType="end"/>
        </w:r>
      </w:hyperlink>
    </w:p>
    <w:p w14:paraId="1F2B731B" w14:textId="6DBE597E" w:rsidR="00065C5B" w:rsidRDefault="00A53410">
      <w:pPr>
        <w:pStyle w:val="TOC2"/>
        <w:rPr>
          <w:rFonts w:cstheme="minorBidi"/>
          <w:noProof/>
          <w:sz w:val="22"/>
          <w:szCs w:val="22"/>
          <w:lang w:eastAsia="zh-CN" w:bidi="ar-SA"/>
        </w:rPr>
      </w:pPr>
      <w:hyperlink w:anchor="_Toc494014229" w:history="1">
        <w:r w:rsidR="00065C5B" w:rsidRPr="000413A8">
          <w:rPr>
            <w:rStyle w:val="Hyperlink"/>
            <w:noProof/>
          </w:rPr>
          <w:t>Nomenclature</w:t>
        </w:r>
        <w:r w:rsidR="00065C5B">
          <w:rPr>
            <w:noProof/>
            <w:webHidden/>
          </w:rPr>
          <w:tab/>
        </w:r>
        <w:r w:rsidR="00065C5B">
          <w:rPr>
            <w:noProof/>
            <w:webHidden/>
          </w:rPr>
          <w:fldChar w:fldCharType="begin"/>
        </w:r>
        <w:r w:rsidR="00065C5B">
          <w:rPr>
            <w:noProof/>
            <w:webHidden/>
          </w:rPr>
          <w:instrText xml:space="preserve"> PAGEREF _Toc494014229 \h </w:instrText>
        </w:r>
        <w:r w:rsidR="00065C5B">
          <w:rPr>
            <w:noProof/>
            <w:webHidden/>
          </w:rPr>
        </w:r>
        <w:r w:rsidR="00065C5B">
          <w:rPr>
            <w:noProof/>
            <w:webHidden/>
          </w:rPr>
          <w:fldChar w:fldCharType="separate"/>
        </w:r>
        <w:r w:rsidR="00024183">
          <w:rPr>
            <w:noProof/>
            <w:webHidden/>
          </w:rPr>
          <w:t>76</w:t>
        </w:r>
        <w:r w:rsidR="00065C5B">
          <w:rPr>
            <w:noProof/>
            <w:webHidden/>
          </w:rPr>
          <w:fldChar w:fldCharType="end"/>
        </w:r>
      </w:hyperlink>
    </w:p>
    <w:p w14:paraId="60EBA4B4" w14:textId="7E83E59D" w:rsidR="00065C5B" w:rsidRDefault="00A53410">
      <w:pPr>
        <w:pStyle w:val="TOC1"/>
        <w:tabs>
          <w:tab w:val="left" w:pos="1440"/>
        </w:tabs>
        <w:rPr>
          <w:rFonts w:cstheme="minorBidi"/>
          <w:sz w:val="22"/>
          <w:szCs w:val="22"/>
          <w:lang w:eastAsia="zh-CN" w:bidi="ar-SA"/>
        </w:rPr>
      </w:pPr>
      <w:hyperlink w:anchor="_Toc494014230" w:history="1">
        <w:r w:rsidR="00065C5B" w:rsidRPr="000413A8">
          <w:rPr>
            <w:rStyle w:val="Hyperlink"/>
          </w:rPr>
          <w:t>Chapter 5.</w:t>
        </w:r>
        <w:r w:rsidR="00065C5B">
          <w:rPr>
            <w:rFonts w:cstheme="minorBidi"/>
            <w:sz w:val="22"/>
            <w:szCs w:val="22"/>
            <w:lang w:eastAsia="zh-CN" w:bidi="ar-SA"/>
          </w:rPr>
          <w:tab/>
        </w:r>
        <w:r w:rsidR="00065C5B" w:rsidRPr="000413A8">
          <w:rPr>
            <w:rStyle w:val="Hyperlink"/>
            <w:lang w:eastAsia="zh-CN"/>
          </w:rPr>
          <w:t>Quantitative</w:t>
        </w:r>
        <w:r w:rsidR="00065C5B" w:rsidRPr="000413A8">
          <w:rPr>
            <w:rStyle w:val="Hyperlink"/>
          </w:rPr>
          <w:t xml:space="preserve"> Estimation of Radon Production from Marcellus Shale Gas Reservoirs</w:t>
        </w:r>
        <w:r w:rsidR="00065C5B">
          <w:rPr>
            <w:webHidden/>
          </w:rPr>
          <w:tab/>
        </w:r>
        <w:r w:rsidR="00065C5B">
          <w:rPr>
            <w:webHidden/>
          </w:rPr>
          <w:fldChar w:fldCharType="begin"/>
        </w:r>
        <w:r w:rsidR="00065C5B">
          <w:rPr>
            <w:webHidden/>
          </w:rPr>
          <w:instrText xml:space="preserve"> PAGEREF _Toc494014230 \h </w:instrText>
        </w:r>
        <w:r w:rsidR="00065C5B">
          <w:rPr>
            <w:webHidden/>
          </w:rPr>
        </w:r>
        <w:r w:rsidR="00065C5B">
          <w:rPr>
            <w:webHidden/>
          </w:rPr>
          <w:fldChar w:fldCharType="separate"/>
        </w:r>
        <w:r w:rsidR="00024183">
          <w:rPr>
            <w:webHidden/>
          </w:rPr>
          <w:t>78</w:t>
        </w:r>
        <w:r w:rsidR="00065C5B">
          <w:rPr>
            <w:webHidden/>
          </w:rPr>
          <w:fldChar w:fldCharType="end"/>
        </w:r>
      </w:hyperlink>
    </w:p>
    <w:p w14:paraId="4B1A7BAF" w14:textId="52404792" w:rsidR="00065C5B" w:rsidRDefault="00A53410">
      <w:pPr>
        <w:pStyle w:val="TOC2"/>
        <w:rPr>
          <w:rFonts w:cstheme="minorBidi"/>
          <w:noProof/>
          <w:sz w:val="22"/>
          <w:szCs w:val="22"/>
          <w:lang w:eastAsia="zh-CN" w:bidi="ar-SA"/>
        </w:rPr>
      </w:pPr>
      <w:hyperlink w:anchor="_Toc494014231" w:history="1">
        <w:r w:rsidR="00065C5B" w:rsidRPr="000413A8">
          <w:rPr>
            <w:rStyle w:val="Hyperlink"/>
            <w:noProof/>
          </w:rPr>
          <w:t>5.1</w:t>
        </w:r>
        <w:r w:rsidR="00065C5B">
          <w:rPr>
            <w:rFonts w:cstheme="minorBidi"/>
            <w:noProof/>
            <w:sz w:val="22"/>
            <w:szCs w:val="22"/>
            <w:lang w:eastAsia="zh-CN" w:bidi="ar-SA"/>
          </w:rPr>
          <w:tab/>
        </w:r>
        <w:r w:rsidR="00065C5B" w:rsidRPr="000413A8">
          <w:rPr>
            <w:rStyle w:val="Hyperlink"/>
            <w:noProof/>
          </w:rPr>
          <w:t>Introduction</w:t>
        </w:r>
        <w:r w:rsidR="00065C5B">
          <w:rPr>
            <w:noProof/>
            <w:webHidden/>
          </w:rPr>
          <w:tab/>
        </w:r>
        <w:r w:rsidR="00065C5B">
          <w:rPr>
            <w:noProof/>
            <w:webHidden/>
          </w:rPr>
          <w:fldChar w:fldCharType="begin"/>
        </w:r>
        <w:r w:rsidR="00065C5B">
          <w:rPr>
            <w:noProof/>
            <w:webHidden/>
          </w:rPr>
          <w:instrText xml:space="preserve"> PAGEREF _Toc494014231 \h </w:instrText>
        </w:r>
        <w:r w:rsidR="00065C5B">
          <w:rPr>
            <w:noProof/>
            <w:webHidden/>
          </w:rPr>
        </w:r>
        <w:r w:rsidR="00065C5B">
          <w:rPr>
            <w:noProof/>
            <w:webHidden/>
          </w:rPr>
          <w:fldChar w:fldCharType="separate"/>
        </w:r>
        <w:r w:rsidR="00024183">
          <w:rPr>
            <w:noProof/>
            <w:webHidden/>
          </w:rPr>
          <w:t>78</w:t>
        </w:r>
        <w:r w:rsidR="00065C5B">
          <w:rPr>
            <w:noProof/>
            <w:webHidden/>
          </w:rPr>
          <w:fldChar w:fldCharType="end"/>
        </w:r>
      </w:hyperlink>
    </w:p>
    <w:p w14:paraId="5207D0CC" w14:textId="39901FF9" w:rsidR="00065C5B" w:rsidRDefault="00A53410">
      <w:pPr>
        <w:pStyle w:val="TOC2"/>
        <w:rPr>
          <w:rFonts w:cstheme="minorBidi"/>
          <w:noProof/>
          <w:sz w:val="22"/>
          <w:szCs w:val="22"/>
          <w:lang w:eastAsia="zh-CN" w:bidi="ar-SA"/>
        </w:rPr>
      </w:pPr>
      <w:hyperlink w:anchor="_Toc494014232" w:history="1">
        <w:r w:rsidR="00065C5B" w:rsidRPr="000413A8">
          <w:rPr>
            <w:rStyle w:val="Hyperlink"/>
            <w:noProof/>
          </w:rPr>
          <w:t>5.2</w:t>
        </w:r>
        <w:r w:rsidR="00065C5B">
          <w:rPr>
            <w:rFonts w:cstheme="minorBidi"/>
            <w:noProof/>
            <w:sz w:val="22"/>
            <w:szCs w:val="22"/>
            <w:lang w:eastAsia="zh-CN" w:bidi="ar-SA"/>
          </w:rPr>
          <w:tab/>
        </w:r>
        <w:r w:rsidR="00065C5B" w:rsidRPr="000413A8">
          <w:rPr>
            <w:rStyle w:val="Hyperlink"/>
            <w:noProof/>
          </w:rPr>
          <w:t>Marcellus Shale</w:t>
        </w:r>
        <w:r w:rsidR="00065C5B">
          <w:rPr>
            <w:noProof/>
            <w:webHidden/>
          </w:rPr>
          <w:tab/>
        </w:r>
        <w:r w:rsidR="00065C5B">
          <w:rPr>
            <w:noProof/>
            <w:webHidden/>
          </w:rPr>
          <w:fldChar w:fldCharType="begin"/>
        </w:r>
        <w:r w:rsidR="00065C5B">
          <w:rPr>
            <w:noProof/>
            <w:webHidden/>
          </w:rPr>
          <w:instrText xml:space="preserve"> PAGEREF _Toc494014232 \h </w:instrText>
        </w:r>
        <w:r w:rsidR="00065C5B">
          <w:rPr>
            <w:noProof/>
            <w:webHidden/>
          </w:rPr>
        </w:r>
        <w:r w:rsidR="00065C5B">
          <w:rPr>
            <w:noProof/>
            <w:webHidden/>
          </w:rPr>
          <w:fldChar w:fldCharType="separate"/>
        </w:r>
        <w:r w:rsidR="00024183">
          <w:rPr>
            <w:noProof/>
            <w:webHidden/>
          </w:rPr>
          <w:t>81</w:t>
        </w:r>
        <w:r w:rsidR="00065C5B">
          <w:rPr>
            <w:noProof/>
            <w:webHidden/>
          </w:rPr>
          <w:fldChar w:fldCharType="end"/>
        </w:r>
      </w:hyperlink>
    </w:p>
    <w:p w14:paraId="10E2155A" w14:textId="270C16AE" w:rsidR="00065C5B" w:rsidRDefault="00A53410">
      <w:pPr>
        <w:pStyle w:val="TOC3"/>
        <w:tabs>
          <w:tab w:val="left" w:pos="1440"/>
        </w:tabs>
        <w:rPr>
          <w:rFonts w:cstheme="minorBidi"/>
          <w:sz w:val="22"/>
          <w:szCs w:val="22"/>
          <w:lang w:eastAsia="zh-CN" w:bidi="ar-SA"/>
        </w:rPr>
      </w:pPr>
      <w:hyperlink w:anchor="_Toc494014233" w:history="1">
        <w:r w:rsidR="00065C5B" w:rsidRPr="000413A8">
          <w:rPr>
            <w:rStyle w:val="Hyperlink"/>
          </w:rPr>
          <w:t>5.2.1</w:t>
        </w:r>
        <w:r w:rsidR="00065C5B">
          <w:rPr>
            <w:rFonts w:cstheme="minorBidi"/>
            <w:sz w:val="22"/>
            <w:szCs w:val="22"/>
            <w:lang w:eastAsia="zh-CN" w:bidi="ar-SA"/>
          </w:rPr>
          <w:tab/>
        </w:r>
        <w:r w:rsidR="00065C5B" w:rsidRPr="000413A8">
          <w:rPr>
            <w:rStyle w:val="Hyperlink"/>
          </w:rPr>
          <w:t>Porous Media</w:t>
        </w:r>
        <w:r w:rsidR="00065C5B">
          <w:rPr>
            <w:webHidden/>
          </w:rPr>
          <w:tab/>
        </w:r>
        <w:r w:rsidR="00065C5B">
          <w:rPr>
            <w:webHidden/>
          </w:rPr>
          <w:fldChar w:fldCharType="begin"/>
        </w:r>
        <w:r w:rsidR="00065C5B">
          <w:rPr>
            <w:webHidden/>
          </w:rPr>
          <w:instrText xml:space="preserve"> PAGEREF _Toc494014233 \h </w:instrText>
        </w:r>
        <w:r w:rsidR="00065C5B">
          <w:rPr>
            <w:webHidden/>
          </w:rPr>
        </w:r>
        <w:r w:rsidR="00065C5B">
          <w:rPr>
            <w:webHidden/>
          </w:rPr>
          <w:fldChar w:fldCharType="separate"/>
        </w:r>
        <w:r w:rsidR="00024183">
          <w:rPr>
            <w:webHidden/>
          </w:rPr>
          <w:t>81</w:t>
        </w:r>
        <w:r w:rsidR="00065C5B">
          <w:rPr>
            <w:webHidden/>
          </w:rPr>
          <w:fldChar w:fldCharType="end"/>
        </w:r>
      </w:hyperlink>
    </w:p>
    <w:p w14:paraId="4C59DF1B" w14:textId="42E037BD" w:rsidR="00065C5B" w:rsidRDefault="00A53410">
      <w:pPr>
        <w:pStyle w:val="TOC3"/>
        <w:tabs>
          <w:tab w:val="left" w:pos="1440"/>
        </w:tabs>
        <w:rPr>
          <w:rFonts w:cstheme="minorBidi"/>
          <w:sz w:val="22"/>
          <w:szCs w:val="22"/>
          <w:lang w:eastAsia="zh-CN" w:bidi="ar-SA"/>
        </w:rPr>
      </w:pPr>
      <w:hyperlink w:anchor="_Toc494014234" w:history="1">
        <w:r w:rsidR="00065C5B" w:rsidRPr="000413A8">
          <w:rPr>
            <w:rStyle w:val="Hyperlink"/>
          </w:rPr>
          <w:t>5.2.2</w:t>
        </w:r>
        <w:r w:rsidR="00065C5B">
          <w:rPr>
            <w:rFonts w:cstheme="minorBidi"/>
            <w:sz w:val="22"/>
            <w:szCs w:val="22"/>
            <w:lang w:eastAsia="zh-CN" w:bidi="ar-SA"/>
          </w:rPr>
          <w:tab/>
        </w:r>
        <w:r w:rsidR="00065C5B" w:rsidRPr="000413A8">
          <w:rPr>
            <w:rStyle w:val="Hyperlink"/>
          </w:rPr>
          <w:t>Experimental Methods</w:t>
        </w:r>
        <w:r w:rsidR="00065C5B">
          <w:rPr>
            <w:webHidden/>
          </w:rPr>
          <w:tab/>
        </w:r>
        <w:r w:rsidR="00065C5B">
          <w:rPr>
            <w:webHidden/>
          </w:rPr>
          <w:fldChar w:fldCharType="begin"/>
        </w:r>
        <w:r w:rsidR="00065C5B">
          <w:rPr>
            <w:webHidden/>
          </w:rPr>
          <w:instrText xml:space="preserve"> PAGEREF _Toc494014234 \h </w:instrText>
        </w:r>
        <w:r w:rsidR="00065C5B">
          <w:rPr>
            <w:webHidden/>
          </w:rPr>
        </w:r>
        <w:r w:rsidR="00065C5B">
          <w:rPr>
            <w:webHidden/>
          </w:rPr>
          <w:fldChar w:fldCharType="separate"/>
        </w:r>
        <w:r w:rsidR="00024183">
          <w:rPr>
            <w:webHidden/>
          </w:rPr>
          <w:t>83</w:t>
        </w:r>
        <w:r w:rsidR="00065C5B">
          <w:rPr>
            <w:webHidden/>
          </w:rPr>
          <w:fldChar w:fldCharType="end"/>
        </w:r>
      </w:hyperlink>
    </w:p>
    <w:p w14:paraId="2ED0FE9A" w14:textId="5FF98A99" w:rsidR="00065C5B" w:rsidRDefault="00A53410">
      <w:pPr>
        <w:pStyle w:val="TOC3"/>
        <w:tabs>
          <w:tab w:val="left" w:pos="1440"/>
        </w:tabs>
        <w:rPr>
          <w:rFonts w:cstheme="minorBidi"/>
          <w:sz w:val="22"/>
          <w:szCs w:val="22"/>
          <w:lang w:eastAsia="zh-CN" w:bidi="ar-SA"/>
        </w:rPr>
      </w:pPr>
      <w:hyperlink w:anchor="_Toc494014235" w:history="1">
        <w:r w:rsidR="00065C5B" w:rsidRPr="000413A8">
          <w:rPr>
            <w:rStyle w:val="Hyperlink"/>
          </w:rPr>
          <w:t>5.2.3</w:t>
        </w:r>
        <w:r w:rsidR="00065C5B">
          <w:rPr>
            <w:rFonts w:cstheme="minorBidi"/>
            <w:sz w:val="22"/>
            <w:szCs w:val="22"/>
            <w:lang w:eastAsia="zh-CN" w:bidi="ar-SA"/>
          </w:rPr>
          <w:tab/>
        </w:r>
        <w:r w:rsidR="00065C5B" w:rsidRPr="000413A8">
          <w:rPr>
            <w:rStyle w:val="Hyperlink"/>
          </w:rPr>
          <w:t>Pore Characterization</w:t>
        </w:r>
        <w:r w:rsidR="00065C5B">
          <w:rPr>
            <w:webHidden/>
          </w:rPr>
          <w:tab/>
        </w:r>
        <w:r w:rsidR="00065C5B">
          <w:rPr>
            <w:webHidden/>
          </w:rPr>
          <w:fldChar w:fldCharType="begin"/>
        </w:r>
        <w:r w:rsidR="00065C5B">
          <w:rPr>
            <w:webHidden/>
          </w:rPr>
          <w:instrText xml:space="preserve"> PAGEREF _Toc494014235 \h </w:instrText>
        </w:r>
        <w:r w:rsidR="00065C5B">
          <w:rPr>
            <w:webHidden/>
          </w:rPr>
        </w:r>
        <w:r w:rsidR="00065C5B">
          <w:rPr>
            <w:webHidden/>
          </w:rPr>
          <w:fldChar w:fldCharType="separate"/>
        </w:r>
        <w:r w:rsidR="00024183">
          <w:rPr>
            <w:webHidden/>
          </w:rPr>
          <w:t>84</w:t>
        </w:r>
        <w:r w:rsidR="00065C5B">
          <w:rPr>
            <w:webHidden/>
          </w:rPr>
          <w:fldChar w:fldCharType="end"/>
        </w:r>
      </w:hyperlink>
    </w:p>
    <w:p w14:paraId="22C43416" w14:textId="73D72CD0" w:rsidR="00065C5B" w:rsidRDefault="00A53410">
      <w:pPr>
        <w:pStyle w:val="TOC2"/>
        <w:rPr>
          <w:rFonts w:cstheme="minorBidi"/>
          <w:noProof/>
          <w:sz w:val="22"/>
          <w:szCs w:val="22"/>
          <w:lang w:eastAsia="zh-CN" w:bidi="ar-SA"/>
        </w:rPr>
      </w:pPr>
      <w:hyperlink w:anchor="_Toc494014236" w:history="1">
        <w:r w:rsidR="00065C5B" w:rsidRPr="000413A8">
          <w:rPr>
            <w:rStyle w:val="Hyperlink"/>
            <w:noProof/>
          </w:rPr>
          <w:t>5.3</w:t>
        </w:r>
        <w:r w:rsidR="00065C5B">
          <w:rPr>
            <w:rFonts w:cstheme="minorBidi"/>
            <w:noProof/>
            <w:sz w:val="22"/>
            <w:szCs w:val="22"/>
            <w:lang w:eastAsia="zh-CN" w:bidi="ar-SA"/>
          </w:rPr>
          <w:tab/>
        </w:r>
        <w:r w:rsidR="00065C5B" w:rsidRPr="000413A8">
          <w:rPr>
            <w:rStyle w:val="Hyperlink"/>
            <w:noProof/>
          </w:rPr>
          <w:t>Radon Generation in Pore Space</w:t>
        </w:r>
        <w:r w:rsidR="00065C5B">
          <w:rPr>
            <w:noProof/>
            <w:webHidden/>
          </w:rPr>
          <w:tab/>
        </w:r>
        <w:r w:rsidR="00065C5B">
          <w:rPr>
            <w:noProof/>
            <w:webHidden/>
          </w:rPr>
          <w:fldChar w:fldCharType="begin"/>
        </w:r>
        <w:r w:rsidR="00065C5B">
          <w:rPr>
            <w:noProof/>
            <w:webHidden/>
          </w:rPr>
          <w:instrText xml:space="preserve"> PAGEREF _Toc494014236 \h </w:instrText>
        </w:r>
        <w:r w:rsidR="00065C5B">
          <w:rPr>
            <w:noProof/>
            <w:webHidden/>
          </w:rPr>
        </w:r>
        <w:r w:rsidR="00065C5B">
          <w:rPr>
            <w:noProof/>
            <w:webHidden/>
          </w:rPr>
          <w:fldChar w:fldCharType="separate"/>
        </w:r>
        <w:r w:rsidR="00024183">
          <w:rPr>
            <w:noProof/>
            <w:webHidden/>
          </w:rPr>
          <w:t>87</w:t>
        </w:r>
        <w:r w:rsidR="00065C5B">
          <w:rPr>
            <w:noProof/>
            <w:webHidden/>
          </w:rPr>
          <w:fldChar w:fldCharType="end"/>
        </w:r>
      </w:hyperlink>
    </w:p>
    <w:p w14:paraId="5C0EF72C" w14:textId="417067A1" w:rsidR="00065C5B" w:rsidRDefault="00A53410">
      <w:pPr>
        <w:pStyle w:val="TOC3"/>
        <w:tabs>
          <w:tab w:val="left" w:pos="1440"/>
        </w:tabs>
        <w:rPr>
          <w:rFonts w:cstheme="minorBidi"/>
          <w:sz w:val="22"/>
          <w:szCs w:val="22"/>
          <w:lang w:eastAsia="zh-CN" w:bidi="ar-SA"/>
        </w:rPr>
      </w:pPr>
      <w:hyperlink w:anchor="_Toc494014237" w:history="1">
        <w:r w:rsidR="00065C5B" w:rsidRPr="000413A8">
          <w:rPr>
            <w:rStyle w:val="Hyperlink"/>
          </w:rPr>
          <w:t>5.3.1</w:t>
        </w:r>
        <w:r w:rsidR="00065C5B">
          <w:rPr>
            <w:rFonts w:cstheme="minorBidi"/>
            <w:sz w:val="22"/>
            <w:szCs w:val="22"/>
            <w:lang w:eastAsia="zh-CN" w:bidi="ar-SA"/>
          </w:rPr>
          <w:tab/>
        </w:r>
        <w:r w:rsidR="00065C5B" w:rsidRPr="000413A8">
          <w:rPr>
            <w:rStyle w:val="Hyperlink"/>
          </w:rPr>
          <w:t>Recoil Range</w:t>
        </w:r>
        <w:r w:rsidR="00065C5B">
          <w:rPr>
            <w:webHidden/>
          </w:rPr>
          <w:tab/>
        </w:r>
        <w:r w:rsidR="00065C5B">
          <w:rPr>
            <w:webHidden/>
          </w:rPr>
          <w:fldChar w:fldCharType="begin"/>
        </w:r>
        <w:r w:rsidR="00065C5B">
          <w:rPr>
            <w:webHidden/>
          </w:rPr>
          <w:instrText xml:space="preserve"> PAGEREF _Toc494014237 \h </w:instrText>
        </w:r>
        <w:r w:rsidR="00065C5B">
          <w:rPr>
            <w:webHidden/>
          </w:rPr>
        </w:r>
        <w:r w:rsidR="00065C5B">
          <w:rPr>
            <w:webHidden/>
          </w:rPr>
          <w:fldChar w:fldCharType="separate"/>
        </w:r>
        <w:r w:rsidR="00024183">
          <w:rPr>
            <w:webHidden/>
          </w:rPr>
          <w:t>87</w:t>
        </w:r>
        <w:r w:rsidR="00065C5B">
          <w:rPr>
            <w:webHidden/>
          </w:rPr>
          <w:fldChar w:fldCharType="end"/>
        </w:r>
      </w:hyperlink>
    </w:p>
    <w:p w14:paraId="452D4241" w14:textId="4BDF18CD" w:rsidR="00065C5B" w:rsidRDefault="00A53410">
      <w:pPr>
        <w:pStyle w:val="TOC3"/>
        <w:tabs>
          <w:tab w:val="left" w:pos="1440"/>
        </w:tabs>
        <w:rPr>
          <w:rFonts w:cstheme="minorBidi"/>
          <w:sz w:val="22"/>
          <w:szCs w:val="22"/>
          <w:lang w:eastAsia="zh-CN" w:bidi="ar-SA"/>
        </w:rPr>
      </w:pPr>
      <w:hyperlink w:anchor="_Toc494014238" w:history="1">
        <w:r w:rsidR="00065C5B" w:rsidRPr="000413A8">
          <w:rPr>
            <w:rStyle w:val="Hyperlink"/>
          </w:rPr>
          <w:t>5.3.2</w:t>
        </w:r>
        <w:r w:rsidR="00065C5B">
          <w:rPr>
            <w:rFonts w:cstheme="minorBidi"/>
            <w:sz w:val="22"/>
            <w:szCs w:val="22"/>
            <w:lang w:eastAsia="zh-CN" w:bidi="ar-SA"/>
          </w:rPr>
          <w:tab/>
        </w:r>
        <w:r w:rsidR="00065C5B" w:rsidRPr="000413A8">
          <w:rPr>
            <w:rStyle w:val="Hyperlink"/>
          </w:rPr>
          <w:t>Slit Shape Pores</w:t>
        </w:r>
        <w:r w:rsidR="00065C5B">
          <w:rPr>
            <w:webHidden/>
          </w:rPr>
          <w:tab/>
        </w:r>
        <w:r w:rsidR="00065C5B">
          <w:rPr>
            <w:webHidden/>
          </w:rPr>
          <w:fldChar w:fldCharType="begin"/>
        </w:r>
        <w:r w:rsidR="00065C5B">
          <w:rPr>
            <w:webHidden/>
          </w:rPr>
          <w:instrText xml:space="preserve"> PAGEREF _Toc494014238 \h </w:instrText>
        </w:r>
        <w:r w:rsidR="00065C5B">
          <w:rPr>
            <w:webHidden/>
          </w:rPr>
        </w:r>
        <w:r w:rsidR="00065C5B">
          <w:rPr>
            <w:webHidden/>
          </w:rPr>
          <w:fldChar w:fldCharType="separate"/>
        </w:r>
        <w:r w:rsidR="00024183">
          <w:rPr>
            <w:webHidden/>
          </w:rPr>
          <w:t>87</w:t>
        </w:r>
        <w:r w:rsidR="00065C5B">
          <w:rPr>
            <w:webHidden/>
          </w:rPr>
          <w:fldChar w:fldCharType="end"/>
        </w:r>
      </w:hyperlink>
    </w:p>
    <w:p w14:paraId="74538756" w14:textId="0FB0ED7F" w:rsidR="00065C5B" w:rsidRDefault="00A53410">
      <w:pPr>
        <w:pStyle w:val="TOC3"/>
        <w:tabs>
          <w:tab w:val="left" w:pos="1440"/>
        </w:tabs>
        <w:rPr>
          <w:rFonts w:cstheme="minorBidi"/>
          <w:sz w:val="22"/>
          <w:szCs w:val="22"/>
          <w:lang w:eastAsia="zh-CN" w:bidi="ar-SA"/>
        </w:rPr>
      </w:pPr>
      <w:hyperlink w:anchor="_Toc494014239" w:history="1">
        <w:r w:rsidR="00065C5B" w:rsidRPr="000413A8">
          <w:rPr>
            <w:rStyle w:val="Hyperlink"/>
          </w:rPr>
          <w:t>5.3.3</w:t>
        </w:r>
        <w:r w:rsidR="00065C5B">
          <w:rPr>
            <w:rFonts w:cstheme="minorBidi"/>
            <w:sz w:val="22"/>
            <w:szCs w:val="22"/>
            <w:lang w:eastAsia="zh-CN" w:bidi="ar-SA"/>
          </w:rPr>
          <w:tab/>
        </w:r>
        <w:r w:rsidR="00065C5B" w:rsidRPr="000413A8">
          <w:rPr>
            <w:rStyle w:val="Hyperlink"/>
          </w:rPr>
          <w:t>Spherical Pores</w:t>
        </w:r>
        <w:r w:rsidR="00065C5B">
          <w:rPr>
            <w:webHidden/>
          </w:rPr>
          <w:tab/>
        </w:r>
        <w:r w:rsidR="00065C5B">
          <w:rPr>
            <w:webHidden/>
          </w:rPr>
          <w:fldChar w:fldCharType="begin"/>
        </w:r>
        <w:r w:rsidR="00065C5B">
          <w:rPr>
            <w:webHidden/>
          </w:rPr>
          <w:instrText xml:space="preserve"> PAGEREF _Toc494014239 \h </w:instrText>
        </w:r>
        <w:r w:rsidR="00065C5B">
          <w:rPr>
            <w:webHidden/>
          </w:rPr>
        </w:r>
        <w:r w:rsidR="00065C5B">
          <w:rPr>
            <w:webHidden/>
          </w:rPr>
          <w:fldChar w:fldCharType="separate"/>
        </w:r>
        <w:r w:rsidR="00024183">
          <w:rPr>
            <w:webHidden/>
          </w:rPr>
          <w:t>89</w:t>
        </w:r>
        <w:r w:rsidR="00065C5B">
          <w:rPr>
            <w:webHidden/>
          </w:rPr>
          <w:fldChar w:fldCharType="end"/>
        </w:r>
      </w:hyperlink>
    </w:p>
    <w:p w14:paraId="437BD246" w14:textId="53E58F13" w:rsidR="00065C5B" w:rsidRDefault="00A53410">
      <w:pPr>
        <w:pStyle w:val="TOC2"/>
        <w:rPr>
          <w:rFonts w:cstheme="minorBidi"/>
          <w:noProof/>
          <w:sz w:val="22"/>
          <w:szCs w:val="22"/>
          <w:lang w:eastAsia="zh-CN" w:bidi="ar-SA"/>
        </w:rPr>
      </w:pPr>
      <w:hyperlink w:anchor="_Toc494014240" w:history="1">
        <w:r w:rsidR="00065C5B" w:rsidRPr="000413A8">
          <w:rPr>
            <w:rStyle w:val="Hyperlink"/>
            <w:noProof/>
          </w:rPr>
          <w:t>5.4</w:t>
        </w:r>
        <w:r w:rsidR="00065C5B">
          <w:rPr>
            <w:rFonts w:cstheme="minorBidi"/>
            <w:noProof/>
            <w:sz w:val="22"/>
            <w:szCs w:val="22"/>
            <w:lang w:eastAsia="zh-CN" w:bidi="ar-SA"/>
          </w:rPr>
          <w:tab/>
        </w:r>
        <w:r w:rsidR="00065C5B" w:rsidRPr="000413A8">
          <w:rPr>
            <w:rStyle w:val="Hyperlink"/>
            <w:noProof/>
          </w:rPr>
          <w:t>Radon Transport</w:t>
        </w:r>
        <w:r w:rsidR="00065C5B">
          <w:rPr>
            <w:noProof/>
            <w:webHidden/>
          </w:rPr>
          <w:tab/>
        </w:r>
        <w:r w:rsidR="00065C5B">
          <w:rPr>
            <w:noProof/>
            <w:webHidden/>
          </w:rPr>
          <w:fldChar w:fldCharType="begin"/>
        </w:r>
        <w:r w:rsidR="00065C5B">
          <w:rPr>
            <w:noProof/>
            <w:webHidden/>
          </w:rPr>
          <w:instrText xml:space="preserve"> PAGEREF _Toc494014240 \h </w:instrText>
        </w:r>
        <w:r w:rsidR="00065C5B">
          <w:rPr>
            <w:noProof/>
            <w:webHidden/>
          </w:rPr>
        </w:r>
        <w:r w:rsidR="00065C5B">
          <w:rPr>
            <w:noProof/>
            <w:webHidden/>
          </w:rPr>
          <w:fldChar w:fldCharType="separate"/>
        </w:r>
        <w:r w:rsidR="00024183">
          <w:rPr>
            <w:noProof/>
            <w:webHidden/>
          </w:rPr>
          <w:t>93</w:t>
        </w:r>
        <w:r w:rsidR="00065C5B">
          <w:rPr>
            <w:noProof/>
            <w:webHidden/>
          </w:rPr>
          <w:fldChar w:fldCharType="end"/>
        </w:r>
      </w:hyperlink>
    </w:p>
    <w:p w14:paraId="003E8DCB" w14:textId="1FD4A397" w:rsidR="00065C5B" w:rsidRDefault="00A53410">
      <w:pPr>
        <w:pStyle w:val="TOC2"/>
        <w:rPr>
          <w:rFonts w:cstheme="minorBidi"/>
          <w:noProof/>
          <w:sz w:val="22"/>
          <w:szCs w:val="22"/>
          <w:lang w:eastAsia="zh-CN" w:bidi="ar-SA"/>
        </w:rPr>
      </w:pPr>
      <w:hyperlink w:anchor="_Toc494014241" w:history="1">
        <w:r w:rsidR="00065C5B" w:rsidRPr="000413A8">
          <w:rPr>
            <w:rStyle w:val="Hyperlink"/>
            <w:noProof/>
          </w:rPr>
          <w:t>5.5</w:t>
        </w:r>
        <w:r w:rsidR="00065C5B">
          <w:rPr>
            <w:rFonts w:cstheme="minorBidi"/>
            <w:noProof/>
            <w:sz w:val="22"/>
            <w:szCs w:val="22"/>
            <w:lang w:eastAsia="zh-CN" w:bidi="ar-SA"/>
          </w:rPr>
          <w:tab/>
        </w:r>
        <w:r w:rsidR="00065C5B" w:rsidRPr="000413A8">
          <w:rPr>
            <w:rStyle w:val="Hyperlink"/>
            <w:noProof/>
          </w:rPr>
          <w:t>Model Description</w:t>
        </w:r>
        <w:r w:rsidR="00065C5B">
          <w:rPr>
            <w:noProof/>
            <w:webHidden/>
          </w:rPr>
          <w:tab/>
        </w:r>
        <w:r w:rsidR="00065C5B">
          <w:rPr>
            <w:noProof/>
            <w:webHidden/>
          </w:rPr>
          <w:fldChar w:fldCharType="begin"/>
        </w:r>
        <w:r w:rsidR="00065C5B">
          <w:rPr>
            <w:noProof/>
            <w:webHidden/>
          </w:rPr>
          <w:instrText xml:space="preserve"> PAGEREF _Toc494014241 \h </w:instrText>
        </w:r>
        <w:r w:rsidR="00065C5B">
          <w:rPr>
            <w:noProof/>
            <w:webHidden/>
          </w:rPr>
        </w:r>
        <w:r w:rsidR="00065C5B">
          <w:rPr>
            <w:noProof/>
            <w:webHidden/>
          </w:rPr>
          <w:fldChar w:fldCharType="separate"/>
        </w:r>
        <w:r w:rsidR="00024183">
          <w:rPr>
            <w:noProof/>
            <w:webHidden/>
          </w:rPr>
          <w:t>94</w:t>
        </w:r>
        <w:r w:rsidR="00065C5B">
          <w:rPr>
            <w:noProof/>
            <w:webHidden/>
          </w:rPr>
          <w:fldChar w:fldCharType="end"/>
        </w:r>
      </w:hyperlink>
    </w:p>
    <w:p w14:paraId="7AD2475C" w14:textId="51DFFF39" w:rsidR="00065C5B" w:rsidRDefault="00A53410">
      <w:pPr>
        <w:pStyle w:val="TOC2"/>
        <w:rPr>
          <w:rFonts w:cstheme="minorBidi"/>
          <w:noProof/>
          <w:sz w:val="22"/>
          <w:szCs w:val="22"/>
          <w:lang w:eastAsia="zh-CN" w:bidi="ar-SA"/>
        </w:rPr>
      </w:pPr>
      <w:hyperlink w:anchor="_Toc494014242" w:history="1">
        <w:r w:rsidR="00065C5B" w:rsidRPr="000413A8">
          <w:rPr>
            <w:rStyle w:val="Hyperlink"/>
            <w:noProof/>
          </w:rPr>
          <w:t>5.6</w:t>
        </w:r>
        <w:r w:rsidR="00065C5B">
          <w:rPr>
            <w:rFonts w:cstheme="minorBidi"/>
            <w:noProof/>
            <w:sz w:val="22"/>
            <w:szCs w:val="22"/>
            <w:lang w:eastAsia="zh-CN" w:bidi="ar-SA"/>
          </w:rPr>
          <w:tab/>
        </w:r>
        <w:r w:rsidR="00065C5B" w:rsidRPr="000413A8">
          <w:rPr>
            <w:rStyle w:val="Hyperlink"/>
            <w:noProof/>
          </w:rPr>
          <w:t>Result and Discussion</w:t>
        </w:r>
        <w:r w:rsidR="00065C5B">
          <w:rPr>
            <w:noProof/>
            <w:webHidden/>
          </w:rPr>
          <w:tab/>
        </w:r>
        <w:r w:rsidR="00065C5B">
          <w:rPr>
            <w:noProof/>
            <w:webHidden/>
          </w:rPr>
          <w:fldChar w:fldCharType="begin"/>
        </w:r>
        <w:r w:rsidR="00065C5B">
          <w:rPr>
            <w:noProof/>
            <w:webHidden/>
          </w:rPr>
          <w:instrText xml:space="preserve"> PAGEREF _Toc494014242 \h </w:instrText>
        </w:r>
        <w:r w:rsidR="00065C5B">
          <w:rPr>
            <w:noProof/>
            <w:webHidden/>
          </w:rPr>
        </w:r>
        <w:r w:rsidR="00065C5B">
          <w:rPr>
            <w:noProof/>
            <w:webHidden/>
          </w:rPr>
          <w:fldChar w:fldCharType="separate"/>
        </w:r>
        <w:r w:rsidR="00024183">
          <w:rPr>
            <w:noProof/>
            <w:webHidden/>
          </w:rPr>
          <w:t>98</w:t>
        </w:r>
        <w:r w:rsidR="00065C5B">
          <w:rPr>
            <w:noProof/>
            <w:webHidden/>
          </w:rPr>
          <w:fldChar w:fldCharType="end"/>
        </w:r>
      </w:hyperlink>
    </w:p>
    <w:p w14:paraId="7008917A" w14:textId="42EC32CF" w:rsidR="00065C5B" w:rsidRDefault="00A53410">
      <w:pPr>
        <w:pStyle w:val="TOC3"/>
        <w:tabs>
          <w:tab w:val="left" w:pos="1440"/>
        </w:tabs>
        <w:rPr>
          <w:rFonts w:cstheme="minorBidi"/>
          <w:sz w:val="22"/>
          <w:szCs w:val="22"/>
          <w:lang w:eastAsia="zh-CN" w:bidi="ar-SA"/>
        </w:rPr>
      </w:pPr>
      <w:hyperlink w:anchor="_Toc494014243" w:history="1">
        <w:r w:rsidR="00065C5B" w:rsidRPr="000413A8">
          <w:rPr>
            <w:rStyle w:val="Hyperlink"/>
          </w:rPr>
          <w:t>5.6.1</w:t>
        </w:r>
        <w:r w:rsidR="00065C5B">
          <w:rPr>
            <w:rFonts w:cstheme="minorBidi"/>
            <w:sz w:val="22"/>
            <w:szCs w:val="22"/>
            <w:lang w:eastAsia="zh-CN" w:bidi="ar-SA"/>
          </w:rPr>
          <w:tab/>
        </w:r>
        <w:r w:rsidR="00065C5B" w:rsidRPr="000413A8">
          <w:rPr>
            <w:rStyle w:val="Hyperlink"/>
          </w:rPr>
          <w:t>In-situ Radon Concentration</w:t>
        </w:r>
        <w:r w:rsidR="00065C5B">
          <w:rPr>
            <w:webHidden/>
          </w:rPr>
          <w:tab/>
        </w:r>
        <w:r w:rsidR="00065C5B">
          <w:rPr>
            <w:webHidden/>
          </w:rPr>
          <w:fldChar w:fldCharType="begin"/>
        </w:r>
        <w:r w:rsidR="00065C5B">
          <w:rPr>
            <w:webHidden/>
          </w:rPr>
          <w:instrText xml:space="preserve"> PAGEREF _Toc494014243 \h </w:instrText>
        </w:r>
        <w:r w:rsidR="00065C5B">
          <w:rPr>
            <w:webHidden/>
          </w:rPr>
        </w:r>
        <w:r w:rsidR="00065C5B">
          <w:rPr>
            <w:webHidden/>
          </w:rPr>
          <w:fldChar w:fldCharType="separate"/>
        </w:r>
        <w:r w:rsidR="00024183">
          <w:rPr>
            <w:webHidden/>
          </w:rPr>
          <w:t>98</w:t>
        </w:r>
        <w:r w:rsidR="00065C5B">
          <w:rPr>
            <w:webHidden/>
          </w:rPr>
          <w:fldChar w:fldCharType="end"/>
        </w:r>
      </w:hyperlink>
    </w:p>
    <w:p w14:paraId="13C1E3B1" w14:textId="020C63C1" w:rsidR="00065C5B" w:rsidRDefault="00A53410">
      <w:pPr>
        <w:pStyle w:val="TOC3"/>
        <w:tabs>
          <w:tab w:val="left" w:pos="1440"/>
        </w:tabs>
        <w:rPr>
          <w:rFonts w:cstheme="minorBidi"/>
          <w:sz w:val="22"/>
          <w:szCs w:val="22"/>
          <w:lang w:eastAsia="zh-CN" w:bidi="ar-SA"/>
        </w:rPr>
      </w:pPr>
      <w:hyperlink w:anchor="_Toc494014244" w:history="1">
        <w:r w:rsidR="00065C5B" w:rsidRPr="000413A8">
          <w:rPr>
            <w:rStyle w:val="Hyperlink"/>
          </w:rPr>
          <w:t>5.6.2</w:t>
        </w:r>
        <w:r w:rsidR="00065C5B">
          <w:rPr>
            <w:rFonts w:cstheme="minorBidi"/>
            <w:sz w:val="22"/>
            <w:szCs w:val="22"/>
            <w:lang w:eastAsia="zh-CN" w:bidi="ar-SA"/>
          </w:rPr>
          <w:tab/>
        </w:r>
        <w:r w:rsidR="00065C5B" w:rsidRPr="000413A8">
          <w:rPr>
            <w:rStyle w:val="Hyperlink"/>
          </w:rPr>
          <w:t>Wellhead Radon Concentration</w:t>
        </w:r>
        <w:r w:rsidR="00065C5B">
          <w:rPr>
            <w:webHidden/>
          </w:rPr>
          <w:tab/>
        </w:r>
        <w:r w:rsidR="00065C5B">
          <w:rPr>
            <w:webHidden/>
          </w:rPr>
          <w:fldChar w:fldCharType="begin"/>
        </w:r>
        <w:r w:rsidR="00065C5B">
          <w:rPr>
            <w:webHidden/>
          </w:rPr>
          <w:instrText xml:space="preserve"> PAGEREF _Toc494014244 \h </w:instrText>
        </w:r>
        <w:r w:rsidR="00065C5B">
          <w:rPr>
            <w:webHidden/>
          </w:rPr>
        </w:r>
        <w:r w:rsidR="00065C5B">
          <w:rPr>
            <w:webHidden/>
          </w:rPr>
          <w:fldChar w:fldCharType="separate"/>
        </w:r>
        <w:r w:rsidR="00024183">
          <w:rPr>
            <w:webHidden/>
          </w:rPr>
          <w:t>99</w:t>
        </w:r>
        <w:r w:rsidR="00065C5B">
          <w:rPr>
            <w:webHidden/>
          </w:rPr>
          <w:fldChar w:fldCharType="end"/>
        </w:r>
      </w:hyperlink>
    </w:p>
    <w:p w14:paraId="1048C636" w14:textId="123449FC" w:rsidR="00065C5B" w:rsidRDefault="00A53410">
      <w:pPr>
        <w:pStyle w:val="TOC3"/>
        <w:tabs>
          <w:tab w:val="left" w:pos="1440"/>
        </w:tabs>
        <w:rPr>
          <w:rFonts w:cstheme="minorBidi"/>
          <w:sz w:val="22"/>
          <w:szCs w:val="22"/>
          <w:lang w:eastAsia="zh-CN" w:bidi="ar-SA"/>
        </w:rPr>
      </w:pPr>
      <w:hyperlink w:anchor="_Toc494014245" w:history="1">
        <w:r w:rsidR="00065C5B" w:rsidRPr="000413A8">
          <w:rPr>
            <w:rStyle w:val="Hyperlink"/>
          </w:rPr>
          <w:t>5.6.3</w:t>
        </w:r>
        <w:r w:rsidR="00065C5B">
          <w:rPr>
            <w:rFonts w:cstheme="minorBidi"/>
            <w:sz w:val="22"/>
            <w:szCs w:val="22"/>
            <w:lang w:eastAsia="zh-CN" w:bidi="ar-SA"/>
          </w:rPr>
          <w:tab/>
        </w:r>
        <w:r w:rsidR="00065C5B" w:rsidRPr="000413A8">
          <w:rPr>
            <w:rStyle w:val="Hyperlink"/>
          </w:rPr>
          <w:t>Impact of Spatial Distribution of Pore Size</w:t>
        </w:r>
        <w:r w:rsidR="00065C5B">
          <w:rPr>
            <w:webHidden/>
          </w:rPr>
          <w:tab/>
        </w:r>
        <w:r w:rsidR="00065C5B">
          <w:rPr>
            <w:webHidden/>
          </w:rPr>
          <w:fldChar w:fldCharType="begin"/>
        </w:r>
        <w:r w:rsidR="00065C5B">
          <w:rPr>
            <w:webHidden/>
          </w:rPr>
          <w:instrText xml:space="preserve"> PAGEREF _Toc494014245 \h </w:instrText>
        </w:r>
        <w:r w:rsidR="00065C5B">
          <w:rPr>
            <w:webHidden/>
          </w:rPr>
        </w:r>
        <w:r w:rsidR="00065C5B">
          <w:rPr>
            <w:webHidden/>
          </w:rPr>
          <w:fldChar w:fldCharType="separate"/>
        </w:r>
        <w:r w:rsidR="00024183">
          <w:rPr>
            <w:webHidden/>
          </w:rPr>
          <w:t>102</w:t>
        </w:r>
        <w:r w:rsidR="00065C5B">
          <w:rPr>
            <w:webHidden/>
          </w:rPr>
          <w:fldChar w:fldCharType="end"/>
        </w:r>
      </w:hyperlink>
    </w:p>
    <w:p w14:paraId="52E8AEFA" w14:textId="20E42298" w:rsidR="00065C5B" w:rsidRDefault="00A53410">
      <w:pPr>
        <w:pStyle w:val="TOC3"/>
        <w:tabs>
          <w:tab w:val="left" w:pos="1440"/>
        </w:tabs>
        <w:rPr>
          <w:rFonts w:cstheme="minorBidi"/>
          <w:sz w:val="22"/>
          <w:szCs w:val="22"/>
          <w:lang w:eastAsia="zh-CN" w:bidi="ar-SA"/>
        </w:rPr>
      </w:pPr>
      <w:hyperlink w:anchor="_Toc494014246" w:history="1">
        <w:r w:rsidR="00065C5B" w:rsidRPr="000413A8">
          <w:rPr>
            <w:rStyle w:val="Hyperlink"/>
          </w:rPr>
          <w:t>5.6.4</w:t>
        </w:r>
        <w:r w:rsidR="00065C5B">
          <w:rPr>
            <w:rFonts w:cstheme="minorBidi"/>
            <w:sz w:val="22"/>
            <w:szCs w:val="22"/>
            <w:lang w:eastAsia="zh-CN" w:bidi="ar-SA"/>
          </w:rPr>
          <w:tab/>
        </w:r>
        <w:r w:rsidR="00065C5B" w:rsidRPr="000413A8">
          <w:rPr>
            <w:rStyle w:val="Hyperlink"/>
          </w:rPr>
          <w:t>Impact of Natural Fracture</w:t>
        </w:r>
        <w:r w:rsidR="00065C5B">
          <w:rPr>
            <w:webHidden/>
          </w:rPr>
          <w:tab/>
        </w:r>
        <w:r w:rsidR="00065C5B">
          <w:rPr>
            <w:webHidden/>
          </w:rPr>
          <w:fldChar w:fldCharType="begin"/>
        </w:r>
        <w:r w:rsidR="00065C5B">
          <w:rPr>
            <w:webHidden/>
          </w:rPr>
          <w:instrText xml:space="preserve"> PAGEREF _Toc494014246 \h </w:instrText>
        </w:r>
        <w:r w:rsidR="00065C5B">
          <w:rPr>
            <w:webHidden/>
          </w:rPr>
        </w:r>
        <w:r w:rsidR="00065C5B">
          <w:rPr>
            <w:webHidden/>
          </w:rPr>
          <w:fldChar w:fldCharType="separate"/>
        </w:r>
        <w:r w:rsidR="00024183">
          <w:rPr>
            <w:webHidden/>
          </w:rPr>
          <w:t>104</w:t>
        </w:r>
        <w:r w:rsidR="00065C5B">
          <w:rPr>
            <w:webHidden/>
          </w:rPr>
          <w:fldChar w:fldCharType="end"/>
        </w:r>
      </w:hyperlink>
    </w:p>
    <w:p w14:paraId="438D90DA" w14:textId="65912418" w:rsidR="00065C5B" w:rsidRDefault="00A53410">
      <w:pPr>
        <w:pStyle w:val="TOC3"/>
        <w:tabs>
          <w:tab w:val="left" w:pos="1440"/>
        </w:tabs>
        <w:rPr>
          <w:rFonts w:cstheme="minorBidi"/>
          <w:sz w:val="22"/>
          <w:szCs w:val="22"/>
          <w:lang w:eastAsia="zh-CN" w:bidi="ar-SA"/>
        </w:rPr>
      </w:pPr>
      <w:hyperlink w:anchor="_Toc494014247" w:history="1">
        <w:r w:rsidR="00065C5B" w:rsidRPr="000413A8">
          <w:rPr>
            <w:rStyle w:val="Hyperlink"/>
          </w:rPr>
          <w:t>5.6.5</w:t>
        </w:r>
        <w:r w:rsidR="00065C5B">
          <w:rPr>
            <w:rFonts w:cstheme="minorBidi"/>
            <w:sz w:val="22"/>
            <w:szCs w:val="22"/>
            <w:lang w:eastAsia="zh-CN" w:bidi="ar-SA"/>
          </w:rPr>
          <w:tab/>
        </w:r>
        <w:r w:rsidR="00065C5B" w:rsidRPr="000413A8">
          <w:rPr>
            <w:rStyle w:val="Hyperlink"/>
          </w:rPr>
          <w:t>Sensitivity Analysis</w:t>
        </w:r>
        <w:r w:rsidR="00065C5B">
          <w:rPr>
            <w:webHidden/>
          </w:rPr>
          <w:tab/>
        </w:r>
        <w:r w:rsidR="00065C5B">
          <w:rPr>
            <w:webHidden/>
          </w:rPr>
          <w:fldChar w:fldCharType="begin"/>
        </w:r>
        <w:r w:rsidR="00065C5B">
          <w:rPr>
            <w:webHidden/>
          </w:rPr>
          <w:instrText xml:space="preserve"> PAGEREF _Toc494014247 \h </w:instrText>
        </w:r>
        <w:r w:rsidR="00065C5B">
          <w:rPr>
            <w:webHidden/>
          </w:rPr>
        </w:r>
        <w:r w:rsidR="00065C5B">
          <w:rPr>
            <w:webHidden/>
          </w:rPr>
          <w:fldChar w:fldCharType="separate"/>
        </w:r>
        <w:r w:rsidR="00024183">
          <w:rPr>
            <w:webHidden/>
          </w:rPr>
          <w:t>105</w:t>
        </w:r>
        <w:r w:rsidR="00065C5B">
          <w:rPr>
            <w:webHidden/>
          </w:rPr>
          <w:fldChar w:fldCharType="end"/>
        </w:r>
      </w:hyperlink>
    </w:p>
    <w:p w14:paraId="28FAC17B" w14:textId="1D1CCBE6" w:rsidR="00065C5B" w:rsidRDefault="00A53410">
      <w:pPr>
        <w:pStyle w:val="TOC3"/>
        <w:tabs>
          <w:tab w:val="left" w:pos="1440"/>
        </w:tabs>
        <w:rPr>
          <w:rFonts w:cstheme="minorBidi"/>
          <w:sz w:val="22"/>
          <w:szCs w:val="22"/>
          <w:lang w:eastAsia="zh-CN" w:bidi="ar-SA"/>
        </w:rPr>
      </w:pPr>
      <w:hyperlink w:anchor="_Toc494014248" w:history="1">
        <w:r w:rsidR="00065C5B" w:rsidRPr="000413A8">
          <w:rPr>
            <w:rStyle w:val="Hyperlink"/>
          </w:rPr>
          <w:t>5.6.6</w:t>
        </w:r>
        <w:r w:rsidR="00065C5B">
          <w:rPr>
            <w:rFonts w:cstheme="minorBidi"/>
            <w:sz w:val="22"/>
            <w:szCs w:val="22"/>
            <w:lang w:eastAsia="zh-CN" w:bidi="ar-SA"/>
          </w:rPr>
          <w:tab/>
        </w:r>
        <w:r w:rsidR="00065C5B" w:rsidRPr="000413A8">
          <w:rPr>
            <w:rStyle w:val="Hyperlink"/>
          </w:rPr>
          <w:t>Discussion</w:t>
        </w:r>
        <w:r w:rsidR="00065C5B">
          <w:rPr>
            <w:webHidden/>
          </w:rPr>
          <w:tab/>
        </w:r>
        <w:r w:rsidR="00065C5B">
          <w:rPr>
            <w:webHidden/>
          </w:rPr>
          <w:fldChar w:fldCharType="begin"/>
        </w:r>
        <w:r w:rsidR="00065C5B">
          <w:rPr>
            <w:webHidden/>
          </w:rPr>
          <w:instrText xml:space="preserve"> PAGEREF _Toc494014248 \h </w:instrText>
        </w:r>
        <w:r w:rsidR="00065C5B">
          <w:rPr>
            <w:webHidden/>
          </w:rPr>
        </w:r>
        <w:r w:rsidR="00065C5B">
          <w:rPr>
            <w:webHidden/>
          </w:rPr>
          <w:fldChar w:fldCharType="separate"/>
        </w:r>
        <w:r w:rsidR="00024183">
          <w:rPr>
            <w:webHidden/>
          </w:rPr>
          <w:t>111</w:t>
        </w:r>
        <w:r w:rsidR="00065C5B">
          <w:rPr>
            <w:webHidden/>
          </w:rPr>
          <w:fldChar w:fldCharType="end"/>
        </w:r>
      </w:hyperlink>
    </w:p>
    <w:p w14:paraId="36DD4DB2" w14:textId="262CA4F1" w:rsidR="00065C5B" w:rsidRDefault="00A53410">
      <w:pPr>
        <w:pStyle w:val="TOC2"/>
        <w:rPr>
          <w:rFonts w:cstheme="minorBidi"/>
          <w:noProof/>
          <w:sz w:val="22"/>
          <w:szCs w:val="22"/>
          <w:lang w:eastAsia="zh-CN" w:bidi="ar-SA"/>
        </w:rPr>
      </w:pPr>
      <w:hyperlink w:anchor="_Toc494014249" w:history="1">
        <w:r w:rsidR="00065C5B" w:rsidRPr="000413A8">
          <w:rPr>
            <w:rStyle w:val="Hyperlink"/>
            <w:noProof/>
          </w:rPr>
          <w:t>Nomenclature</w:t>
        </w:r>
        <w:r w:rsidR="00065C5B">
          <w:rPr>
            <w:noProof/>
            <w:webHidden/>
          </w:rPr>
          <w:tab/>
        </w:r>
        <w:r w:rsidR="00065C5B">
          <w:rPr>
            <w:noProof/>
            <w:webHidden/>
          </w:rPr>
          <w:fldChar w:fldCharType="begin"/>
        </w:r>
        <w:r w:rsidR="00065C5B">
          <w:rPr>
            <w:noProof/>
            <w:webHidden/>
          </w:rPr>
          <w:instrText xml:space="preserve"> PAGEREF _Toc494014249 \h </w:instrText>
        </w:r>
        <w:r w:rsidR="00065C5B">
          <w:rPr>
            <w:noProof/>
            <w:webHidden/>
          </w:rPr>
        </w:r>
        <w:r w:rsidR="00065C5B">
          <w:rPr>
            <w:noProof/>
            <w:webHidden/>
          </w:rPr>
          <w:fldChar w:fldCharType="separate"/>
        </w:r>
        <w:r w:rsidR="00024183">
          <w:rPr>
            <w:noProof/>
            <w:webHidden/>
          </w:rPr>
          <w:t>115</w:t>
        </w:r>
        <w:r w:rsidR="00065C5B">
          <w:rPr>
            <w:noProof/>
            <w:webHidden/>
          </w:rPr>
          <w:fldChar w:fldCharType="end"/>
        </w:r>
      </w:hyperlink>
    </w:p>
    <w:p w14:paraId="62FA807A" w14:textId="63A67B1F" w:rsidR="00065C5B" w:rsidRDefault="00A53410">
      <w:pPr>
        <w:pStyle w:val="TOC1"/>
        <w:tabs>
          <w:tab w:val="left" w:pos="1440"/>
        </w:tabs>
        <w:rPr>
          <w:rFonts w:cstheme="minorBidi"/>
          <w:sz w:val="22"/>
          <w:szCs w:val="22"/>
          <w:lang w:eastAsia="zh-CN" w:bidi="ar-SA"/>
        </w:rPr>
      </w:pPr>
      <w:hyperlink w:anchor="_Toc494014250" w:history="1">
        <w:r w:rsidR="00065C5B" w:rsidRPr="000413A8">
          <w:rPr>
            <w:rStyle w:val="Hyperlink"/>
          </w:rPr>
          <w:t>Chapter 6.</w:t>
        </w:r>
        <w:r w:rsidR="00065C5B">
          <w:rPr>
            <w:rFonts w:cstheme="minorBidi"/>
            <w:sz w:val="22"/>
            <w:szCs w:val="22"/>
            <w:lang w:eastAsia="zh-CN" w:bidi="ar-SA"/>
          </w:rPr>
          <w:tab/>
        </w:r>
        <w:r w:rsidR="00065C5B" w:rsidRPr="000413A8">
          <w:rPr>
            <w:rStyle w:val="Hyperlink"/>
          </w:rPr>
          <w:t>Conclusions and Recommendations</w:t>
        </w:r>
        <w:r w:rsidR="00065C5B">
          <w:rPr>
            <w:webHidden/>
          </w:rPr>
          <w:tab/>
        </w:r>
        <w:r w:rsidR="00065C5B">
          <w:rPr>
            <w:webHidden/>
          </w:rPr>
          <w:fldChar w:fldCharType="begin"/>
        </w:r>
        <w:r w:rsidR="00065C5B">
          <w:rPr>
            <w:webHidden/>
          </w:rPr>
          <w:instrText xml:space="preserve"> PAGEREF _Toc494014250 \h </w:instrText>
        </w:r>
        <w:r w:rsidR="00065C5B">
          <w:rPr>
            <w:webHidden/>
          </w:rPr>
        </w:r>
        <w:r w:rsidR="00065C5B">
          <w:rPr>
            <w:webHidden/>
          </w:rPr>
          <w:fldChar w:fldCharType="separate"/>
        </w:r>
        <w:r w:rsidR="00024183">
          <w:rPr>
            <w:webHidden/>
          </w:rPr>
          <w:t>117</w:t>
        </w:r>
        <w:r w:rsidR="00065C5B">
          <w:rPr>
            <w:webHidden/>
          </w:rPr>
          <w:fldChar w:fldCharType="end"/>
        </w:r>
      </w:hyperlink>
    </w:p>
    <w:p w14:paraId="3F1FA7DB" w14:textId="2AF5E7EC" w:rsidR="00065C5B" w:rsidRDefault="00A53410">
      <w:pPr>
        <w:pStyle w:val="TOC2"/>
        <w:rPr>
          <w:rFonts w:cstheme="minorBidi"/>
          <w:noProof/>
          <w:sz w:val="22"/>
          <w:szCs w:val="22"/>
          <w:lang w:eastAsia="zh-CN" w:bidi="ar-SA"/>
        </w:rPr>
      </w:pPr>
      <w:hyperlink w:anchor="_Toc494014251" w:history="1">
        <w:r w:rsidR="00065C5B" w:rsidRPr="000413A8">
          <w:rPr>
            <w:rStyle w:val="Hyperlink"/>
            <w:noProof/>
          </w:rPr>
          <w:t>6.1</w:t>
        </w:r>
        <w:r w:rsidR="00065C5B">
          <w:rPr>
            <w:rFonts w:cstheme="minorBidi"/>
            <w:noProof/>
            <w:sz w:val="22"/>
            <w:szCs w:val="22"/>
            <w:lang w:eastAsia="zh-CN" w:bidi="ar-SA"/>
          </w:rPr>
          <w:tab/>
        </w:r>
        <w:r w:rsidR="00065C5B" w:rsidRPr="000413A8">
          <w:rPr>
            <w:rStyle w:val="Hyperlink"/>
            <w:noProof/>
          </w:rPr>
          <w:t>Conclusions</w:t>
        </w:r>
        <w:r w:rsidR="00065C5B">
          <w:rPr>
            <w:noProof/>
            <w:webHidden/>
          </w:rPr>
          <w:tab/>
        </w:r>
        <w:r w:rsidR="00065C5B">
          <w:rPr>
            <w:noProof/>
            <w:webHidden/>
          </w:rPr>
          <w:fldChar w:fldCharType="begin"/>
        </w:r>
        <w:r w:rsidR="00065C5B">
          <w:rPr>
            <w:noProof/>
            <w:webHidden/>
          </w:rPr>
          <w:instrText xml:space="preserve"> PAGEREF _Toc494014251 \h </w:instrText>
        </w:r>
        <w:r w:rsidR="00065C5B">
          <w:rPr>
            <w:noProof/>
            <w:webHidden/>
          </w:rPr>
        </w:r>
        <w:r w:rsidR="00065C5B">
          <w:rPr>
            <w:noProof/>
            <w:webHidden/>
          </w:rPr>
          <w:fldChar w:fldCharType="separate"/>
        </w:r>
        <w:r w:rsidR="00024183">
          <w:rPr>
            <w:noProof/>
            <w:webHidden/>
          </w:rPr>
          <w:t>117</w:t>
        </w:r>
        <w:r w:rsidR="00065C5B">
          <w:rPr>
            <w:noProof/>
            <w:webHidden/>
          </w:rPr>
          <w:fldChar w:fldCharType="end"/>
        </w:r>
      </w:hyperlink>
    </w:p>
    <w:p w14:paraId="3C7746BD" w14:textId="34B6C743" w:rsidR="00065C5B" w:rsidRDefault="00A53410">
      <w:pPr>
        <w:pStyle w:val="TOC2"/>
        <w:rPr>
          <w:rFonts w:cstheme="minorBidi"/>
          <w:noProof/>
          <w:sz w:val="22"/>
          <w:szCs w:val="22"/>
          <w:lang w:eastAsia="zh-CN" w:bidi="ar-SA"/>
        </w:rPr>
      </w:pPr>
      <w:hyperlink w:anchor="_Toc494014252" w:history="1">
        <w:r w:rsidR="00065C5B" w:rsidRPr="000413A8">
          <w:rPr>
            <w:rStyle w:val="Hyperlink"/>
            <w:noProof/>
          </w:rPr>
          <w:t>6.2</w:t>
        </w:r>
        <w:r w:rsidR="00065C5B">
          <w:rPr>
            <w:rFonts w:cstheme="minorBidi"/>
            <w:noProof/>
            <w:sz w:val="22"/>
            <w:szCs w:val="22"/>
            <w:lang w:eastAsia="zh-CN" w:bidi="ar-SA"/>
          </w:rPr>
          <w:tab/>
        </w:r>
        <w:r w:rsidR="00065C5B" w:rsidRPr="000413A8">
          <w:rPr>
            <w:rStyle w:val="Hyperlink"/>
            <w:noProof/>
          </w:rPr>
          <w:t>Recommendations for Future Work</w:t>
        </w:r>
        <w:r w:rsidR="00065C5B">
          <w:rPr>
            <w:noProof/>
            <w:webHidden/>
          </w:rPr>
          <w:tab/>
        </w:r>
        <w:r w:rsidR="00065C5B">
          <w:rPr>
            <w:noProof/>
            <w:webHidden/>
          </w:rPr>
          <w:fldChar w:fldCharType="begin"/>
        </w:r>
        <w:r w:rsidR="00065C5B">
          <w:rPr>
            <w:noProof/>
            <w:webHidden/>
          </w:rPr>
          <w:instrText xml:space="preserve"> PAGEREF _Toc494014252 \h </w:instrText>
        </w:r>
        <w:r w:rsidR="00065C5B">
          <w:rPr>
            <w:noProof/>
            <w:webHidden/>
          </w:rPr>
        </w:r>
        <w:r w:rsidR="00065C5B">
          <w:rPr>
            <w:noProof/>
            <w:webHidden/>
          </w:rPr>
          <w:fldChar w:fldCharType="separate"/>
        </w:r>
        <w:r w:rsidR="00024183">
          <w:rPr>
            <w:noProof/>
            <w:webHidden/>
          </w:rPr>
          <w:t>119</w:t>
        </w:r>
        <w:r w:rsidR="00065C5B">
          <w:rPr>
            <w:noProof/>
            <w:webHidden/>
          </w:rPr>
          <w:fldChar w:fldCharType="end"/>
        </w:r>
      </w:hyperlink>
    </w:p>
    <w:p w14:paraId="46E193C1" w14:textId="743C36C7" w:rsidR="00065C5B" w:rsidRDefault="00A53410">
      <w:pPr>
        <w:pStyle w:val="TOC1"/>
        <w:rPr>
          <w:rFonts w:cstheme="minorBidi"/>
          <w:sz w:val="22"/>
          <w:szCs w:val="22"/>
          <w:lang w:eastAsia="zh-CN" w:bidi="ar-SA"/>
        </w:rPr>
      </w:pPr>
      <w:hyperlink w:anchor="_Toc494014253" w:history="1">
        <w:r w:rsidR="00065C5B" w:rsidRPr="000413A8">
          <w:rPr>
            <w:rStyle w:val="Hyperlink"/>
          </w:rPr>
          <w:t>References</w:t>
        </w:r>
        <w:r w:rsidR="00065C5B">
          <w:rPr>
            <w:webHidden/>
          </w:rPr>
          <w:tab/>
        </w:r>
        <w:r w:rsidR="00065C5B">
          <w:rPr>
            <w:webHidden/>
          </w:rPr>
          <w:fldChar w:fldCharType="begin"/>
        </w:r>
        <w:r w:rsidR="00065C5B">
          <w:rPr>
            <w:webHidden/>
          </w:rPr>
          <w:instrText xml:space="preserve"> PAGEREF _Toc494014253 \h </w:instrText>
        </w:r>
        <w:r w:rsidR="00065C5B">
          <w:rPr>
            <w:webHidden/>
          </w:rPr>
        </w:r>
        <w:r w:rsidR="00065C5B">
          <w:rPr>
            <w:webHidden/>
          </w:rPr>
          <w:fldChar w:fldCharType="separate"/>
        </w:r>
        <w:r w:rsidR="00024183">
          <w:rPr>
            <w:webHidden/>
          </w:rPr>
          <w:t>120</w:t>
        </w:r>
        <w:r w:rsidR="00065C5B">
          <w:rPr>
            <w:webHidden/>
          </w:rPr>
          <w:fldChar w:fldCharType="end"/>
        </w:r>
      </w:hyperlink>
    </w:p>
    <w:p w14:paraId="56EE3DCF" w14:textId="47114262" w:rsidR="00065C5B" w:rsidRDefault="00A53410">
      <w:pPr>
        <w:pStyle w:val="TOC1"/>
        <w:rPr>
          <w:rFonts w:cstheme="minorBidi"/>
          <w:sz w:val="22"/>
          <w:szCs w:val="22"/>
          <w:lang w:eastAsia="zh-CN" w:bidi="ar-SA"/>
        </w:rPr>
      </w:pPr>
      <w:hyperlink w:anchor="_Toc494014254" w:history="1">
        <w:r w:rsidR="00065C5B" w:rsidRPr="000413A8">
          <w:rPr>
            <w:rStyle w:val="Hyperlink"/>
          </w:rPr>
          <w:t>Appendix A: Derivation of Modified MoM</w:t>
        </w:r>
        <w:r w:rsidR="00065C5B">
          <w:rPr>
            <w:webHidden/>
          </w:rPr>
          <w:tab/>
        </w:r>
        <w:r w:rsidR="00065C5B">
          <w:rPr>
            <w:webHidden/>
          </w:rPr>
          <w:fldChar w:fldCharType="begin"/>
        </w:r>
        <w:r w:rsidR="00065C5B">
          <w:rPr>
            <w:webHidden/>
          </w:rPr>
          <w:instrText xml:space="preserve"> PAGEREF _Toc494014254 \h </w:instrText>
        </w:r>
        <w:r w:rsidR="00065C5B">
          <w:rPr>
            <w:webHidden/>
          </w:rPr>
        </w:r>
        <w:r w:rsidR="00065C5B">
          <w:rPr>
            <w:webHidden/>
          </w:rPr>
          <w:fldChar w:fldCharType="separate"/>
        </w:r>
        <w:r w:rsidR="00024183">
          <w:rPr>
            <w:webHidden/>
          </w:rPr>
          <w:t>129</w:t>
        </w:r>
        <w:r w:rsidR="00065C5B">
          <w:rPr>
            <w:webHidden/>
          </w:rPr>
          <w:fldChar w:fldCharType="end"/>
        </w:r>
      </w:hyperlink>
    </w:p>
    <w:p w14:paraId="0CC62138" w14:textId="74152B41" w:rsidR="00065C5B" w:rsidRDefault="00A53410">
      <w:pPr>
        <w:pStyle w:val="TOC1"/>
        <w:rPr>
          <w:rFonts w:cstheme="minorBidi"/>
          <w:sz w:val="22"/>
          <w:szCs w:val="22"/>
          <w:lang w:eastAsia="zh-CN" w:bidi="ar-SA"/>
        </w:rPr>
      </w:pPr>
      <w:hyperlink w:anchor="_Toc494014255" w:history="1">
        <w:r w:rsidR="00065C5B" w:rsidRPr="000413A8">
          <w:rPr>
            <w:rStyle w:val="Hyperlink"/>
          </w:rPr>
          <w:t>Appendix B: Simulation Input File for SWCTT</w:t>
        </w:r>
        <w:r w:rsidR="00065C5B">
          <w:rPr>
            <w:webHidden/>
          </w:rPr>
          <w:tab/>
        </w:r>
        <w:r w:rsidR="00065C5B">
          <w:rPr>
            <w:webHidden/>
          </w:rPr>
          <w:fldChar w:fldCharType="begin"/>
        </w:r>
        <w:r w:rsidR="00065C5B">
          <w:rPr>
            <w:webHidden/>
          </w:rPr>
          <w:instrText xml:space="preserve"> PAGEREF _Toc494014255 \h </w:instrText>
        </w:r>
        <w:r w:rsidR="00065C5B">
          <w:rPr>
            <w:webHidden/>
          </w:rPr>
        </w:r>
        <w:r w:rsidR="00065C5B">
          <w:rPr>
            <w:webHidden/>
          </w:rPr>
          <w:fldChar w:fldCharType="separate"/>
        </w:r>
        <w:r w:rsidR="00024183">
          <w:rPr>
            <w:webHidden/>
          </w:rPr>
          <w:t>135</w:t>
        </w:r>
        <w:r w:rsidR="00065C5B">
          <w:rPr>
            <w:webHidden/>
          </w:rPr>
          <w:fldChar w:fldCharType="end"/>
        </w:r>
      </w:hyperlink>
    </w:p>
    <w:p w14:paraId="10167365" w14:textId="29F33567" w:rsidR="00025D67" w:rsidRPr="0078679A" w:rsidRDefault="00BE3C55" w:rsidP="00025D67">
      <w:pPr>
        <w:pStyle w:val="NoSpacing"/>
      </w:pPr>
      <w:r>
        <w:rPr>
          <w:noProof/>
          <w:szCs w:val="24"/>
        </w:rPr>
        <w:fldChar w:fldCharType="end"/>
      </w:r>
      <w:r w:rsidR="00025D67" w:rsidRPr="0078679A">
        <w:t xml:space="preserve"> </w:t>
      </w:r>
    </w:p>
    <w:p w14:paraId="4855B4FF" w14:textId="77777777" w:rsidR="004A7222" w:rsidRPr="0078679A" w:rsidRDefault="004A7222" w:rsidP="00025D67">
      <w:pPr>
        <w:pStyle w:val="NoSpacing"/>
      </w:pPr>
    </w:p>
    <w:p w14:paraId="1B0D632B" w14:textId="77777777" w:rsidR="0052505A" w:rsidRDefault="0052505A">
      <w:pPr>
        <w:spacing w:line="240" w:lineRule="auto"/>
        <w:jc w:val="left"/>
        <w:rPr>
          <w:rFonts w:asciiTheme="majorHAnsi" w:hAnsiTheme="majorHAnsi"/>
          <w:b/>
          <w:bCs/>
          <w:sz w:val="28"/>
          <w:szCs w:val="32"/>
        </w:rPr>
      </w:pPr>
      <w:bookmarkStart w:id="6" w:name="_Toc310579465"/>
      <w:r>
        <w:br w:type="page"/>
      </w:r>
    </w:p>
    <w:p w14:paraId="6BA23BDD" w14:textId="77777777" w:rsidR="00775701" w:rsidRDefault="00DA1971" w:rsidP="004D1572">
      <w:pPr>
        <w:pStyle w:val="Heading1Modified"/>
      </w:pPr>
      <w:bookmarkStart w:id="7" w:name="_Toc494014184"/>
      <w:r>
        <w:lastRenderedPageBreak/>
        <w:t>List of Tables</w:t>
      </w:r>
      <w:bookmarkEnd w:id="6"/>
      <w:bookmarkEnd w:id="7"/>
    </w:p>
    <w:p w14:paraId="5DD2DB2C" w14:textId="701E7FB6" w:rsidR="00065C5B" w:rsidRDefault="0052505A">
      <w:pPr>
        <w:pStyle w:val="TableofFigures"/>
        <w:rPr>
          <w:rFonts w:cstheme="minorBidi"/>
          <w:noProof/>
          <w:sz w:val="22"/>
          <w:szCs w:val="22"/>
          <w:lang w:eastAsia="zh-CN" w:bidi="ar-SA"/>
        </w:rPr>
      </w:pPr>
      <w:r>
        <w:fldChar w:fldCharType="begin"/>
      </w:r>
      <w:r>
        <w:instrText xml:space="preserve"> TOC \h \z \c "Table" </w:instrText>
      </w:r>
      <w:r>
        <w:fldChar w:fldCharType="separate"/>
      </w:r>
      <w:hyperlink w:anchor="_Toc494014256" w:history="1">
        <w:r w:rsidR="00065C5B" w:rsidRPr="000A0FAB">
          <w:rPr>
            <w:rStyle w:val="Hyperlink"/>
            <w:noProof/>
          </w:rPr>
          <w:t>Table 2</w:t>
        </w:r>
        <w:r w:rsidR="00065C5B" w:rsidRPr="000A0FAB">
          <w:rPr>
            <w:rStyle w:val="Hyperlink"/>
            <w:noProof/>
          </w:rPr>
          <w:noBreakHyphen/>
          <w:t>1. Input parameters in the numerical simulation</w:t>
        </w:r>
        <w:r w:rsidR="00065C5B">
          <w:rPr>
            <w:noProof/>
            <w:webHidden/>
          </w:rPr>
          <w:tab/>
        </w:r>
        <w:r w:rsidR="00065C5B">
          <w:rPr>
            <w:noProof/>
            <w:webHidden/>
          </w:rPr>
          <w:fldChar w:fldCharType="begin"/>
        </w:r>
        <w:r w:rsidR="00065C5B">
          <w:rPr>
            <w:noProof/>
            <w:webHidden/>
          </w:rPr>
          <w:instrText xml:space="preserve"> PAGEREF _Toc494014256 \h </w:instrText>
        </w:r>
        <w:r w:rsidR="00065C5B">
          <w:rPr>
            <w:noProof/>
            <w:webHidden/>
          </w:rPr>
        </w:r>
        <w:r w:rsidR="00065C5B">
          <w:rPr>
            <w:noProof/>
            <w:webHidden/>
          </w:rPr>
          <w:fldChar w:fldCharType="separate"/>
        </w:r>
        <w:r w:rsidR="00024183">
          <w:rPr>
            <w:noProof/>
            <w:webHidden/>
          </w:rPr>
          <w:t>18</w:t>
        </w:r>
        <w:r w:rsidR="00065C5B">
          <w:rPr>
            <w:noProof/>
            <w:webHidden/>
          </w:rPr>
          <w:fldChar w:fldCharType="end"/>
        </w:r>
      </w:hyperlink>
    </w:p>
    <w:p w14:paraId="7D2F0F6E" w14:textId="253372B5" w:rsidR="00065C5B" w:rsidRDefault="00A53410">
      <w:pPr>
        <w:pStyle w:val="TableofFigures"/>
        <w:rPr>
          <w:rFonts w:cstheme="minorBidi"/>
          <w:noProof/>
          <w:sz w:val="22"/>
          <w:szCs w:val="22"/>
          <w:lang w:eastAsia="zh-CN" w:bidi="ar-SA"/>
        </w:rPr>
      </w:pPr>
      <w:hyperlink w:anchor="_Toc494014257" w:history="1">
        <w:r w:rsidR="00065C5B" w:rsidRPr="000A0FAB">
          <w:rPr>
            <w:rStyle w:val="Hyperlink"/>
            <w:noProof/>
          </w:rPr>
          <w:t>Table 2</w:t>
        </w:r>
        <w:r w:rsidR="00065C5B" w:rsidRPr="000A0FAB">
          <w:rPr>
            <w:rStyle w:val="Hyperlink"/>
            <w:noProof/>
          </w:rPr>
          <w:noBreakHyphen/>
          <w:t>2. Proposed approach verification through modified SWCTT procedure</w:t>
        </w:r>
        <w:r w:rsidR="00065C5B">
          <w:rPr>
            <w:noProof/>
            <w:webHidden/>
          </w:rPr>
          <w:tab/>
        </w:r>
        <w:r w:rsidR="00065C5B">
          <w:rPr>
            <w:noProof/>
            <w:webHidden/>
          </w:rPr>
          <w:fldChar w:fldCharType="begin"/>
        </w:r>
        <w:r w:rsidR="00065C5B">
          <w:rPr>
            <w:noProof/>
            <w:webHidden/>
          </w:rPr>
          <w:instrText xml:space="preserve"> PAGEREF _Toc494014257 \h </w:instrText>
        </w:r>
        <w:r w:rsidR="00065C5B">
          <w:rPr>
            <w:noProof/>
            <w:webHidden/>
          </w:rPr>
        </w:r>
        <w:r w:rsidR="00065C5B">
          <w:rPr>
            <w:noProof/>
            <w:webHidden/>
          </w:rPr>
          <w:fldChar w:fldCharType="separate"/>
        </w:r>
        <w:r w:rsidR="00024183">
          <w:rPr>
            <w:noProof/>
            <w:webHidden/>
          </w:rPr>
          <w:t>21</w:t>
        </w:r>
        <w:r w:rsidR="00065C5B">
          <w:rPr>
            <w:noProof/>
            <w:webHidden/>
          </w:rPr>
          <w:fldChar w:fldCharType="end"/>
        </w:r>
      </w:hyperlink>
    </w:p>
    <w:p w14:paraId="116FF71C" w14:textId="74A52F24" w:rsidR="00065C5B" w:rsidRDefault="00A53410">
      <w:pPr>
        <w:pStyle w:val="TableofFigures"/>
        <w:rPr>
          <w:rFonts w:cstheme="minorBidi"/>
          <w:noProof/>
          <w:sz w:val="22"/>
          <w:szCs w:val="22"/>
          <w:lang w:eastAsia="zh-CN" w:bidi="ar-SA"/>
        </w:rPr>
      </w:pPr>
      <w:hyperlink w:anchor="_Toc494014258" w:history="1">
        <w:r w:rsidR="00065C5B" w:rsidRPr="000A0FAB">
          <w:rPr>
            <w:rStyle w:val="Hyperlink"/>
            <w:noProof/>
          </w:rPr>
          <w:t>Table 2</w:t>
        </w:r>
        <w:r w:rsidR="00065C5B" w:rsidRPr="000A0FAB">
          <w:rPr>
            <w:rStyle w:val="Hyperlink"/>
            <w:noProof/>
          </w:rPr>
          <w:noBreakHyphen/>
          <w:t>3. Result comparison with conventional interpretation methods.</w:t>
        </w:r>
        <w:r w:rsidR="00065C5B">
          <w:rPr>
            <w:noProof/>
            <w:webHidden/>
          </w:rPr>
          <w:tab/>
        </w:r>
        <w:r w:rsidR="00065C5B">
          <w:rPr>
            <w:noProof/>
            <w:webHidden/>
          </w:rPr>
          <w:fldChar w:fldCharType="begin"/>
        </w:r>
        <w:r w:rsidR="00065C5B">
          <w:rPr>
            <w:noProof/>
            <w:webHidden/>
          </w:rPr>
          <w:instrText xml:space="preserve"> PAGEREF _Toc494014258 \h </w:instrText>
        </w:r>
        <w:r w:rsidR="00065C5B">
          <w:rPr>
            <w:noProof/>
            <w:webHidden/>
          </w:rPr>
        </w:r>
        <w:r w:rsidR="00065C5B">
          <w:rPr>
            <w:noProof/>
            <w:webHidden/>
          </w:rPr>
          <w:fldChar w:fldCharType="separate"/>
        </w:r>
        <w:r w:rsidR="00024183">
          <w:rPr>
            <w:noProof/>
            <w:webHidden/>
          </w:rPr>
          <w:t>24</w:t>
        </w:r>
        <w:r w:rsidR="00065C5B">
          <w:rPr>
            <w:noProof/>
            <w:webHidden/>
          </w:rPr>
          <w:fldChar w:fldCharType="end"/>
        </w:r>
      </w:hyperlink>
    </w:p>
    <w:p w14:paraId="0F67A24D" w14:textId="2DFB780C" w:rsidR="00065C5B" w:rsidRDefault="00A53410">
      <w:pPr>
        <w:pStyle w:val="TableofFigures"/>
        <w:rPr>
          <w:rFonts w:cstheme="minorBidi"/>
          <w:noProof/>
          <w:sz w:val="22"/>
          <w:szCs w:val="22"/>
          <w:lang w:eastAsia="zh-CN" w:bidi="ar-SA"/>
        </w:rPr>
      </w:pPr>
      <w:hyperlink w:anchor="_Toc494014259" w:history="1">
        <w:r w:rsidR="00065C5B" w:rsidRPr="000A0FAB">
          <w:rPr>
            <w:rStyle w:val="Hyperlink"/>
            <w:noProof/>
          </w:rPr>
          <w:t>Table 2</w:t>
        </w:r>
        <w:r w:rsidR="00065C5B" w:rsidRPr="000A0FAB">
          <w:rPr>
            <w:rStyle w:val="Hyperlink"/>
            <w:noProof/>
          </w:rPr>
          <w:noBreakHyphen/>
          <w:t>4. Oil saturation evaluated through conventional SWCTT procedure and conventional methods.</w:t>
        </w:r>
        <w:r w:rsidR="00065C5B">
          <w:rPr>
            <w:noProof/>
            <w:webHidden/>
          </w:rPr>
          <w:tab/>
        </w:r>
        <w:r w:rsidR="00065C5B">
          <w:rPr>
            <w:noProof/>
            <w:webHidden/>
          </w:rPr>
          <w:fldChar w:fldCharType="begin"/>
        </w:r>
        <w:r w:rsidR="00065C5B">
          <w:rPr>
            <w:noProof/>
            <w:webHidden/>
          </w:rPr>
          <w:instrText xml:space="preserve"> PAGEREF _Toc494014259 \h </w:instrText>
        </w:r>
        <w:r w:rsidR="00065C5B">
          <w:rPr>
            <w:noProof/>
            <w:webHidden/>
          </w:rPr>
        </w:r>
        <w:r w:rsidR="00065C5B">
          <w:rPr>
            <w:noProof/>
            <w:webHidden/>
          </w:rPr>
          <w:fldChar w:fldCharType="separate"/>
        </w:r>
        <w:r w:rsidR="00024183">
          <w:rPr>
            <w:noProof/>
            <w:webHidden/>
          </w:rPr>
          <w:t>26</w:t>
        </w:r>
        <w:r w:rsidR="00065C5B">
          <w:rPr>
            <w:noProof/>
            <w:webHidden/>
          </w:rPr>
          <w:fldChar w:fldCharType="end"/>
        </w:r>
      </w:hyperlink>
    </w:p>
    <w:p w14:paraId="15CA0F22" w14:textId="2286D228" w:rsidR="00065C5B" w:rsidRDefault="00A53410">
      <w:pPr>
        <w:pStyle w:val="TableofFigures"/>
        <w:rPr>
          <w:rFonts w:cstheme="minorBidi"/>
          <w:noProof/>
          <w:sz w:val="22"/>
          <w:szCs w:val="22"/>
          <w:lang w:eastAsia="zh-CN" w:bidi="ar-SA"/>
        </w:rPr>
      </w:pPr>
      <w:hyperlink w:anchor="_Toc494014260" w:history="1">
        <w:r w:rsidR="00065C5B" w:rsidRPr="000A0FAB">
          <w:rPr>
            <w:rStyle w:val="Hyperlink"/>
            <w:noProof/>
          </w:rPr>
          <w:t>Table 2</w:t>
        </w:r>
        <w:r w:rsidR="00065C5B" w:rsidRPr="000A0FAB">
          <w:rPr>
            <w:rStyle w:val="Hyperlink"/>
            <w:noProof/>
          </w:rPr>
          <w:noBreakHyphen/>
          <w:t>5. Sensitive analysis results of Case 13 to Case 17, compared with base case (Case 3)</w:t>
        </w:r>
        <w:r w:rsidR="00065C5B">
          <w:rPr>
            <w:noProof/>
            <w:webHidden/>
          </w:rPr>
          <w:tab/>
        </w:r>
        <w:r w:rsidR="00065C5B">
          <w:rPr>
            <w:noProof/>
            <w:webHidden/>
          </w:rPr>
          <w:fldChar w:fldCharType="begin"/>
        </w:r>
        <w:r w:rsidR="00065C5B">
          <w:rPr>
            <w:noProof/>
            <w:webHidden/>
          </w:rPr>
          <w:instrText xml:space="preserve"> PAGEREF _Toc494014260 \h </w:instrText>
        </w:r>
        <w:r w:rsidR="00065C5B">
          <w:rPr>
            <w:noProof/>
            <w:webHidden/>
          </w:rPr>
        </w:r>
        <w:r w:rsidR="00065C5B">
          <w:rPr>
            <w:noProof/>
            <w:webHidden/>
          </w:rPr>
          <w:fldChar w:fldCharType="separate"/>
        </w:r>
        <w:r w:rsidR="00024183">
          <w:rPr>
            <w:noProof/>
            <w:webHidden/>
          </w:rPr>
          <w:t>30</w:t>
        </w:r>
        <w:r w:rsidR="00065C5B">
          <w:rPr>
            <w:noProof/>
            <w:webHidden/>
          </w:rPr>
          <w:fldChar w:fldCharType="end"/>
        </w:r>
      </w:hyperlink>
    </w:p>
    <w:p w14:paraId="03B356CF" w14:textId="29B1D0A7" w:rsidR="00065C5B" w:rsidRDefault="00A53410">
      <w:pPr>
        <w:pStyle w:val="TableofFigures"/>
        <w:rPr>
          <w:rFonts w:cstheme="minorBidi"/>
          <w:noProof/>
          <w:sz w:val="22"/>
          <w:szCs w:val="22"/>
          <w:lang w:eastAsia="zh-CN" w:bidi="ar-SA"/>
        </w:rPr>
      </w:pPr>
      <w:hyperlink w:anchor="_Toc494014261" w:history="1">
        <w:r w:rsidR="00065C5B" w:rsidRPr="000A0FAB">
          <w:rPr>
            <w:rStyle w:val="Hyperlink"/>
            <w:noProof/>
          </w:rPr>
          <w:t>Table 3</w:t>
        </w:r>
        <w:r w:rsidR="00065C5B" w:rsidRPr="000A0FAB">
          <w:rPr>
            <w:rStyle w:val="Hyperlink"/>
            <w:noProof/>
          </w:rPr>
          <w:noBreakHyphen/>
          <w:t>1. Generic Hydraulic Fracture Properties</w:t>
        </w:r>
        <w:r w:rsidR="00065C5B">
          <w:rPr>
            <w:noProof/>
            <w:webHidden/>
          </w:rPr>
          <w:tab/>
        </w:r>
        <w:r w:rsidR="00065C5B">
          <w:rPr>
            <w:noProof/>
            <w:webHidden/>
          </w:rPr>
          <w:fldChar w:fldCharType="begin"/>
        </w:r>
        <w:r w:rsidR="00065C5B">
          <w:rPr>
            <w:noProof/>
            <w:webHidden/>
          </w:rPr>
          <w:instrText xml:space="preserve"> PAGEREF _Toc494014261 \h </w:instrText>
        </w:r>
        <w:r w:rsidR="00065C5B">
          <w:rPr>
            <w:noProof/>
            <w:webHidden/>
          </w:rPr>
        </w:r>
        <w:r w:rsidR="00065C5B">
          <w:rPr>
            <w:noProof/>
            <w:webHidden/>
          </w:rPr>
          <w:fldChar w:fldCharType="separate"/>
        </w:r>
        <w:r w:rsidR="00024183">
          <w:rPr>
            <w:noProof/>
            <w:webHidden/>
          </w:rPr>
          <w:t>42</w:t>
        </w:r>
        <w:r w:rsidR="00065C5B">
          <w:rPr>
            <w:noProof/>
            <w:webHidden/>
          </w:rPr>
          <w:fldChar w:fldCharType="end"/>
        </w:r>
      </w:hyperlink>
    </w:p>
    <w:p w14:paraId="1215F34E" w14:textId="28B694E6" w:rsidR="00065C5B" w:rsidRDefault="00A53410">
      <w:pPr>
        <w:pStyle w:val="TableofFigures"/>
        <w:rPr>
          <w:rFonts w:cstheme="minorBidi"/>
          <w:noProof/>
          <w:sz w:val="22"/>
          <w:szCs w:val="22"/>
          <w:lang w:eastAsia="zh-CN" w:bidi="ar-SA"/>
        </w:rPr>
      </w:pPr>
      <w:hyperlink w:anchor="_Toc494014262" w:history="1">
        <w:r w:rsidR="00065C5B" w:rsidRPr="000A0FAB">
          <w:rPr>
            <w:rStyle w:val="Hyperlink"/>
            <w:noProof/>
          </w:rPr>
          <w:t>Table 3</w:t>
        </w:r>
        <w:r w:rsidR="00065C5B" w:rsidRPr="000A0FAB">
          <w:rPr>
            <w:rStyle w:val="Hyperlink"/>
            <w:noProof/>
          </w:rPr>
          <w:noBreakHyphen/>
          <w:t>2. Well Constraints and Fluid Properties</w:t>
        </w:r>
        <w:r w:rsidR="00065C5B">
          <w:rPr>
            <w:noProof/>
            <w:webHidden/>
          </w:rPr>
          <w:tab/>
        </w:r>
        <w:r w:rsidR="00065C5B">
          <w:rPr>
            <w:noProof/>
            <w:webHidden/>
          </w:rPr>
          <w:fldChar w:fldCharType="begin"/>
        </w:r>
        <w:r w:rsidR="00065C5B">
          <w:rPr>
            <w:noProof/>
            <w:webHidden/>
          </w:rPr>
          <w:instrText xml:space="preserve"> PAGEREF _Toc494014262 \h </w:instrText>
        </w:r>
        <w:r w:rsidR="00065C5B">
          <w:rPr>
            <w:noProof/>
            <w:webHidden/>
          </w:rPr>
        </w:r>
        <w:r w:rsidR="00065C5B">
          <w:rPr>
            <w:noProof/>
            <w:webHidden/>
          </w:rPr>
          <w:fldChar w:fldCharType="separate"/>
        </w:r>
        <w:r w:rsidR="00024183">
          <w:rPr>
            <w:noProof/>
            <w:webHidden/>
          </w:rPr>
          <w:t>44</w:t>
        </w:r>
        <w:r w:rsidR="00065C5B">
          <w:rPr>
            <w:noProof/>
            <w:webHidden/>
          </w:rPr>
          <w:fldChar w:fldCharType="end"/>
        </w:r>
      </w:hyperlink>
    </w:p>
    <w:p w14:paraId="6F23C256" w14:textId="5570850A" w:rsidR="00065C5B" w:rsidRDefault="00A53410">
      <w:pPr>
        <w:pStyle w:val="TableofFigures"/>
        <w:rPr>
          <w:rFonts w:cstheme="minorBidi"/>
          <w:noProof/>
          <w:sz w:val="22"/>
          <w:szCs w:val="22"/>
          <w:lang w:eastAsia="zh-CN" w:bidi="ar-SA"/>
        </w:rPr>
      </w:pPr>
      <w:hyperlink w:anchor="_Toc494014263" w:history="1">
        <w:r w:rsidR="00065C5B" w:rsidRPr="000A0FAB">
          <w:rPr>
            <w:rStyle w:val="Hyperlink"/>
            <w:noProof/>
          </w:rPr>
          <w:t>Table 3</w:t>
        </w:r>
        <w:r w:rsidR="00065C5B" w:rsidRPr="000A0FAB">
          <w:rPr>
            <w:rStyle w:val="Hyperlink"/>
            <w:noProof/>
          </w:rPr>
          <w:noBreakHyphen/>
          <w:t>3. Model Dimensions and Matrix Properties</w:t>
        </w:r>
        <w:r w:rsidR="00065C5B">
          <w:rPr>
            <w:noProof/>
            <w:webHidden/>
          </w:rPr>
          <w:tab/>
        </w:r>
        <w:r w:rsidR="00065C5B">
          <w:rPr>
            <w:noProof/>
            <w:webHidden/>
          </w:rPr>
          <w:fldChar w:fldCharType="begin"/>
        </w:r>
        <w:r w:rsidR="00065C5B">
          <w:rPr>
            <w:noProof/>
            <w:webHidden/>
          </w:rPr>
          <w:instrText xml:space="preserve"> PAGEREF _Toc494014263 \h </w:instrText>
        </w:r>
        <w:r w:rsidR="00065C5B">
          <w:rPr>
            <w:noProof/>
            <w:webHidden/>
          </w:rPr>
        </w:r>
        <w:r w:rsidR="00065C5B">
          <w:rPr>
            <w:noProof/>
            <w:webHidden/>
          </w:rPr>
          <w:fldChar w:fldCharType="separate"/>
        </w:r>
        <w:r w:rsidR="00024183">
          <w:rPr>
            <w:noProof/>
            <w:webHidden/>
          </w:rPr>
          <w:t>49</w:t>
        </w:r>
        <w:r w:rsidR="00065C5B">
          <w:rPr>
            <w:noProof/>
            <w:webHidden/>
          </w:rPr>
          <w:fldChar w:fldCharType="end"/>
        </w:r>
      </w:hyperlink>
    </w:p>
    <w:p w14:paraId="49E356A0" w14:textId="623AABA8" w:rsidR="00065C5B" w:rsidRDefault="00A53410">
      <w:pPr>
        <w:pStyle w:val="TableofFigures"/>
        <w:rPr>
          <w:rFonts w:cstheme="minorBidi"/>
          <w:noProof/>
          <w:sz w:val="22"/>
          <w:szCs w:val="22"/>
          <w:lang w:eastAsia="zh-CN" w:bidi="ar-SA"/>
        </w:rPr>
      </w:pPr>
      <w:hyperlink w:anchor="_Toc494014264" w:history="1">
        <w:r w:rsidR="00065C5B" w:rsidRPr="000A0FAB">
          <w:rPr>
            <w:rStyle w:val="Hyperlink"/>
            <w:noProof/>
          </w:rPr>
          <w:t>Table 3</w:t>
        </w:r>
        <w:r w:rsidR="00065C5B" w:rsidRPr="000A0FAB">
          <w:rPr>
            <w:rStyle w:val="Hyperlink"/>
            <w:noProof/>
          </w:rPr>
          <w:noBreakHyphen/>
          <w:t xml:space="preserve">4. </w:t>
        </w:r>
        <w:r w:rsidR="00065C5B" w:rsidRPr="000A0FAB">
          <w:rPr>
            <w:rStyle w:val="Hyperlink"/>
            <w:rFonts w:cs="Arial"/>
            <w:noProof/>
          </w:rPr>
          <w:t>Swept Volume Comparison</w:t>
        </w:r>
        <w:r w:rsidR="00065C5B">
          <w:rPr>
            <w:noProof/>
            <w:webHidden/>
          </w:rPr>
          <w:tab/>
        </w:r>
        <w:r w:rsidR="00065C5B">
          <w:rPr>
            <w:noProof/>
            <w:webHidden/>
          </w:rPr>
          <w:fldChar w:fldCharType="begin"/>
        </w:r>
        <w:r w:rsidR="00065C5B">
          <w:rPr>
            <w:noProof/>
            <w:webHidden/>
          </w:rPr>
          <w:instrText xml:space="preserve"> PAGEREF _Toc494014264 \h </w:instrText>
        </w:r>
        <w:r w:rsidR="00065C5B">
          <w:rPr>
            <w:noProof/>
            <w:webHidden/>
          </w:rPr>
        </w:r>
        <w:r w:rsidR="00065C5B">
          <w:rPr>
            <w:noProof/>
            <w:webHidden/>
          </w:rPr>
          <w:fldChar w:fldCharType="separate"/>
        </w:r>
        <w:r w:rsidR="00024183">
          <w:rPr>
            <w:noProof/>
            <w:webHidden/>
          </w:rPr>
          <w:t>52</w:t>
        </w:r>
        <w:r w:rsidR="00065C5B">
          <w:rPr>
            <w:noProof/>
            <w:webHidden/>
          </w:rPr>
          <w:fldChar w:fldCharType="end"/>
        </w:r>
      </w:hyperlink>
    </w:p>
    <w:p w14:paraId="317F1BDB" w14:textId="54C9FEAF" w:rsidR="00065C5B" w:rsidRDefault="00A53410">
      <w:pPr>
        <w:pStyle w:val="TableofFigures"/>
        <w:rPr>
          <w:rFonts w:cstheme="minorBidi"/>
          <w:noProof/>
          <w:sz w:val="22"/>
          <w:szCs w:val="22"/>
          <w:lang w:eastAsia="zh-CN" w:bidi="ar-SA"/>
        </w:rPr>
      </w:pPr>
      <w:hyperlink w:anchor="_Toc494014265" w:history="1">
        <w:r w:rsidR="00065C5B" w:rsidRPr="000A0FAB">
          <w:rPr>
            <w:rStyle w:val="Hyperlink"/>
            <w:noProof/>
          </w:rPr>
          <w:t>Table 3</w:t>
        </w:r>
        <w:r w:rsidR="00065C5B" w:rsidRPr="000A0FAB">
          <w:rPr>
            <w:rStyle w:val="Hyperlink"/>
            <w:noProof/>
          </w:rPr>
          <w:noBreakHyphen/>
          <w:t>5. Comparison of Swept Volume with Different Partition Coefficient</w:t>
        </w:r>
        <w:r w:rsidR="00065C5B">
          <w:rPr>
            <w:noProof/>
            <w:webHidden/>
          </w:rPr>
          <w:tab/>
        </w:r>
        <w:r w:rsidR="00065C5B">
          <w:rPr>
            <w:noProof/>
            <w:webHidden/>
          </w:rPr>
          <w:fldChar w:fldCharType="begin"/>
        </w:r>
        <w:r w:rsidR="00065C5B">
          <w:rPr>
            <w:noProof/>
            <w:webHidden/>
          </w:rPr>
          <w:instrText xml:space="preserve"> PAGEREF _Toc494014265 \h </w:instrText>
        </w:r>
        <w:r w:rsidR="00065C5B">
          <w:rPr>
            <w:noProof/>
            <w:webHidden/>
          </w:rPr>
        </w:r>
        <w:r w:rsidR="00065C5B">
          <w:rPr>
            <w:noProof/>
            <w:webHidden/>
          </w:rPr>
          <w:fldChar w:fldCharType="separate"/>
        </w:r>
        <w:r w:rsidR="00024183">
          <w:rPr>
            <w:noProof/>
            <w:webHidden/>
          </w:rPr>
          <w:t>57</w:t>
        </w:r>
        <w:r w:rsidR="00065C5B">
          <w:rPr>
            <w:noProof/>
            <w:webHidden/>
          </w:rPr>
          <w:fldChar w:fldCharType="end"/>
        </w:r>
      </w:hyperlink>
    </w:p>
    <w:p w14:paraId="745C7154" w14:textId="45BCA286" w:rsidR="00065C5B" w:rsidRDefault="00A53410">
      <w:pPr>
        <w:pStyle w:val="TableofFigures"/>
        <w:rPr>
          <w:rFonts w:cstheme="minorBidi"/>
          <w:noProof/>
          <w:sz w:val="22"/>
          <w:szCs w:val="22"/>
          <w:lang w:eastAsia="zh-CN" w:bidi="ar-SA"/>
        </w:rPr>
      </w:pPr>
      <w:hyperlink w:anchor="_Toc494014266" w:history="1">
        <w:r w:rsidR="00065C5B" w:rsidRPr="000A0FAB">
          <w:rPr>
            <w:rStyle w:val="Hyperlink"/>
            <w:noProof/>
          </w:rPr>
          <w:t>Table 3</w:t>
        </w:r>
        <w:r w:rsidR="00065C5B" w:rsidRPr="000A0FAB">
          <w:rPr>
            <w:rStyle w:val="Hyperlink"/>
            <w:noProof/>
          </w:rPr>
          <w:noBreakHyphen/>
          <w:t>6. Comparison of Swept Volume with Different Adsorption Parameter</w:t>
        </w:r>
        <w:r w:rsidR="00065C5B">
          <w:rPr>
            <w:noProof/>
            <w:webHidden/>
          </w:rPr>
          <w:tab/>
        </w:r>
        <w:r w:rsidR="00065C5B">
          <w:rPr>
            <w:noProof/>
            <w:webHidden/>
          </w:rPr>
          <w:fldChar w:fldCharType="begin"/>
        </w:r>
        <w:r w:rsidR="00065C5B">
          <w:rPr>
            <w:noProof/>
            <w:webHidden/>
          </w:rPr>
          <w:instrText xml:space="preserve"> PAGEREF _Toc494014266 \h </w:instrText>
        </w:r>
        <w:r w:rsidR="00065C5B">
          <w:rPr>
            <w:noProof/>
            <w:webHidden/>
          </w:rPr>
        </w:r>
        <w:r w:rsidR="00065C5B">
          <w:rPr>
            <w:noProof/>
            <w:webHidden/>
          </w:rPr>
          <w:fldChar w:fldCharType="separate"/>
        </w:r>
        <w:r w:rsidR="00024183">
          <w:rPr>
            <w:noProof/>
            <w:webHidden/>
          </w:rPr>
          <w:t>62</w:t>
        </w:r>
        <w:r w:rsidR="00065C5B">
          <w:rPr>
            <w:noProof/>
            <w:webHidden/>
          </w:rPr>
          <w:fldChar w:fldCharType="end"/>
        </w:r>
      </w:hyperlink>
    </w:p>
    <w:p w14:paraId="19749C61" w14:textId="7DBF2E80" w:rsidR="00065C5B" w:rsidRDefault="00A53410">
      <w:pPr>
        <w:pStyle w:val="TableofFigures"/>
        <w:rPr>
          <w:rFonts w:cstheme="minorBidi"/>
          <w:noProof/>
          <w:sz w:val="22"/>
          <w:szCs w:val="22"/>
          <w:lang w:eastAsia="zh-CN" w:bidi="ar-SA"/>
        </w:rPr>
      </w:pPr>
      <w:hyperlink w:anchor="_Toc494014267" w:history="1">
        <w:r w:rsidR="00065C5B" w:rsidRPr="000A0FAB">
          <w:rPr>
            <w:rStyle w:val="Hyperlink"/>
            <w:noProof/>
          </w:rPr>
          <w:t>Table 4</w:t>
        </w:r>
        <w:r w:rsidR="00065C5B" w:rsidRPr="000A0FAB">
          <w:rPr>
            <w:rStyle w:val="Hyperlink"/>
            <w:noProof/>
          </w:rPr>
          <w:noBreakHyphen/>
          <w:t>1. Input parameters of base case</w:t>
        </w:r>
        <w:r w:rsidR="00065C5B">
          <w:rPr>
            <w:noProof/>
            <w:webHidden/>
          </w:rPr>
          <w:tab/>
        </w:r>
        <w:r w:rsidR="00065C5B">
          <w:rPr>
            <w:noProof/>
            <w:webHidden/>
          </w:rPr>
          <w:fldChar w:fldCharType="begin"/>
        </w:r>
        <w:r w:rsidR="00065C5B">
          <w:rPr>
            <w:noProof/>
            <w:webHidden/>
          </w:rPr>
          <w:instrText xml:space="preserve"> PAGEREF _Toc494014267 \h </w:instrText>
        </w:r>
        <w:r w:rsidR="00065C5B">
          <w:rPr>
            <w:noProof/>
            <w:webHidden/>
          </w:rPr>
        </w:r>
        <w:r w:rsidR="00065C5B">
          <w:rPr>
            <w:noProof/>
            <w:webHidden/>
          </w:rPr>
          <w:fldChar w:fldCharType="separate"/>
        </w:r>
        <w:r w:rsidR="00024183">
          <w:rPr>
            <w:noProof/>
            <w:webHidden/>
          </w:rPr>
          <w:t>72</w:t>
        </w:r>
        <w:r w:rsidR="00065C5B">
          <w:rPr>
            <w:noProof/>
            <w:webHidden/>
          </w:rPr>
          <w:fldChar w:fldCharType="end"/>
        </w:r>
      </w:hyperlink>
    </w:p>
    <w:p w14:paraId="299FE844" w14:textId="193124DE" w:rsidR="00065C5B" w:rsidRDefault="00A53410">
      <w:pPr>
        <w:pStyle w:val="TableofFigures"/>
        <w:rPr>
          <w:rFonts w:cstheme="minorBidi"/>
          <w:noProof/>
          <w:sz w:val="22"/>
          <w:szCs w:val="22"/>
          <w:lang w:eastAsia="zh-CN" w:bidi="ar-SA"/>
        </w:rPr>
      </w:pPr>
      <w:hyperlink w:anchor="_Toc494014268" w:history="1">
        <w:r w:rsidR="00065C5B" w:rsidRPr="000A0FAB">
          <w:rPr>
            <w:rStyle w:val="Hyperlink"/>
            <w:noProof/>
          </w:rPr>
          <w:t>Table 5</w:t>
        </w:r>
        <w:r w:rsidR="00065C5B" w:rsidRPr="000A0FAB">
          <w:rPr>
            <w:rStyle w:val="Hyperlink"/>
            <w:noProof/>
          </w:rPr>
          <w:noBreakHyphen/>
          <w:t>1. Uranium Concentration in Different Rocks (Andrews and Wood 1972).</w:t>
        </w:r>
        <w:r w:rsidR="00065C5B">
          <w:rPr>
            <w:noProof/>
            <w:webHidden/>
          </w:rPr>
          <w:tab/>
        </w:r>
        <w:r w:rsidR="00065C5B">
          <w:rPr>
            <w:noProof/>
            <w:webHidden/>
          </w:rPr>
          <w:fldChar w:fldCharType="begin"/>
        </w:r>
        <w:r w:rsidR="00065C5B">
          <w:rPr>
            <w:noProof/>
            <w:webHidden/>
          </w:rPr>
          <w:instrText xml:space="preserve"> PAGEREF _Toc494014268 \h </w:instrText>
        </w:r>
        <w:r w:rsidR="00065C5B">
          <w:rPr>
            <w:noProof/>
            <w:webHidden/>
          </w:rPr>
        </w:r>
        <w:r w:rsidR="00065C5B">
          <w:rPr>
            <w:noProof/>
            <w:webHidden/>
          </w:rPr>
          <w:fldChar w:fldCharType="separate"/>
        </w:r>
        <w:r w:rsidR="00024183">
          <w:rPr>
            <w:noProof/>
            <w:webHidden/>
          </w:rPr>
          <w:t>80</w:t>
        </w:r>
        <w:r w:rsidR="00065C5B">
          <w:rPr>
            <w:noProof/>
            <w:webHidden/>
          </w:rPr>
          <w:fldChar w:fldCharType="end"/>
        </w:r>
      </w:hyperlink>
    </w:p>
    <w:p w14:paraId="769E46ED" w14:textId="41AB9F60" w:rsidR="00065C5B" w:rsidRDefault="00A53410">
      <w:pPr>
        <w:pStyle w:val="TableofFigures"/>
        <w:rPr>
          <w:rFonts w:cstheme="minorBidi"/>
          <w:noProof/>
          <w:sz w:val="22"/>
          <w:szCs w:val="22"/>
          <w:lang w:eastAsia="zh-CN" w:bidi="ar-SA"/>
        </w:rPr>
      </w:pPr>
      <w:hyperlink w:anchor="_Toc494014269" w:history="1">
        <w:r w:rsidR="00065C5B" w:rsidRPr="000A0FAB">
          <w:rPr>
            <w:rStyle w:val="Hyperlink"/>
            <w:noProof/>
          </w:rPr>
          <w:t>Table 5</w:t>
        </w:r>
        <w:r w:rsidR="00065C5B" w:rsidRPr="000A0FAB">
          <w:rPr>
            <w:rStyle w:val="Hyperlink"/>
            <w:noProof/>
          </w:rPr>
          <w:noBreakHyphen/>
          <w:t>2. Simulation input parameters of base case</w:t>
        </w:r>
        <w:r w:rsidR="00065C5B">
          <w:rPr>
            <w:noProof/>
            <w:webHidden/>
          </w:rPr>
          <w:tab/>
        </w:r>
        <w:r w:rsidR="00065C5B">
          <w:rPr>
            <w:noProof/>
            <w:webHidden/>
          </w:rPr>
          <w:fldChar w:fldCharType="begin"/>
        </w:r>
        <w:r w:rsidR="00065C5B">
          <w:rPr>
            <w:noProof/>
            <w:webHidden/>
          </w:rPr>
          <w:instrText xml:space="preserve"> PAGEREF _Toc494014269 \h </w:instrText>
        </w:r>
        <w:r w:rsidR="00065C5B">
          <w:rPr>
            <w:noProof/>
            <w:webHidden/>
          </w:rPr>
        </w:r>
        <w:r w:rsidR="00065C5B">
          <w:rPr>
            <w:noProof/>
            <w:webHidden/>
          </w:rPr>
          <w:fldChar w:fldCharType="separate"/>
        </w:r>
        <w:r w:rsidR="00024183">
          <w:rPr>
            <w:noProof/>
            <w:webHidden/>
          </w:rPr>
          <w:t>97</w:t>
        </w:r>
        <w:r w:rsidR="00065C5B">
          <w:rPr>
            <w:noProof/>
            <w:webHidden/>
          </w:rPr>
          <w:fldChar w:fldCharType="end"/>
        </w:r>
      </w:hyperlink>
    </w:p>
    <w:p w14:paraId="3113E437" w14:textId="6F84F475" w:rsidR="00065C5B" w:rsidRDefault="00A53410">
      <w:pPr>
        <w:pStyle w:val="TableofFigures"/>
        <w:rPr>
          <w:rFonts w:cstheme="minorBidi"/>
          <w:noProof/>
          <w:sz w:val="22"/>
          <w:szCs w:val="22"/>
          <w:lang w:eastAsia="zh-CN" w:bidi="ar-SA"/>
        </w:rPr>
      </w:pPr>
      <w:hyperlink w:anchor="_Toc494014270" w:history="1">
        <w:r w:rsidR="00065C5B" w:rsidRPr="000A0FAB">
          <w:rPr>
            <w:rStyle w:val="Hyperlink"/>
            <w:noProof/>
          </w:rPr>
          <w:t>Table 5</w:t>
        </w:r>
        <w:r w:rsidR="00065C5B" w:rsidRPr="000A0FAB">
          <w:rPr>
            <w:rStyle w:val="Hyperlink"/>
            <w:noProof/>
          </w:rPr>
          <w:noBreakHyphen/>
          <w:t>3. Radon in-situ concentration</w:t>
        </w:r>
        <w:r w:rsidR="00065C5B">
          <w:rPr>
            <w:noProof/>
            <w:webHidden/>
          </w:rPr>
          <w:tab/>
        </w:r>
        <w:r w:rsidR="00065C5B">
          <w:rPr>
            <w:noProof/>
            <w:webHidden/>
          </w:rPr>
          <w:fldChar w:fldCharType="begin"/>
        </w:r>
        <w:r w:rsidR="00065C5B">
          <w:rPr>
            <w:noProof/>
            <w:webHidden/>
          </w:rPr>
          <w:instrText xml:space="preserve"> PAGEREF _Toc494014270 \h </w:instrText>
        </w:r>
        <w:r w:rsidR="00065C5B">
          <w:rPr>
            <w:noProof/>
            <w:webHidden/>
          </w:rPr>
        </w:r>
        <w:r w:rsidR="00065C5B">
          <w:rPr>
            <w:noProof/>
            <w:webHidden/>
          </w:rPr>
          <w:fldChar w:fldCharType="separate"/>
        </w:r>
        <w:r w:rsidR="00024183">
          <w:rPr>
            <w:noProof/>
            <w:webHidden/>
          </w:rPr>
          <w:t>100</w:t>
        </w:r>
        <w:r w:rsidR="00065C5B">
          <w:rPr>
            <w:noProof/>
            <w:webHidden/>
          </w:rPr>
          <w:fldChar w:fldCharType="end"/>
        </w:r>
      </w:hyperlink>
    </w:p>
    <w:p w14:paraId="6326DE08" w14:textId="44D4FFA4" w:rsidR="00065C5B" w:rsidRDefault="00A53410">
      <w:pPr>
        <w:pStyle w:val="TableofFigures"/>
        <w:rPr>
          <w:rFonts w:cstheme="minorBidi"/>
          <w:noProof/>
          <w:sz w:val="22"/>
          <w:szCs w:val="22"/>
          <w:lang w:eastAsia="zh-CN" w:bidi="ar-SA"/>
        </w:rPr>
      </w:pPr>
      <w:hyperlink w:anchor="_Toc494014271" w:history="1">
        <w:r w:rsidR="00065C5B" w:rsidRPr="000A0FAB">
          <w:rPr>
            <w:rStyle w:val="Hyperlink"/>
            <w:noProof/>
          </w:rPr>
          <w:t>Table 5</w:t>
        </w:r>
        <w:r w:rsidR="00065C5B" w:rsidRPr="000A0FAB">
          <w:rPr>
            <w:rStyle w:val="Hyperlink"/>
            <w:noProof/>
          </w:rPr>
          <w:noBreakHyphen/>
          <w:t>4. Radon in-situ concentration in near fracture zone and far formation zone for Case D and Case E.</w:t>
        </w:r>
        <w:r w:rsidR="00065C5B">
          <w:rPr>
            <w:noProof/>
            <w:webHidden/>
          </w:rPr>
          <w:tab/>
        </w:r>
        <w:r w:rsidR="00065C5B">
          <w:rPr>
            <w:noProof/>
            <w:webHidden/>
          </w:rPr>
          <w:fldChar w:fldCharType="begin"/>
        </w:r>
        <w:r w:rsidR="00065C5B">
          <w:rPr>
            <w:noProof/>
            <w:webHidden/>
          </w:rPr>
          <w:instrText xml:space="preserve"> PAGEREF _Toc494014271 \h </w:instrText>
        </w:r>
        <w:r w:rsidR="00065C5B">
          <w:rPr>
            <w:noProof/>
            <w:webHidden/>
          </w:rPr>
        </w:r>
        <w:r w:rsidR="00065C5B">
          <w:rPr>
            <w:noProof/>
            <w:webHidden/>
          </w:rPr>
          <w:fldChar w:fldCharType="separate"/>
        </w:r>
        <w:r w:rsidR="00024183">
          <w:rPr>
            <w:noProof/>
            <w:webHidden/>
          </w:rPr>
          <w:t>103</w:t>
        </w:r>
        <w:r w:rsidR="00065C5B">
          <w:rPr>
            <w:noProof/>
            <w:webHidden/>
          </w:rPr>
          <w:fldChar w:fldCharType="end"/>
        </w:r>
      </w:hyperlink>
    </w:p>
    <w:p w14:paraId="6520C0C1" w14:textId="79DD027B" w:rsidR="00065C5B" w:rsidRDefault="00A53410">
      <w:pPr>
        <w:pStyle w:val="TableofFigures"/>
        <w:rPr>
          <w:rFonts w:cstheme="minorBidi"/>
          <w:noProof/>
          <w:sz w:val="22"/>
          <w:szCs w:val="22"/>
          <w:lang w:eastAsia="zh-CN" w:bidi="ar-SA"/>
        </w:rPr>
      </w:pPr>
      <w:hyperlink w:anchor="_Toc494014272" w:history="1">
        <w:r w:rsidR="00065C5B" w:rsidRPr="000A0FAB">
          <w:rPr>
            <w:rStyle w:val="Hyperlink"/>
            <w:noProof/>
          </w:rPr>
          <w:t>Table 5</w:t>
        </w:r>
        <w:r w:rsidR="00065C5B" w:rsidRPr="000A0FAB">
          <w:rPr>
            <w:rStyle w:val="Hyperlink"/>
            <w:noProof/>
          </w:rPr>
          <w:noBreakHyphen/>
          <w:t>5. Varied parameters for sensitivity analysis</w:t>
        </w:r>
        <w:r w:rsidR="00065C5B">
          <w:rPr>
            <w:noProof/>
            <w:webHidden/>
          </w:rPr>
          <w:tab/>
        </w:r>
        <w:r w:rsidR="00065C5B">
          <w:rPr>
            <w:noProof/>
            <w:webHidden/>
          </w:rPr>
          <w:fldChar w:fldCharType="begin"/>
        </w:r>
        <w:r w:rsidR="00065C5B">
          <w:rPr>
            <w:noProof/>
            <w:webHidden/>
          </w:rPr>
          <w:instrText xml:space="preserve"> PAGEREF _Toc494014272 \h </w:instrText>
        </w:r>
        <w:r w:rsidR="00065C5B">
          <w:rPr>
            <w:noProof/>
            <w:webHidden/>
          </w:rPr>
        </w:r>
        <w:r w:rsidR="00065C5B">
          <w:rPr>
            <w:noProof/>
            <w:webHidden/>
          </w:rPr>
          <w:fldChar w:fldCharType="separate"/>
        </w:r>
        <w:r w:rsidR="00024183">
          <w:rPr>
            <w:noProof/>
            <w:webHidden/>
          </w:rPr>
          <w:t>106</w:t>
        </w:r>
        <w:r w:rsidR="00065C5B">
          <w:rPr>
            <w:noProof/>
            <w:webHidden/>
          </w:rPr>
          <w:fldChar w:fldCharType="end"/>
        </w:r>
      </w:hyperlink>
    </w:p>
    <w:p w14:paraId="60B5C4B0" w14:textId="5328C322" w:rsidR="00DE1EF7" w:rsidRDefault="0052505A" w:rsidP="004A2B6A">
      <w:pPr>
        <w:pStyle w:val="TableofFigures"/>
      </w:pPr>
      <w:r>
        <w:fldChar w:fldCharType="end"/>
      </w:r>
    </w:p>
    <w:p w14:paraId="38476DEE" w14:textId="77777777" w:rsidR="00DA1971" w:rsidRDefault="00DA1971" w:rsidP="004D1572">
      <w:pPr>
        <w:pStyle w:val="Heading1Modified"/>
      </w:pPr>
      <w:r>
        <w:br w:type="page"/>
      </w:r>
      <w:bookmarkStart w:id="8" w:name="_Toc310579466"/>
      <w:bookmarkStart w:id="9" w:name="_Toc49401418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8"/>
      <w:bookmarkEnd w:id="9"/>
    </w:p>
    <w:p w14:paraId="2FEA50A6" w14:textId="260B52B6" w:rsidR="004F4880" w:rsidRDefault="006537EE">
      <w:pPr>
        <w:pStyle w:val="TableofFigures"/>
        <w:rPr>
          <w:rFonts w:cstheme="minorBidi"/>
          <w:noProof/>
          <w:sz w:val="22"/>
          <w:szCs w:val="22"/>
          <w:lang w:eastAsia="zh-CN" w:bidi="ar-SA"/>
        </w:rPr>
      </w:pPr>
      <w:r>
        <w:rPr>
          <w:rStyle w:val="Hyperlink"/>
          <w:noProof/>
        </w:rPr>
        <w:fldChar w:fldCharType="begin"/>
      </w:r>
      <w:r>
        <w:rPr>
          <w:rStyle w:val="Hyperlink"/>
          <w:noProof/>
        </w:rPr>
        <w:instrText xml:space="preserve"> TOC \h \z \c "Figure" </w:instrText>
      </w:r>
      <w:r>
        <w:rPr>
          <w:rStyle w:val="Hyperlink"/>
          <w:noProof/>
        </w:rPr>
        <w:fldChar w:fldCharType="separate"/>
      </w:r>
      <w:hyperlink w:anchor="_Toc495144710" w:history="1">
        <w:r w:rsidR="004F4880" w:rsidRPr="004C6689">
          <w:rPr>
            <w:rStyle w:val="Hyperlink"/>
            <w:noProof/>
          </w:rPr>
          <w:t>Figure 2</w:t>
        </w:r>
        <w:r w:rsidR="004F4880" w:rsidRPr="004C6689">
          <w:rPr>
            <w:rStyle w:val="Hyperlink"/>
            <w:noProof/>
          </w:rPr>
          <w:noBreakHyphen/>
          <w:t>1. Procedure of conventional SWCTT</w:t>
        </w:r>
        <w:r w:rsidR="004F4880">
          <w:rPr>
            <w:noProof/>
            <w:webHidden/>
          </w:rPr>
          <w:tab/>
        </w:r>
        <w:r w:rsidR="004F4880">
          <w:rPr>
            <w:noProof/>
            <w:webHidden/>
          </w:rPr>
          <w:fldChar w:fldCharType="begin"/>
        </w:r>
        <w:r w:rsidR="004F4880">
          <w:rPr>
            <w:noProof/>
            <w:webHidden/>
          </w:rPr>
          <w:instrText xml:space="preserve"> PAGEREF _Toc495144710 \h </w:instrText>
        </w:r>
        <w:r w:rsidR="004F4880">
          <w:rPr>
            <w:noProof/>
            <w:webHidden/>
          </w:rPr>
        </w:r>
        <w:r w:rsidR="004F4880">
          <w:rPr>
            <w:noProof/>
            <w:webHidden/>
          </w:rPr>
          <w:fldChar w:fldCharType="separate"/>
        </w:r>
        <w:r w:rsidR="00024183">
          <w:rPr>
            <w:noProof/>
            <w:webHidden/>
          </w:rPr>
          <w:t>6</w:t>
        </w:r>
        <w:r w:rsidR="004F4880">
          <w:rPr>
            <w:noProof/>
            <w:webHidden/>
          </w:rPr>
          <w:fldChar w:fldCharType="end"/>
        </w:r>
      </w:hyperlink>
    </w:p>
    <w:p w14:paraId="4B24BE14" w14:textId="1BAEB449" w:rsidR="004F4880" w:rsidRDefault="00A53410">
      <w:pPr>
        <w:pStyle w:val="TableofFigures"/>
        <w:rPr>
          <w:rFonts w:cstheme="minorBidi"/>
          <w:noProof/>
          <w:sz w:val="22"/>
          <w:szCs w:val="22"/>
          <w:lang w:eastAsia="zh-CN" w:bidi="ar-SA"/>
        </w:rPr>
      </w:pPr>
      <w:hyperlink w:anchor="_Toc495144711" w:history="1">
        <w:r w:rsidR="004F4880" w:rsidRPr="004C6689">
          <w:rPr>
            <w:rStyle w:val="Hyperlink"/>
            <w:noProof/>
          </w:rPr>
          <w:t>Figure 2</w:t>
        </w:r>
        <w:r w:rsidR="004F4880" w:rsidRPr="004C6689">
          <w:rPr>
            <w:rStyle w:val="Hyperlink"/>
            <w:noProof/>
          </w:rPr>
          <w:noBreakHyphen/>
          <w:t>2. At the end of injection of pusher. Alcohol moves faster than ester so that alcohol travels farther than ester.</w:t>
        </w:r>
        <w:r w:rsidR="004F4880">
          <w:rPr>
            <w:noProof/>
            <w:webHidden/>
          </w:rPr>
          <w:tab/>
        </w:r>
        <w:r w:rsidR="004F4880">
          <w:rPr>
            <w:noProof/>
            <w:webHidden/>
          </w:rPr>
          <w:fldChar w:fldCharType="begin"/>
        </w:r>
        <w:r w:rsidR="004F4880">
          <w:rPr>
            <w:noProof/>
            <w:webHidden/>
          </w:rPr>
          <w:instrText xml:space="preserve"> PAGEREF _Toc495144711 \h </w:instrText>
        </w:r>
        <w:r w:rsidR="004F4880">
          <w:rPr>
            <w:noProof/>
            <w:webHidden/>
          </w:rPr>
        </w:r>
        <w:r w:rsidR="004F4880">
          <w:rPr>
            <w:noProof/>
            <w:webHidden/>
          </w:rPr>
          <w:fldChar w:fldCharType="separate"/>
        </w:r>
        <w:r w:rsidR="00024183">
          <w:rPr>
            <w:noProof/>
            <w:webHidden/>
          </w:rPr>
          <w:t>11</w:t>
        </w:r>
        <w:r w:rsidR="004F4880">
          <w:rPr>
            <w:noProof/>
            <w:webHidden/>
          </w:rPr>
          <w:fldChar w:fldCharType="end"/>
        </w:r>
      </w:hyperlink>
    </w:p>
    <w:p w14:paraId="5B9CF3EF" w14:textId="65A6CB5E" w:rsidR="004F4880" w:rsidRDefault="00A53410">
      <w:pPr>
        <w:pStyle w:val="TableofFigures"/>
        <w:rPr>
          <w:rFonts w:cstheme="minorBidi"/>
          <w:noProof/>
          <w:sz w:val="22"/>
          <w:szCs w:val="22"/>
          <w:lang w:eastAsia="zh-CN" w:bidi="ar-SA"/>
        </w:rPr>
      </w:pPr>
      <w:hyperlink w:anchor="_Toc495144712" w:history="1">
        <w:r w:rsidR="004F4880" w:rsidRPr="004C6689">
          <w:rPr>
            <w:rStyle w:val="Hyperlink"/>
            <w:noProof/>
          </w:rPr>
          <w:t>Figure 2</w:t>
        </w:r>
        <w:r w:rsidR="004F4880" w:rsidRPr="004C6689">
          <w:rPr>
            <w:rStyle w:val="Hyperlink"/>
            <w:noProof/>
          </w:rPr>
          <w:noBreakHyphen/>
          <w:t>3. At the end of shut in period. Ester reacts with water generating alcohol. Both of ester and alcohol remains stationary.</w:t>
        </w:r>
        <w:r w:rsidR="004F4880">
          <w:rPr>
            <w:noProof/>
            <w:webHidden/>
          </w:rPr>
          <w:tab/>
        </w:r>
        <w:r w:rsidR="004F4880">
          <w:rPr>
            <w:noProof/>
            <w:webHidden/>
          </w:rPr>
          <w:fldChar w:fldCharType="begin"/>
        </w:r>
        <w:r w:rsidR="004F4880">
          <w:rPr>
            <w:noProof/>
            <w:webHidden/>
          </w:rPr>
          <w:instrText xml:space="preserve"> PAGEREF _Toc495144712 \h </w:instrText>
        </w:r>
        <w:r w:rsidR="004F4880">
          <w:rPr>
            <w:noProof/>
            <w:webHidden/>
          </w:rPr>
        </w:r>
        <w:r w:rsidR="004F4880">
          <w:rPr>
            <w:noProof/>
            <w:webHidden/>
          </w:rPr>
          <w:fldChar w:fldCharType="separate"/>
        </w:r>
        <w:r w:rsidR="00024183">
          <w:rPr>
            <w:noProof/>
            <w:webHidden/>
          </w:rPr>
          <w:t>12</w:t>
        </w:r>
        <w:r w:rsidR="004F4880">
          <w:rPr>
            <w:noProof/>
            <w:webHidden/>
          </w:rPr>
          <w:fldChar w:fldCharType="end"/>
        </w:r>
      </w:hyperlink>
    </w:p>
    <w:p w14:paraId="2F46FC87" w14:textId="1DAC9E96" w:rsidR="004F4880" w:rsidRDefault="00A53410">
      <w:pPr>
        <w:pStyle w:val="TableofFigures"/>
        <w:rPr>
          <w:rFonts w:cstheme="minorBidi"/>
          <w:noProof/>
          <w:sz w:val="22"/>
          <w:szCs w:val="22"/>
          <w:lang w:eastAsia="zh-CN" w:bidi="ar-SA"/>
        </w:rPr>
      </w:pPr>
      <w:hyperlink w:anchor="_Toc495144713" w:history="1">
        <w:r w:rsidR="004F4880" w:rsidRPr="004C6689">
          <w:rPr>
            <w:rStyle w:val="Hyperlink"/>
            <w:noProof/>
          </w:rPr>
          <w:t>Figure 2</w:t>
        </w:r>
        <w:r w:rsidR="004F4880" w:rsidRPr="004C6689">
          <w:rPr>
            <w:rStyle w:val="Hyperlink"/>
            <w:noProof/>
          </w:rPr>
          <w:noBreakHyphen/>
          <w:t>4. During the production period. Alcohol travels faster than ester and its production will be observed at first.</w:t>
        </w:r>
        <w:r w:rsidR="004F4880">
          <w:rPr>
            <w:noProof/>
            <w:webHidden/>
          </w:rPr>
          <w:tab/>
        </w:r>
        <w:r w:rsidR="004F4880">
          <w:rPr>
            <w:noProof/>
            <w:webHidden/>
          </w:rPr>
          <w:fldChar w:fldCharType="begin"/>
        </w:r>
        <w:r w:rsidR="004F4880">
          <w:rPr>
            <w:noProof/>
            <w:webHidden/>
          </w:rPr>
          <w:instrText xml:space="preserve"> PAGEREF _Toc495144713 \h </w:instrText>
        </w:r>
        <w:r w:rsidR="004F4880">
          <w:rPr>
            <w:noProof/>
            <w:webHidden/>
          </w:rPr>
        </w:r>
        <w:r w:rsidR="004F4880">
          <w:rPr>
            <w:noProof/>
            <w:webHidden/>
          </w:rPr>
          <w:fldChar w:fldCharType="separate"/>
        </w:r>
        <w:r w:rsidR="00024183">
          <w:rPr>
            <w:noProof/>
            <w:webHidden/>
          </w:rPr>
          <w:t>12</w:t>
        </w:r>
        <w:r w:rsidR="004F4880">
          <w:rPr>
            <w:noProof/>
            <w:webHidden/>
          </w:rPr>
          <w:fldChar w:fldCharType="end"/>
        </w:r>
      </w:hyperlink>
    </w:p>
    <w:p w14:paraId="5152A5AD" w14:textId="301B29DD" w:rsidR="004F4880" w:rsidRDefault="00A53410">
      <w:pPr>
        <w:pStyle w:val="TableofFigures"/>
        <w:rPr>
          <w:rFonts w:cstheme="minorBidi"/>
          <w:noProof/>
          <w:sz w:val="22"/>
          <w:szCs w:val="22"/>
          <w:lang w:eastAsia="zh-CN" w:bidi="ar-SA"/>
        </w:rPr>
      </w:pPr>
      <w:hyperlink w:anchor="_Toc495144714" w:history="1">
        <w:r w:rsidR="004F4880" w:rsidRPr="004C6689">
          <w:rPr>
            <w:rStyle w:val="Hyperlink"/>
            <w:noProof/>
          </w:rPr>
          <w:t>Figure 2</w:t>
        </w:r>
        <w:r w:rsidR="004F4880" w:rsidRPr="004C6689">
          <w:rPr>
            <w:rStyle w:val="Hyperlink"/>
            <w:noProof/>
          </w:rPr>
          <w:noBreakHyphen/>
          <w:t>5. A schematic illustration of concentration of alcohol and ester in water at the end of shut in. Alcohol concentration peak position collapsed with ester concentration peak.</w:t>
        </w:r>
        <w:r w:rsidR="004F4880">
          <w:rPr>
            <w:noProof/>
            <w:webHidden/>
          </w:rPr>
          <w:tab/>
        </w:r>
        <w:r w:rsidR="004F4880">
          <w:rPr>
            <w:noProof/>
            <w:webHidden/>
          </w:rPr>
          <w:fldChar w:fldCharType="begin"/>
        </w:r>
        <w:r w:rsidR="004F4880">
          <w:rPr>
            <w:noProof/>
            <w:webHidden/>
          </w:rPr>
          <w:instrText xml:space="preserve"> PAGEREF _Toc495144714 \h </w:instrText>
        </w:r>
        <w:r w:rsidR="004F4880">
          <w:rPr>
            <w:noProof/>
            <w:webHidden/>
          </w:rPr>
        </w:r>
        <w:r w:rsidR="004F4880">
          <w:rPr>
            <w:noProof/>
            <w:webHidden/>
          </w:rPr>
          <w:fldChar w:fldCharType="separate"/>
        </w:r>
        <w:r w:rsidR="00024183">
          <w:rPr>
            <w:noProof/>
            <w:webHidden/>
          </w:rPr>
          <w:t>13</w:t>
        </w:r>
        <w:r w:rsidR="004F4880">
          <w:rPr>
            <w:noProof/>
            <w:webHidden/>
          </w:rPr>
          <w:fldChar w:fldCharType="end"/>
        </w:r>
      </w:hyperlink>
    </w:p>
    <w:p w14:paraId="6AAAC77F" w14:textId="15E896B2" w:rsidR="004F4880" w:rsidRDefault="00A53410">
      <w:pPr>
        <w:pStyle w:val="TableofFigures"/>
        <w:rPr>
          <w:rFonts w:cstheme="minorBidi"/>
          <w:noProof/>
          <w:sz w:val="22"/>
          <w:szCs w:val="22"/>
          <w:lang w:eastAsia="zh-CN" w:bidi="ar-SA"/>
        </w:rPr>
      </w:pPr>
      <w:hyperlink w:anchor="_Toc495144715" w:history="1">
        <w:r w:rsidR="004F4880" w:rsidRPr="004C6689">
          <w:rPr>
            <w:rStyle w:val="Hyperlink"/>
            <w:noProof/>
          </w:rPr>
          <w:t>Figure 2</w:t>
        </w:r>
        <w:r w:rsidR="004F4880" w:rsidRPr="004C6689">
          <w:rPr>
            <w:rStyle w:val="Hyperlink"/>
            <w:noProof/>
          </w:rPr>
          <w:noBreakHyphen/>
          <w:t>6. Cylindrical domain of reservoir. Injector and producer are located at the center. Saturation is spatially constant.</w:t>
        </w:r>
        <w:r w:rsidR="004F4880">
          <w:rPr>
            <w:noProof/>
            <w:webHidden/>
          </w:rPr>
          <w:tab/>
        </w:r>
        <w:r w:rsidR="004F4880">
          <w:rPr>
            <w:noProof/>
            <w:webHidden/>
          </w:rPr>
          <w:fldChar w:fldCharType="begin"/>
        </w:r>
        <w:r w:rsidR="004F4880">
          <w:rPr>
            <w:noProof/>
            <w:webHidden/>
          </w:rPr>
          <w:instrText xml:space="preserve"> PAGEREF _Toc495144715 \h </w:instrText>
        </w:r>
        <w:r w:rsidR="004F4880">
          <w:rPr>
            <w:noProof/>
            <w:webHidden/>
          </w:rPr>
        </w:r>
        <w:r w:rsidR="004F4880">
          <w:rPr>
            <w:noProof/>
            <w:webHidden/>
          </w:rPr>
          <w:fldChar w:fldCharType="separate"/>
        </w:r>
        <w:r w:rsidR="00024183">
          <w:rPr>
            <w:noProof/>
            <w:webHidden/>
          </w:rPr>
          <w:t>16</w:t>
        </w:r>
        <w:r w:rsidR="004F4880">
          <w:rPr>
            <w:noProof/>
            <w:webHidden/>
          </w:rPr>
          <w:fldChar w:fldCharType="end"/>
        </w:r>
      </w:hyperlink>
    </w:p>
    <w:p w14:paraId="34B43153" w14:textId="29F9C09E" w:rsidR="004F4880" w:rsidRDefault="00A53410">
      <w:pPr>
        <w:pStyle w:val="TableofFigures"/>
        <w:rPr>
          <w:rFonts w:cstheme="minorBidi"/>
          <w:noProof/>
          <w:sz w:val="22"/>
          <w:szCs w:val="22"/>
          <w:lang w:eastAsia="zh-CN" w:bidi="ar-SA"/>
        </w:rPr>
      </w:pPr>
      <w:hyperlink w:anchor="_Toc495144716" w:history="1">
        <w:r w:rsidR="004F4880" w:rsidRPr="004C6689">
          <w:rPr>
            <w:rStyle w:val="Hyperlink"/>
            <w:noProof/>
          </w:rPr>
          <w:t>Figure 2</w:t>
        </w:r>
        <w:r w:rsidR="004F4880" w:rsidRPr="004C6689">
          <w:rPr>
            <w:rStyle w:val="Hyperlink"/>
            <w:noProof/>
          </w:rPr>
          <w:noBreakHyphen/>
          <w:t>7. Relative Permeability Curve</w:t>
        </w:r>
        <w:r w:rsidR="004F4880">
          <w:rPr>
            <w:noProof/>
            <w:webHidden/>
          </w:rPr>
          <w:tab/>
        </w:r>
        <w:r w:rsidR="004F4880">
          <w:rPr>
            <w:noProof/>
            <w:webHidden/>
          </w:rPr>
          <w:fldChar w:fldCharType="begin"/>
        </w:r>
        <w:r w:rsidR="004F4880">
          <w:rPr>
            <w:noProof/>
            <w:webHidden/>
          </w:rPr>
          <w:instrText xml:space="preserve"> PAGEREF _Toc495144716 \h </w:instrText>
        </w:r>
        <w:r w:rsidR="004F4880">
          <w:rPr>
            <w:noProof/>
            <w:webHidden/>
          </w:rPr>
        </w:r>
        <w:r w:rsidR="004F4880">
          <w:rPr>
            <w:noProof/>
            <w:webHidden/>
          </w:rPr>
          <w:fldChar w:fldCharType="separate"/>
        </w:r>
        <w:r w:rsidR="00024183">
          <w:rPr>
            <w:noProof/>
            <w:webHidden/>
          </w:rPr>
          <w:t>16</w:t>
        </w:r>
        <w:r w:rsidR="004F4880">
          <w:rPr>
            <w:noProof/>
            <w:webHidden/>
          </w:rPr>
          <w:fldChar w:fldCharType="end"/>
        </w:r>
      </w:hyperlink>
    </w:p>
    <w:p w14:paraId="7FD4FCFD" w14:textId="35C2E323" w:rsidR="004F4880" w:rsidRDefault="00A53410">
      <w:pPr>
        <w:pStyle w:val="TableofFigures"/>
        <w:rPr>
          <w:rFonts w:cstheme="minorBidi"/>
          <w:noProof/>
          <w:sz w:val="22"/>
          <w:szCs w:val="22"/>
          <w:lang w:eastAsia="zh-CN" w:bidi="ar-SA"/>
        </w:rPr>
      </w:pPr>
      <w:hyperlink w:anchor="_Toc495144717" w:history="1">
        <w:r w:rsidR="004F4880" w:rsidRPr="004C6689">
          <w:rPr>
            <w:rStyle w:val="Hyperlink"/>
            <w:noProof/>
          </w:rPr>
          <w:t>Figure 2</w:t>
        </w:r>
        <w:r w:rsidR="004F4880" w:rsidRPr="004C6689">
          <w:rPr>
            <w:rStyle w:val="Hyperlink"/>
            <w:noProof/>
          </w:rPr>
          <w:noBreakHyphen/>
          <w:t>8. Production history of tracers for Case 1.</w:t>
        </w:r>
        <w:r w:rsidR="004F4880">
          <w:rPr>
            <w:noProof/>
            <w:webHidden/>
          </w:rPr>
          <w:tab/>
        </w:r>
        <w:r w:rsidR="004F4880">
          <w:rPr>
            <w:noProof/>
            <w:webHidden/>
          </w:rPr>
          <w:fldChar w:fldCharType="begin"/>
        </w:r>
        <w:r w:rsidR="004F4880">
          <w:rPr>
            <w:noProof/>
            <w:webHidden/>
          </w:rPr>
          <w:instrText xml:space="preserve"> PAGEREF _Toc495144717 \h </w:instrText>
        </w:r>
        <w:r w:rsidR="004F4880">
          <w:rPr>
            <w:noProof/>
            <w:webHidden/>
          </w:rPr>
        </w:r>
        <w:r w:rsidR="004F4880">
          <w:rPr>
            <w:noProof/>
            <w:webHidden/>
          </w:rPr>
          <w:fldChar w:fldCharType="separate"/>
        </w:r>
        <w:r w:rsidR="00024183">
          <w:rPr>
            <w:noProof/>
            <w:webHidden/>
          </w:rPr>
          <w:t>19</w:t>
        </w:r>
        <w:r w:rsidR="004F4880">
          <w:rPr>
            <w:noProof/>
            <w:webHidden/>
          </w:rPr>
          <w:fldChar w:fldCharType="end"/>
        </w:r>
      </w:hyperlink>
    </w:p>
    <w:p w14:paraId="28FA6CD3" w14:textId="4D657D83" w:rsidR="004F4880" w:rsidRDefault="00A53410">
      <w:pPr>
        <w:pStyle w:val="TableofFigures"/>
        <w:rPr>
          <w:rFonts w:cstheme="minorBidi"/>
          <w:noProof/>
          <w:sz w:val="22"/>
          <w:szCs w:val="22"/>
          <w:lang w:eastAsia="zh-CN" w:bidi="ar-SA"/>
        </w:rPr>
      </w:pPr>
      <w:hyperlink w:anchor="_Toc495144718" w:history="1">
        <w:r w:rsidR="004F4880" w:rsidRPr="004C6689">
          <w:rPr>
            <w:rStyle w:val="Hyperlink"/>
            <w:noProof/>
          </w:rPr>
          <w:t>Figure 2</w:t>
        </w:r>
        <w:r w:rsidR="004F4880" w:rsidRPr="004C6689">
          <w:rPr>
            <w:rStyle w:val="Hyperlink"/>
            <w:noProof/>
          </w:rPr>
          <w:noBreakHyphen/>
          <w:t>9. Water production rate and tracer production history for Case 7. Conventional SWCTT and initial oil saturation was 0.9.</w:t>
        </w:r>
        <w:r w:rsidR="004F4880">
          <w:rPr>
            <w:noProof/>
            <w:webHidden/>
          </w:rPr>
          <w:tab/>
        </w:r>
        <w:r w:rsidR="004F4880">
          <w:rPr>
            <w:noProof/>
            <w:webHidden/>
          </w:rPr>
          <w:fldChar w:fldCharType="begin"/>
        </w:r>
        <w:r w:rsidR="004F4880">
          <w:rPr>
            <w:noProof/>
            <w:webHidden/>
          </w:rPr>
          <w:instrText xml:space="preserve"> PAGEREF _Toc495144718 \h </w:instrText>
        </w:r>
        <w:r w:rsidR="004F4880">
          <w:rPr>
            <w:noProof/>
            <w:webHidden/>
          </w:rPr>
        </w:r>
        <w:r w:rsidR="004F4880">
          <w:rPr>
            <w:noProof/>
            <w:webHidden/>
          </w:rPr>
          <w:fldChar w:fldCharType="separate"/>
        </w:r>
        <w:r w:rsidR="00024183">
          <w:rPr>
            <w:noProof/>
            <w:webHidden/>
          </w:rPr>
          <w:t>25</w:t>
        </w:r>
        <w:r w:rsidR="004F4880">
          <w:rPr>
            <w:noProof/>
            <w:webHidden/>
          </w:rPr>
          <w:fldChar w:fldCharType="end"/>
        </w:r>
      </w:hyperlink>
    </w:p>
    <w:p w14:paraId="2A2D9852" w14:textId="57B04CF9" w:rsidR="004F4880" w:rsidRDefault="00A53410">
      <w:pPr>
        <w:pStyle w:val="TableofFigures"/>
        <w:rPr>
          <w:rFonts w:cstheme="minorBidi"/>
          <w:noProof/>
          <w:sz w:val="22"/>
          <w:szCs w:val="22"/>
          <w:lang w:eastAsia="zh-CN" w:bidi="ar-SA"/>
        </w:rPr>
      </w:pPr>
      <w:hyperlink w:anchor="_Toc495144719" w:history="1">
        <w:r w:rsidR="004F4880" w:rsidRPr="004C6689">
          <w:rPr>
            <w:rStyle w:val="Hyperlink"/>
            <w:noProof/>
          </w:rPr>
          <w:t>Figure 2</w:t>
        </w:r>
        <w:r w:rsidR="004F4880" w:rsidRPr="004C6689">
          <w:rPr>
            <w:rStyle w:val="Hyperlink"/>
            <w:noProof/>
          </w:rPr>
          <w:noBreakHyphen/>
          <w:t>10. Water production rate and tracer production history for Case 13. Variable liquid production rate under a constant BHP constraint.</w:t>
        </w:r>
        <w:r w:rsidR="004F4880">
          <w:rPr>
            <w:noProof/>
            <w:webHidden/>
          </w:rPr>
          <w:tab/>
        </w:r>
        <w:r w:rsidR="004F4880">
          <w:rPr>
            <w:noProof/>
            <w:webHidden/>
          </w:rPr>
          <w:fldChar w:fldCharType="begin"/>
        </w:r>
        <w:r w:rsidR="004F4880">
          <w:rPr>
            <w:noProof/>
            <w:webHidden/>
          </w:rPr>
          <w:instrText xml:space="preserve"> PAGEREF _Toc495144719 \h </w:instrText>
        </w:r>
        <w:r w:rsidR="004F4880">
          <w:rPr>
            <w:noProof/>
            <w:webHidden/>
          </w:rPr>
        </w:r>
        <w:r w:rsidR="004F4880">
          <w:rPr>
            <w:noProof/>
            <w:webHidden/>
          </w:rPr>
          <w:fldChar w:fldCharType="separate"/>
        </w:r>
        <w:r w:rsidR="00024183">
          <w:rPr>
            <w:noProof/>
            <w:webHidden/>
          </w:rPr>
          <w:t>28</w:t>
        </w:r>
        <w:r w:rsidR="004F4880">
          <w:rPr>
            <w:noProof/>
            <w:webHidden/>
          </w:rPr>
          <w:fldChar w:fldCharType="end"/>
        </w:r>
      </w:hyperlink>
    </w:p>
    <w:p w14:paraId="32394813" w14:textId="71C2F42A" w:rsidR="004F4880" w:rsidRDefault="00A53410">
      <w:pPr>
        <w:pStyle w:val="TableofFigures"/>
        <w:rPr>
          <w:rFonts w:cstheme="minorBidi"/>
          <w:noProof/>
          <w:sz w:val="22"/>
          <w:szCs w:val="22"/>
          <w:lang w:eastAsia="zh-CN" w:bidi="ar-SA"/>
        </w:rPr>
      </w:pPr>
      <w:hyperlink w:anchor="_Toc495144720" w:history="1">
        <w:r w:rsidR="004F4880" w:rsidRPr="004C6689">
          <w:rPr>
            <w:rStyle w:val="Hyperlink"/>
            <w:noProof/>
          </w:rPr>
          <w:t>Figure 2</w:t>
        </w:r>
        <w:r w:rsidR="004F4880" w:rsidRPr="004C6689">
          <w:rPr>
            <w:rStyle w:val="Hyperlink"/>
            <w:noProof/>
          </w:rPr>
          <w:noBreakHyphen/>
          <w:t>11. Heterogeneous permeability field, zoom in near wellbore. Mean=1000 md, V</w:t>
        </w:r>
        <w:r w:rsidR="004F4880" w:rsidRPr="004C6689">
          <w:rPr>
            <w:rStyle w:val="Hyperlink"/>
            <w:noProof/>
            <w:vertAlign w:val="subscript"/>
          </w:rPr>
          <w:t>Dp</w:t>
        </w:r>
        <w:r w:rsidR="004F4880" w:rsidRPr="004C6689">
          <w:rPr>
            <w:rStyle w:val="Hyperlink"/>
            <w:noProof/>
          </w:rPr>
          <w:t>=0.5.</w:t>
        </w:r>
        <w:r w:rsidR="004F4880">
          <w:rPr>
            <w:noProof/>
            <w:webHidden/>
          </w:rPr>
          <w:tab/>
        </w:r>
        <w:r w:rsidR="004F4880">
          <w:rPr>
            <w:noProof/>
            <w:webHidden/>
          </w:rPr>
          <w:fldChar w:fldCharType="begin"/>
        </w:r>
        <w:r w:rsidR="004F4880">
          <w:rPr>
            <w:noProof/>
            <w:webHidden/>
          </w:rPr>
          <w:instrText xml:space="preserve"> PAGEREF _Toc495144720 \h </w:instrText>
        </w:r>
        <w:r w:rsidR="004F4880">
          <w:rPr>
            <w:noProof/>
            <w:webHidden/>
          </w:rPr>
        </w:r>
        <w:r w:rsidR="004F4880">
          <w:rPr>
            <w:noProof/>
            <w:webHidden/>
          </w:rPr>
          <w:fldChar w:fldCharType="separate"/>
        </w:r>
        <w:r w:rsidR="00024183">
          <w:rPr>
            <w:noProof/>
            <w:webHidden/>
          </w:rPr>
          <w:t>32</w:t>
        </w:r>
        <w:r w:rsidR="004F4880">
          <w:rPr>
            <w:noProof/>
            <w:webHidden/>
          </w:rPr>
          <w:fldChar w:fldCharType="end"/>
        </w:r>
      </w:hyperlink>
    </w:p>
    <w:p w14:paraId="5A8EC2EA" w14:textId="54555999" w:rsidR="004F4880" w:rsidRDefault="00A53410">
      <w:pPr>
        <w:pStyle w:val="TableofFigures"/>
        <w:rPr>
          <w:rFonts w:cstheme="minorBidi"/>
          <w:noProof/>
          <w:sz w:val="22"/>
          <w:szCs w:val="22"/>
          <w:lang w:eastAsia="zh-CN" w:bidi="ar-SA"/>
        </w:rPr>
      </w:pPr>
      <w:hyperlink w:anchor="_Toc495144721" w:history="1">
        <w:r w:rsidR="004F4880" w:rsidRPr="004C6689">
          <w:rPr>
            <w:rStyle w:val="Hyperlink"/>
            <w:noProof/>
          </w:rPr>
          <w:t>Figure 2</w:t>
        </w:r>
        <w:r w:rsidR="004F4880" w:rsidRPr="004C6689">
          <w:rPr>
            <w:rStyle w:val="Hyperlink"/>
            <w:noProof/>
          </w:rPr>
          <w:noBreakHyphen/>
          <w:t>12. Heterogeneous oil saturation field, zoom in near wellbore. Mean = 0.7, std=0.15.</w:t>
        </w:r>
        <w:r w:rsidR="004F4880">
          <w:rPr>
            <w:noProof/>
            <w:webHidden/>
          </w:rPr>
          <w:tab/>
        </w:r>
        <w:r w:rsidR="004F4880">
          <w:rPr>
            <w:noProof/>
            <w:webHidden/>
          </w:rPr>
          <w:fldChar w:fldCharType="begin"/>
        </w:r>
        <w:r w:rsidR="004F4880">
          <w:rPr>
            <w:noProof/>
            <w:webHidden/>
          </w:rPr>
          <w:instrText xml:space="preserve"> PAGEREF _Toc495144721 \h </w:instrText>
        </w:r>
        <w:r w:rsidR="004F4880">
          <w:rPr>
            <w:noProof/>
            <w:webHidden/>
          </w:rPr>
        </w:r>
        <w:r w:rsidR="004F4880">
          <w:rPr>
            <w:noProof/>
            <w:webHidden/>
          </w:rPr>
          <w:fldChar w:fldCharType="separate"/>
        </w:r>
        <w:r w:rsidR="00024183">
          <w:rPr>
            <w:noProof/>
            <w:webHidden/>
          </w:rPr>
          <w:t>33</w:t>
        </w:r>
        <w:r w:rsidR="004F4880">
          <w:rPr>
            <w:noProof/>
            <w:webHidden/>
          </w:rPr>
          <w:fldChar w:fldCharType="end"/>
        </w:r>
      </w:hyperlink>
    </w:p>
    <w:p w14:paraId="31D865D2" w14:textId="26F99C04" w:rsidR="004F4880" w:rsidRDefault="00A53410">
      <w:pPr>
        <w:pStyle w:val="TableofFigures"/>
        <w:rPr>
          <w:rFonts w:cstheme="minorBidi"/>
          <w:noProof/>
          <w:sz w:val="22"/>
          <w:szCs w:val="22"/>
          <w:lang w:eastAsia="zh-CN" w:bidi="ar-SA"/>
        </w:rPr>
      </w:pPr>
      <w:hyperlink w:anchor="_Toc495144722" w:history="1">
        <w:r w:rsidR="004F4880" w:rsidRPr="004C6689">
          <w:rPr>
            <w:rStyle w:val="Hyperlink"/>
            <w:noProof/>
          </w:rPr>
          <w:t>Figure 2</w:t>
        </w:r>
        <w:r w:rsidR="004F4880" w:rsidRPr="004C6689">
          <w:rPr>
            <w:rStyle w:val="Hyperlink"/>
            <w:noProof/>
          </w:rPr>
          <w:noBreakHyphen/>
          <w:t>13. Oil production rate and tracer production history for Case 15. Heterogeneous oil saturation.</w:t>
        </w:r>
        <w:r w:rsidR="004F4880">
          <w:rPr>
            <w:noProof/>
            <w:webHidden/>
          </w:rPr>
          <w:tab/>
        </w:r>
        <w:r w:rsidR="004F4880">
          <w:rPr>
            <w:noProof/>
            <w:webHidden/>
          </w:rPr>
          <w:fldChar w:fldCharType="begin"/>
        </w:r>
        <w:r w:rsidR="004F4880">
          <w:rPr>
            <w:noProof/>
            <w:webHidden/>
          </w:rPr>
          <w:instrText xml:space="preserve"> PAGEREF _Toc495144722 \h </w:instrText>
        </w:r>
        <w:r w:rsidR="004F4880">
          <w:rPr>
            <w:noProof/>
            <w:webHidden/>
          </w:rPr>
        </w:r>
        <w:r w:rsidR="004F4880">
          <w:rPr>
            <w:noProof/>
            <w:webHidden/>
          </w:rPr>
          <w:fldChar w:fldCharType="separate"/>
        </w:r>
        <w:r w:rsidR="00024183">
          <w:rPr>
            <w:noProof/>
            <w:webHidden/>
          </w:rPr>
          <w:t>34</w:t>
        </w:r>
        <w:r w:rsidR="004F4880">
          <w:rPr>
            <w:noProof/>
            <w:webHidden/>
          </w:rPr>
          <w:fldChar w:fldCharType="end"/>
        </w:r>
      </w:hyperlink>
    </w:p>
    <w:p w14:paraId="55C708D2" w14:textId="25D16C6B" w:rsidR="004F4880" w:rsidRDefault="00A53410">
      <w:pPr>
        <w:pStyle w:val="TableofFigures"/>
        <w:rPr>
          <w:rFonts w:cstheme="minorBidi"/>
          <w:noProof/>
          <w:sz w:val="22"/>
          <w:szCs w:val="22"/>
          <w:lang w:eastAsia="zh-CN" w:bidi="ar-SA"/>
        </w:rPr>
      </w:pPr>
      <w:hyperlink w:anchor="_Toc495144723" w:history="1">
        <w:r w:rsidR="004F4880" w:rsidRPr="004C6689">
          <w:rPr>
            <w:rStyle w:val="Hyperlink"/>
            <w:noProof/>
          </w:rPr>
          <w:t>Figure 2</w:t>
        </w:r>
        <w:r w:rsidR="004F4880" w:rsidRPr="004C6689">
          <w:rPr>
            <w:rStyle w:val="Hyperlink"/>
            <w:noProof/>
          </w:rPr>
          <w:noBreakHyphen/>
          <w:t>14. Conservative tracer (alcohol) production history comparison.</w:t>
        </w:r>
        <w:r w:rsidR="004F4880">
          <w:rPr>
            <w:noProof/>
            <w:webHidden/>
          </w:rPr>
          <w:tab/>
        </w:r>
        <w:r w:rsidR="004F4880">
          <w:rPr>
            <w:noProof/>
            <w:webHidden/>
          </w:rPr>
          <w:fldChar w:fldCharType="begin"/>
        </w:r>
        <w:r w:rsidR="004F4880">
          <w:rPr>
            <w:noProof/>
            <w:webHidden/>
          </w:rPr>
          <w:instrText xml:space="preserve"> PAGEREF _Toc495144723 \h </w:instrText>
        </w:r>
        <w:r w:rsidR="004F4880">
          <w:rPr>
            <w:noProof/>
            <w:webHidden/>
          </w:rPr>
        </w:r>
        <w:r w:rsidR="004F4880">
          <w:rPr>
            <w:noProof/>
            <w:webHidden/>
          </w:rPr>
          <w:fldChar w:fldCharType="separate"/>
        </w:r>
        <w:r w:rsidR="00024183">
          <w:rPr>
            <w:noProof/>
            <w:webHidden/>
          </w:rPr>
          <w:t>35</w:t>
        </w:r>
        <w:r w:rsidR="004F4880">
          <w:rPr>
            <w:noProof/>
            <w:webHidden/>
          </w:rPr>
          <w:fldChar w:fldCharType="end"/>
        </w:r>
      </w:hyperlink>
    </w:p>
    <w:p w14:paraId="4FAA50D5" w14:textId="00D2B43A" w:rsidR="004F4880" w:rsidRDefault="00A53410">
      <w:pPr>
        <w:pStyle w:val="TableofFigures"/>
        <w:rPr>
          <w:rFonts w:cstheme="minorBidi"/>
          <w:noProof/>
          <w:sz w:val="22"/>
          <w:szCs w:val="22"/>
          <w:lang w:eastAsia="zh-CN" w:bidi="ar-SA"/>
        </w:rPr>
      </w:pPr>
      <w:hyperlink w:anchor="_Toc495144724" w:history="1">
        <w:r w:rsidR="004F4880" w:rsidRPr="004C6689">
          <w:rPr>
            <w:rStyle w:val="Hyperlink"/>
            <w:noProof/>
          </w:rPr>
          <w:t>Figure 3</w:t>
        </w:r>
        <w:r w:rsidR="004F4880" w:rsidRPr="004C6689">
          <w:rPr>
            <w:rStyle w:val="Hyperlink"/>
            <w:noProof/>
          </w:rPr>
          <w:noBreakHyphen/>
          <w:t>1. Illustration of hydraulic fracture configuration. Each grid is 1 ft long. There are 300 grids and the well perforates at one end.</w:t>
        </w:r>
        <w:r w:rsidR="004F4880">
          <w:rPr>
            <w:noProof/>
            <w:webHidden/>
          </w:rPr>
          <w:tab/>
        </w:r>
        <w:r w:rsidR="004F4880">
          <w:rPr>
            <w:noProof/>
            <w:webHidden/>
          </w:rPr>
          <w:fldChar w:fldCharType="begin"/>
        </w:r>
        <w:r w:rsidR="004F4880">
          <w:rPr>
            <w:noProof/>
            <w:webHidden/>
          </w:rPr>
          <w:instrText xml:space="preserve"> PAGEREF _Toc495144724 \h </w:instrText>
        </w:r>
        <w:r w:rsidR="004F4880">
          <w:rPr>
            <w:noProof/>
            <w:webHidden/>
          </w:rPr>
        </w:r>
        <w:r w:rsidR="004F4880">
          <w:rPr>
            <w:noProof/>
            <w:webHidden/>
          </w:rPr>
          <w:fldChar w:fldCharType="separate"/>
        </w:r>
        <w:r w:rsidR="00024183">
          <w:rPr>
            <w:noProof/>
            <w:webHidden/>
          </w:rPr>
          <w:t>42</w:t>
        </w:r>
        <w:r w:rsidR="004F4880">
          <w:rPr>
            <w:noProof/>
            <w:webHidden/>
          </w:rPr>
          <w:fldChar w:fldCharType="end"/>
        </w:r>
      </w:hyperlink>
    </w:p>
    <w:p w14:paraId="53EBCE79" w14:textId="1278F278" w:rsidR="004F4880" w:rsidRDefault="00A53410">
      <w:pPr>
        <w:pStyle w:val="TableofFigures"/>
        <w:rPr>
          <w:rFonts w:cstheme="minorBidi"/>
          <w:noProof/>
          <w:sz w:val="22"/>
          <w:szCs w:val="22"/>
          <w:lang w:eastAsia="zh-CN" w:bidi="ar-SA"/>
        </w:rPr>
      </w:pPr>
      <w:hyperlink w:anchor="_Toc495144725" w:history="1">
        <w:r w:rsidR="004F4880" w:rsidRPr="004C6689">
          <w:rPr>
            <w:rStyle w:val="Hyperlink"/>
            <w:noProof/>
          </w:rPr>
          <w:t>Figure 3</w:t>
        </w:r>
        <w:r w:rsidR="004F4880" w:rsidRPr="004C6689">
          <w:rPr>
            <w:rStyle w:val="Hyperlink"/>
            <w:noProof/>
          </w:rPr>
          <w:noBreakHyphen/>
          <w:t>2. The four steps of well plan</w:t>
        </w:r>
        <w:r w:rsidR="004F4880">
          <w:rPr>
            <w:noProof/>
            <w:webHidden/>
          </w:rPr>
          <w:tab/>
        </w:r>
        <w:r w:rsidR="004F4880">
          <w:rPr>
            <w:noProof/>
            <w:webHidden/>
          </w:rPr>
          <w:fldChar w:fldCharType="begin"/>
        </w:r>
        <w:r w:rsidR="004F4880">
          <w:rPr>
            <w:noProof/>
            <w:webHidden/>
          </w:rPr>
          <w:instrText xml:space="preserve"> PAGEREF _Toc495144725 \h </w:instrText>
        </w:r>
        <w:r w:rsidR="004F4880">
          <w:rPr>
            <w:noProof/>
            <w:webHidden/>
          </w:rPr>
        </w:r>
        <w:r w:rsidR="004F4880">
          <w:rPr>
            <w:noProof/>
            <w:webHidden/>
          </w:rPr>
          <w:fldChar w:fldCharType="separate"/>
        </w:r>
        <w:r w:rsidR="00024183">
          <w:rPr>
            <w:noProof/>
            <w:webHidden/>
          </w:rPr>
          <w:t>43</w:t>
        </w:r>
        <w:r w:rsidR="004F4880">
          <w:rPr>
            <w:noProof/>
            <w:webHidden/>
          </w:rPr>
          <w:fldChar w:fldCharType="end"/>
        </w:r>
      </w:hyperlink>
    </w:p>
    <w:p w14:paraId="185CE2A8" w14:textId="41183767" w:rsidR="004F4880" w:rsidRDefault="00A53410">
      <w:pPr>
        <w:pStyle w:val="TableofFigures"/>
        <w:rPr>
          <w:rFonts w:cstheme="minorBidi"/>
          <w:noProof/>
          <w:sz w:val="22"/>
          <w:szCs w:val="22"/>
          <w:lang w:eastAsia="zh-CN" w:bidi="ar-SA"/>
        </w:rPr>
      </w:pPr>
      <w:hyperlink w:anchor="_Toc495144726" w:history="1">
        <w:r w:rsidR="004F4880" w:rsidRPr="004C6689">
          <w:rPr>
            <w:rStyle w:val="Hyperlink"/>
            <w:noProof/>
          </w:rPr>
          <w:t>Figure 3</w:t>
        </w:r>
        <w:r w:rsidR="004F4880" w:rsidRPr="004C6689">
          <w:rPr>
            <w:rStyle w:val="Hyperlink"/>
            <w:noProof/>
          </w:rPr>
          <w:noBreakHyphen/>
          <w:t>3. Relative permeability curves in matrix and hydraulic fracture (modified from Cheng (2012))</w:t>
        </w:r>
        <w:r w:rsidR="004F4880">
          <w:rPr>
            <w:noProof/>
            <w:webHidden/>
          </w:rPr>
          <w:tab/>
        </w:r>
        <w:r w:rsidR="004F4880">
          <w:rPr>
            <w:noProof/>
            <w:webHidden/>
          </w:rPr>
          <w:fldChar w:fldCharType="begin"/>
        </w:r>
        <w:r w:rsidR="004F4880">
          <w:rPr>
            <w:noProof/>
            <w:webHidden/>
          </w:rPr>
          <w:instrText xml:space="preserve"> PAGEREF _Toc495144726 \h </w:instrText>
        </w:r>
        <w:r w:rsidR="004F4880">
          <w:rPr>
            <w:noProof/>
            <w:webHidden/>
          </w:rPr>
        </w:r>
        <w:r w:rsidR="004F4880">
          <w:rPr>
            <w:noProof/>
            <w:webHidden/>
          </w:rPr>
          <w:fldChar w:fldCharType="separate"/>
        </w:r>
        <w:r w:rsidR="00024183">
          <w:rPr>
            <w:noProof/>
            <w:webHidden/>
          </w:rPr>
          <w:t>45</w:t>
        </w:r>
        <w:r w:rsidR="004F4880">
          <w:rPr>
            <w:noProof/>
            <w:webHidden/>
          </w:rPr>
          <w:fldChar w:fldCharType="end"/>
        </w:r>
      </w:hyperlink>
    </w:p>
    <w:p w14:paraId="3E7013AF" w14:textId="5B4E98E1" w:rsidR="004F4880" w:rsidRDefault="00A53410">
      <w:pPr>
        <w:pStyle w:val="TableofFigures"/>
        <w:rPr>
          <w:rFonts w:cstheme="minorBidi"/>
          <w:noProof/>
          <w:sz w:val="22"/>
          <w:szCs w:val="22"/>
          <w:lang w:eastAsia="zh-CN" w:bidi="ar-SA"/>
        </w:rPr>
      </w:pPr>
      <w:hyperlink w:anchor="_Toc495144727" w:history="1">
        <w:r w:rsidR="004F4880" w:rsidRPr="004C6689">
          <w:rPr>
            <w:rStyle w:val="Hyperlink"/>
            <w:noProof/>
          </w:rPr>
          <w:t>Figure 3</w:t>
        </w:r>
        <w:r w:rsidR="004F4880" w:rsidRPr="004C6689">
          <w:rPr>
            <w:rStyle w:val="Hyperlink"/>
            <w:noProof/>
          </w:rPr>
          <w:noBreakHyphen/>
          <w:t>4. Tracer concentration vs. cumulative gas production. The dashed line is the best fitted line. Its R-square is 0.983, indicating the tracer tail is almost a straight line.</w:t>
        </w:r>
        <w:r w:rsidR="004F4880">
          <w:rPr>
            <w:noProof/>
            <w:webHidden/>
          </w:rPr>
          <w:tab/>
        </w:r>
        <w:r w:rsidR="004F4880">
          <w:rPr>
            <w:noProof/>
            <w:webHidden/>
          </w:rPr>
          <w:fldChar w:fldCharType="begin"/>
        </w:r>
        <w:r w:rsidR="004F4880">
          <w:rPr>
            <w:noProof/>
            <w:webHidden/>
          </w:rPr>
          <w:instrText xml:space="preserve"> PAGEREF _Toc495144727 \h </w:instrText>
        </w:r>
        <w:r w:rsidR="004F4880">
          <w:rPr>
            <w:noProof/>
            <w:webHidden/>
          </w:rPr>
        </w:r>
        <w:r w:rsidR="004F4880">
          <w:rPr>
            <w:noProof/>
            <w:webHidden/>
          </w:rPr>
          <w:fldChar w:fldCharType="separate"/>
        </w:r>
        <w:r w:rsidR="00024183">
          <w:rPr>
            <w:noProof/>
            <w:webHidden/>
          </w:rPr>
          <w:t>46</w:t>
        </w:r>
        <w:r w:rsidR="004F4880">
          <w:rPr>
            <w:noProof/>
            <w:webHidden/>
          </w:rPr>
          <w:fldChar w:fldCharType="end"/>
        </w:r>
      </w:hyperlink>
    </w:p>
    <w:p w14:paraId="6CAFF371" w14:textId="3C44640E" w:rsidR="004F4880" w:rsidRDefault="00A53410">
      <w:pPr>
        <w:pStyle w:val="TableofFigures"/>
        <w:rPr>
          <w:rFonts w:cstheme="minorBidi"/>
          <w:noProof/>
          <w:sz w:val="22"/>
          <w:szCs w:val="22"/>
          <w:lang w:eastAsia="zh-CN" w:bidi="ar-SA"/>
        </w:rPr>
      </w:pPr>
      <w:hyperlink w:anchor="_Toc495144728" w:history="1">
        <w:r w:rsidR="004F4880" w:rsidRPr="004C6689">
          <w:rPr>
            <w:rStyle w:val="Hyperlink"/>
            <w:noProof/>
          </w:rPr>
          <w:t>Figure 3</w:t>
        </w:r>
        <w:r w:rsidR="004F4880" w:rsidRPr="004C6689">
          <w:rPr>
            <w:rStyle w:val="Hyperlink"/>
            <w:noProof/>
          </w:rPr>
          <w:noBreakHyphen/>
          <w:t>5. Tracer distribution inside fracture at the end of shut in</w:t>
        </w:r>
        <w:r w:rsidR="004F4880">
          <w:rPr>
            <w:noProof/>
            <w:webHidden/>
          </w:rPr>
          <w:tab/>
        </w:r>
        <w:r w:rsidR="004F4880">
          <w:rPr>
            <w:noProof/>
            <w:webHidden/>
          </w:rPr>
          <w:fldChar w:fldCharType="begin"/>
        </w:r>
        <w:r w:rsidR="004F4880">
          <w:rPr>
            <w:noProof/>
            <w:webHidden/>
          </w:rPr>
          <w:instrText xml:space="preserve"> PAGEREF _Toc495144728 \h </w:instrText>
        </w:r>
        <w:r w:rsidR="004F4880">
          <w:rPr>
            <w:noProof/>
            <w:webHidden/>
          </w:rPr>
        </w:r>
        <w:r w:rsidR="004F4880">
          <w:rPr>
            <w:noProof/>
            <w:webHidden/>
          </w:rPr>
          <w:fldChar w:fldCharType="separate"/>
        </w:r>
        <w:r w:rsidR="00024183">
          <w:rPr>
            <w:noProof/>
            <w:webHidden/>
          </w:rPr>
          <w:t>47</w:t>
        </w:r>
        <w:r w:rsidR="004F4880">
          <w:rPr>
            <w:noProof/>
            <w:webHidden/>
          </w:rPr>
          <w:fldChar w:fldCharType="end"/>
        </w:r>
      </w:hyperlink>
    </w:p>
    <w:p w14:paraId="351B3235" w14:textId="311BBE2E" w:rsidR="004F4880" w:rsidRDefault="00A53410">
      <w:pPr>
        <w:pStyle w:val="TableofFigures"/>
        <w:rPr>
          <w:rFonts w:cstheme="minorBidi"/>
          <w:noProof/>
          <w:sz w:val="22"/>
          <w:szCs w:val="22"/>
          <w:lang w:eastAsia="zh-CN" w:bidi="ar-SA"/>
        </w:rPr>
      </w:pPr>
      <w:hyperlink w:anchor="_Toc495144729" w:history="1">
        <w:r w:rsidR="004F4880" w:rsidRPr="004C6689">
          <w:rPr>
            <w:rStyle w:val="Hyperlink"/>
            <w:noProof/>
          </w:rPr>
          <w:t>Figure 3</w:t>
        </w:r>
        <w:r w:rsidR="004F4880" w:rsidRPr="004C6689">
          <w:rPr>
            <w:rStyle w:val="Hyperlink"/>
            <w:noProof/>
          </w:rPr>
          <w:noBreakHyphen/>
          <w:t>6. Synthetic model configuration with hydraulic fracture and matrix. The hydraulic fraction is on the right side with red color. The horizontal well perforates in the upper right grid. The matrix is in the blue color.</w:t>
        </w:r>
        <w:r w:rsidR="004F4880">
          <w:rPr>
            <w:noProof/>
            <w:webHidden/>
          </w:rPr>
          <w:tab/>
        </w:r>
        <w:r w:rsidR="004F4880">
          <w:rPr>
            <w:noProof/>
            <w:webHidden/>
          </w:rPr>
          <w:fldChar w:fldCharType="begin"/>
        </w:r>
        <w:r w:rsidR="004F4880">
          <w:rPr>
            <w:noProof/>
            <w:webHidden/>
          </w:rPr>
          <w:instrText xml:space="preserve"> PAGEREF _Toc495144729 \h </w:instrText>
        </w:r>
        <w:r w:rsidR="004F4880">
          <w:rPr>
            <w:noProof/>
            <w:webHidden/>
          </w:rPr>
        </w:r>
        <w:r w:rsidR="004F4880">
          <w:rPr>
            <w:noProof/>
            <w:webHidden/>
          </w:rPr>
          <w:fldChar w:fldCharType="separate"/>
        </w:r>
        <w:r w:rsidR="00024183">
          <w:rPr>
            <w:noProof/>
            <w:webHidden/>
          </w:rPr>
          <w:t>49</w:t>
        </w:r>
        <w:r w:rsidR="004F4880">
          <w:rPr>
            <w:noProof/>
            <w:webHidden/>
          </w:rPr>
          <w:fldChar w:fldCharType="end"/>
        </w:r>
      </w:hyperlink>
    </w:p>
    <w:p w14:paraId="6F61F457" w14:textId="1194DCB4" w:rsidR="004F4880" w:rsidRDefault="00A53410">
      <w:pPr>
        <w:pStyle w:val="TableofFigures"/>
        <w:rPr>
          <w:rFonts w:cstheme="minorBidi"/>
          <w:noProof/>
          <w:sz w:val="22"/>
          <w:szCs w:val="22"/>
          <w:lang w:eastAsia="zh-CN" w:bidi="ar-SA"/>
        </w:rPr>
      </w:pPr>
      <w:hyperlink w:anchor="_Toc495144730" w:history="1">
        <w:r w:rsidR="004F4880" w:rsidRPr="004C6689">
          <w:rPr>
            <w:rStyle w:val="Hyperlink"/>
            <w:noProof/>
          </w:rPr>
          <w:t>Figure 3</w:t>
        </w:r>
        <w:r w:rsidR="004F4880" w:rsidRPr="004C6689">
          <w:rPr>
            <w:rStyle w:val="Hyperlink"/>
            <w:noProof/>
          </w:rPr>
          <w:noBreakHyphen/>
          <w:t>7. Partitioning tracer production in gas.</w:t>
        </w:r>
        <w:r w:rsidR="004F4880">
          <w:rPr>
            <w:noProof/>
            <w:webHidden/>
          </w:rPr>
          <w:tab/>
        </w:r>
        <w:r w:rsidR="004F4880">
          <w:rPr>
            <w:noProof/>
            <w:webHidden/>
          </w:rPr>
          <w:fldChar w:fldCharType="begin"/>
        </w:r>
        <w:r w:rsidR="004F4880">
          <w:rPr>
            <w:noProof/>
            <w:webHidden/>
          </w:rPr>
          <w:instrText xml:space="preserve"> PAGEREF _Toc495144730 \h </w:instrText>
        </w:r>
        <w:r w:rsidR="004F4880">
          <w:rPr>
            <w:noProof/>
            <w:webHidden/>
          </w:rPr>
        </w:r>
        <w:r w:rsidR="004F4880">
          <w:rPr>
            <w:noProof/>
            <w:webHidden/>
          </w:rPr>
          <w:fldChar w:fldCharType="separate"/>
        </w:r>
        <w:r w:rsidR="00024183">
          <w:rPr>
            <w:noProof/>
            <w:webHidden/>
          </w:rPr>
          <w:t>50</w:t>
        </w:r>
        <w:r w:rsidR="004F4880">
          <w:rPr>
            <w:noProof/>
            <w:webHidden/>
          </w:rPr>
          <w:fldChar w:fldCharType="end"/>
        </w:r>
      </w:hyperlink>
    </w:p>
    <w:p w14:paraId="1BE7ACB0" w14:textId="41FE60C1" w:rsidR="004F4880" w:rsidRDefault="00A53410">
      <w:pPr>
        <w:pStyle w:val="TableofFigures"/>
        <w:rPr>
          <w:rFonts w:cstheme="minorBidi"/>
          <w:noProof/>
          <w:sz w:val="22"/>
          <w:szCs w:val="22"/>
          <w:lang w:eastAsia="zh-CN" w:bidi="ar-SA"/>
        </w:rPr>
      </w:pPr>
      <w:hyperlink w:anchor="_Toc495144731" w:history="1">
        <w:r w:rsidR="004F4880" w:rsidRPr="004C6689">
          <w:rPr>
            <w:rStyle w:val="Hyperlink"/>
            <w:noProof/>
          </w:rPr>
          <w:t>Figure 3</w:t>
        </w:r>
        <w:r w:rsidR="004F4880" w:rsidRPr="004C6689">
          <w:rPr>
            <w:rStyle w:val="Hyperlink"/>
            <w:noProof/>
          </w:rPr>
          <w:noBreakHyphen/>
          <w:t>8. Partitioning tracer production data in gas. Solid lines are simulation output. The dashed lines are the extrapolation based on the first linear section. x axis is normal scale and y axis is in log scale.</w:t>
        </w:r>
        <w:r w:rsidR="004F4880">
          <w:rPr>
            <w:noProof/>
            <w:webHidden/>
          </w:rPr>
          <w:tab/>
        </w:r>
        <w:r w:rsidR="004F4880">
          <w:rPr>
            <w:noProof/>
            <w:webHidden/>
          </w:rPr>
          <w:fldChar w:fldCharType="begin"/>
        </w:r>
        <w:r w:rsidR="004F4880">
          <w:rPr>
            <w:noProof/>
            <w:webHidden/>
          </w:rPr>
          <w:instrText xml:space="preserve"> PAGEREF _Toc495144731 \h </w:instrText>
        </w:r>
        <w:r w:rsidR="004F4880">
          <w:rPr>
            <w:noProof/>
            <w:webHidden/>
          </w:rPr>
        </w:r>
        <w:r w:rsidR="004F4880">
          <w:rPr>
            <w:noProof/>
            <w:webHidden/>
          </w:rPr>
          <w:fldChar w:fldCharType="separate"/>
        </w:r>
        <w:r w:rsidR="00024183">
          <w:rPr>
            <w:noProof/>
            <w:webHidden/>
          </w:rPr>
          <w:t>54</w:t>
        </w:r>
        <w:r w:rsidR="004F4880">
          <w:rPr>
            <w:noProof/>
            <w:webHidden/>
          </w:rPr>
          <w:fldChar w:fldCharType="end"/>
        </w:r>
      </w:hyperlink>
    </w:p>
    <w:p w14:paraId="21D891D0" w14:textId="0AD82E4E" w:rsidR="004F4880" w:rsidRDefault="00A53410">
      <w:pPr>
        <w:pStyle w:val="TableofFigures"/>
        <w:rPr>
          <w:rFonts w:cstheme="minorBidi"/>
          <w:noProof/>
          <w:sz w:val="22"/>
          <w:szCs w:val="22"/>
          <w:lang w:eastAsia="zh-CN" w:bidi="ar-SA"/>
        </w:rPr>
      </w:pPr>
      <w:hyperlink w:anchor="_Toc495144732" w:history="1">
        <w:r w:rsidR="004F4880" w:rsidRPr="004C6689">
          <w:rPr>
            <w:rStyle w:val="Hyperlink"/>
            <w:noProof/>
          </w:rPr>
          <w:t>Figure 3</w:t>
        </w:r>
        <w:r w:rsidR="004F4880" w:rsidRPr="004C6689">
          <w:rPr>
            <w:rStyle w:val="Hyperlink"/>
            <w:noProof/>
          </w:rPr>
          <w:noBreakHyphen/>
          <w:t>9. The volume contacted with tracer at the end of shut in. R=200000.</w:t>
        </w:r>
        <w:r w:rsidR="004F4880">
          <w:rPr>
            <w:noProof/>
            <w:webHidden/>
          </w:rPr>
          <w:tab/>
        </w:r>
        <w:r w:rsidR="004F4880">
          <w:rPr>
            <w:noProof/>
            <w:webHidden/>
          </w:rPr>
          <w:fldChar w:fldCharType="begin"/>
        </w:r>
        <w:r w:rsidR="004F4880">
          <w:rPr>
            <w:noProof/>
            <w:webHidden/>
          </w:rPr>
          <w:instrText xml:space="preserve"> PAGEREF _Toc495144732 \h </w:instrText>
        </w:r>
        <w:r w:rsidR="004F4880">
          <w:rPr>
            <w:noProof/>
            <w:webHidden/>
          </w:rPr>
        </w:r>
        <w:r w:rsidR="004F4880">
          <w:rPr>
            <w:noProof/>
            <w:webHidden/>
          </w:rPr>
          <w:fldChar w:fldCharType="separate"/>
        </w:r>
        <w:r w:rsidR="00024183">
          <w:rPr>
            <w:noProof/>
            <w:webHidden/>
          </w:rPr>
          <w:t>54</w:t>
        </w:r>
        <w:r w:rsidR="004F4880">
          <w:rPr>
            <w:noProof/>
            <w:webHidden/>
          </w:rPr>
          <w:fldChar w:fldCharType="end"/>
        </w:r>
      </w:hyperlink>
    </w:p>
    <w:p w14:paraId="0C5EA30B" w14:textId="771BDA3D" w:rsidR="004F4880" w:rsidRDefault="00A53410">
      <w:pPr>
        <w:pStyle w:val="TableofFigures"/>
        <w:rPr>
          <w:rFonts w:cstheme="minorBidi"/>
          <w:noProof/>
          <w:sz w:val="22"/>
          <w:szCs w:val="22"/>
          <w:lang w:eastAsia="zh-CN" w:bidi="ar-SA"/>
        </w:rPr>
      </w:pPr>
      <w:hyperlink w:anchor="_Toc495144733" w:history="1">
        <w:r w:rsidR="004F4880" w:rsidRPr="004C6689">
          <w:rPr>
            <w:rStyle w:val="Hyperlink"/>
            <w:noProof/>
          </w:rPr>
          <w:t>Figure 3</w:t>
        </w:r>
        <w:r w:rsidR="004F4880" w:rsidRPr="004C6689">
          <w:rPr>
            <w:rStyle w:val="Hyperlink"/>
            <w:noProof/>
          </w:rPr>
          <w:noBreakHyphen/>
          <w:t>10. The volume contacted with tracer at the end of shut in. R=20000.</w:t>
        </w:r>
        <w:r w:rsidR="004F4880">
          <w:rPr>
            <w:noProof/>
            <w:webHidden/>
          </w:rPr>
          <w:tab/>
        </w:r>
        <w:r w:rsidR="004F4880">
          <w:rPr>
            <w:noProof/>
            <w:webHidden/>
          </w:rPr>
          <w:fldChar w:fldCharType="begin"/>
        </w:r>
        <w:r w:rsidR="004F4880">
          <w:rPr>
            <w:noProof/>
            <w:webHidden/>
          </w:rPr>
          <w:instrText xml:space="preserve"> PAGEREF _Toc495144733 \h </w:instrText>
        </w:r>
        <w:r w:rsidR="004F4880">
          <w:rPr>
            <w:noProof/>
            <w:webHidden/>
          </w:rPr>
        </w:r>
        <w:r w:rsidR="004F4880">
          <w:rPr>
            <w:noProof/>
            <w:webHidden/>
          </w:rPr>
          <w:fldChar w:fldCharType="separate"/>
        </w:r>
        <w:r w:rsidR="00024183">
          <w:rPr>
            <w:noProof/>
            <w:webHidden/>
          </w:rPr>
          <w:t>55</w:t>
        </w:r>
        <w:r w:rsidR="004F4880">
          <w:rPr>
            <w:noProof/>
            <w:webHidden/>
          </w:rPr>
          <w:fldChar w:fldCharType="end"/>
        </w:r>
      </w:hyperlink>
    </w:p>
    <w:p w14:paraId="25A1A59B" w14:textId="6E121EEC" w:rsidR="004F4880" w:rsidRDefault="00A53410">
      <w:pPr>
        <w:pStyle w:val="TableofFigures"/>
        <w:rPr>
          <w:rFonts w:cstheme="minorBidi"/>
          <w:noProof/>
          <w:sz w:val="22"/>
          <w:szCs w:val="22"/>
          <w:lang w:eastAsia="zh-CN" w:bidi="ar-SA"/>
        </w:rPr>
      </w:pPr>
      <w:hyperlink w:anchor="_Toc495144734" w:history="1">
        <w:r w:rsidR="004F4880" w:rsidRPr="004C6689">
          <w:rPr>
            <w:rStyle w:val="Hyperlink"/>
            <w:noProof/>
          </w:rPr>
          <w:t>Figure 3</w:t>
        </w:r>
        <w:r w:rsidR="004F4880" w:rsidRPr="004C6689">
          <w:rPr>
            <w:rStyle w:val="Hyperlink"/>
            <w:noProof/>
          </w:rPr>
          <w:noBreakHyphen/>
          <w:t>11. The volume contacted with tracer at the end of shut in. R=2000.</w:t>
        </w:r>
        <w:r w:rsidR="004F4880">
          <w:rPr>
            <w:noProof/>
            <w:webHidden/>
          </w:rPr>
          <w:tab/>
        </w:r>
        <w:r w:rsidR="004F4880">
          <w:rPr>
            <w:noProof/>
            <w:webHidden/>
          </w:rPr>
          <w:fldChar w:fldCharType="begin"/>
        </w:r>
        <w:r w:rsidR="004F4880">
          <w:rPr>
            <w:noProof/>
            <w:webHidden/>
          </w:rPr>
          <w:instrText xml:space="preserve"> PAGEREF _Toc495144734 \h </w:instrText>
        </w:r>
        <w:r w:rsidR="004F4880">
          <w:rPr>
            <w:noProof/>
            <w:webHidden/>
          </w:rPr>
        </w:r>
        <w:r w:rsidR="004F4880">
          <w:rPr>
            <w:noProof/>
            <w:webHidden/>
          </w:rPr>
          <w:fldChar w:fldCharType="separate"/>
        </w:r>
        <w:r w:rsidR="00024183">
          <w:rPr>
            <w:noProof/>
            <w:webHidden/>
          </w:rPr>
          <w:t>55</w:t>
        </w:r>
        <w:r w:rsidR="004F4880">
          <w:rPr>
            <w:noProof/>
            <w:webHidden/>
          </w:rPr>
          <w:fldChar w:fldCharType="end"/>
        </w:r>
      </w:hyperlink>
    </w:p>
    <w:p w14:paraId="455ADF29" w14:textId="33ECD83F" w:rsidR="004F4880" w:rsidRDefault="00A53410">
      <w:pPr>
        <w:pStyle w:val="TableofFigures"/>
        <w:rPr>
          <w:rFonts w:cstheme="minorBidi"/>
          <w:noProof/>
          <w:sz w:val="22"/>
          <w:szCs w:val="22"/>
          <w:lang w:eastAsia="zh-CN" w:bidi="ar-SA"/>
        </w:rPr>
      </w:pPr>
      <w:hyperlink w:anchor="_Toc495144735" w:history="1">
        <w:r w:rsidR="004F4880" w:rsidRPr="004C6689">
          <w:rPr>
            <w:rStyle w:val="Hyperlink"/>
            <w:noProof/>
          </w:rPr>
          <w:t>Figure 3</w:t>
        </w:r>
        <w:r w:rsidR="004F4880" w:rsidRPr="004C6689">
          <w:rPr>
            <w:rStyle w:val="Hyperlink"/>
            <w:noProof/>
          </w:rPr>
          <w:noBreakHyphen/>
          <w:t>12. Partitioning chemical tracer production data in gas. Solid lines are simulation output. The dashed lines are the extrapolation based on the first linear section. This figure shows the difference between the cases with different partition coefficient (K). x axis is normal scale and y axis is in log scale.</w:t>
        </w:r>
        <w:r w:rsidR="004F4880">
          <w:rPr>
            <w:noProof/>
            <w:webHidden/>
          </w:rPr>
          <w:tab/>
        </w:r>
        <w:r w:rsidR="004F4880">
          <w:rPr>
            <w:noProof/>
            <w:webHidden/>
          </w:rPr>
          <w:fldChar w:fldCharType="begin"/>
        </w:r>
        <w:r w:rsidR="004F4880">
          <w:rPr>
            <w:noProof/>
            <w:webHidden/>
          </w:rPr>
          <w:instrText xml:space="preserve"> PAGEREF _Toc495144735 \h </w:instrText>
        </w:r>
        <w:r w:rsidR="004F4880">
          <w:rPr>
            <w:noProof/>
            <w:webHidden/>
          </w:rPr>
        </w:r>
        <w:r w:rsidR="004F4880">
          <w:rPr>
            <w:noProof/>
            <w:webHidden/>
          </w:rPr>
          <w:fldChar w:fldCharType="separate"/>
        </w:r>
        <w:r w:rsidR="00024183">
          <w:rPr>
            <w:noProof/>
            <w:webHidden/>
          </w:rPr>
          <w:t>57</w:t>
        </w:r>
        <w:r w:rsidR="004F4880">
          <w:rPr>
            <w:noProof/>
            <w:webHidden/>
          </w:rPr>
          <w:fldChar w:fldCharType="end"/>
        </w:r>
      </w:hyperlink>
    </w:p>
    <w:p w14:paraId="4A2FF60B" w14:textId="1A665A32" w:rsidR="004F4880" w:rsidRDefault="00A53410">
      <w:pPr>
        <w:pStyle w:val="TableofFigures"/>
        <w:rPr>
          <w:rFonts w:cstheme="minorBidi"/>
          <w:noProof/>
          <w:sz w:val="22"/>
          <w:szCs w:val="22"/>
          <w:lang w:eastAsia="zh-CN" w:bidi="ar-SA"/>
        </w:rPr>
      </w:pPr>
      <w:hyperlink w:anchor="_Toc495144736" w:history="1">
        <w:r w:rsidR="004F4880" w:rsidRPr="004C6689">
          <w:rPr>
            <w:rStyle w:val="Hyperlink"/>
            <w:noProof/>
          </w:rPr>
          <w:t>Figure 3</w:t>
        </w:r>
        <w:r w:rsidR="004F4880" w:rsidRPr="004C6689">
          <w:rPr>
            <w:rStyle w:val="Hyperlink"/>
            <w:noProof/>
          </w:rPr>
          <w:noBreakHyphen/>
          <w:t>13. The tracer distribution profile inside domain at the end of shut in. K=2.5.</w:t>
        </w:r>
        <w:r w:rsidR="004F4880">
          <w:rPr>
            <w:noProof/>
            <w:webHidden/>
          </w:rPr>
          <w:tab/>
        </w:r>
        <w:r w:rsidR="004F4880">
          <w:rPr>
            <w:noProof/>
            <w:webHidden/>
          </w:rPr>
          <w:fldChar w:fldCharType="begin"/>
        </w:r>
        <w:r w:rsidR="004F4880">
          <w:rPr>
            <w:noProof/>
            <w:webHidden/>
          </w:rPr>
          <w:instrText xml:space="preserve"> PAGEREF _Toc495144736 \h </w:instrText>
        </w:r>
        <w:r w:rsidR="004F4880">
          <w:rPr>
            <w:noProof/>
            <w:webHidden/>
          </w:rPr>
        </w:r>
        <w:r w:rsidR="004F4880">
          <w:rPr>
            <w:noProof/>
            <w:webHidden/>
          </w:rPr>
          <w:fldChar w:fldCharType="separate"/>
        </w:r>
        <w:r w:rsidR="00024183">
          <w:rPr>
            <w:noProof/>
            <w:webHidden/>
          </w:rPr>
          <w:t>58</w:t>
        </w:r>
        <w:r w:rsidR="004F4880">
          <w:rPr>
            <w:noProof/>
            <w:webHidden/>
          </w:rPr>
          <w:fldChar w:fldCharType="end"/>
        </w:r>
      </w:hyperlink>
    </w:p>
    <w:p w14:paraId="2CFEEF25" w14:textId="11F0FC03" w:rsidR="004F4880" w:rsidRDefault="00A53410">
      <w:pPr>
        <w:pStyle w:val="TableofFigures"/>
        <w:rPr>
          <w:rFonts w:cstheme="minorBidi"/>
          <w:noProof/>
          <w:sz w:val="22"/>
          <w:szCs w:val="22"/>
          <w:lang w:eastAsia="zh-CN" w:bidi="ar-SA"/>
        </w:rPr>
      </w:pPr>
      <w:hyperlink w:anchor="_Toc495144737" w:history="1">
        <w:r w:rsidR="004F4880" w:rsidRPr="004C6689">
          <w:rPr>
            <w:rStyle w:val="Hyperlink"/>
            <w:noProof/>
          </w:rPr>
          <w:t>Figure 3</w:t>
        </w:r>
        <w:r w:rsidR="004F4880" w:rsidRPr="004C6689">
          <w:rPr>
            <w:rStyle w:val="Hyperlink"/>
            <w:noProof/>
          </w:rPr>
          <w:noBreakHyphen/>
          <w:t>14. The tracer distribution profile inside domain at the end of shut in. K=25.</w:t>
        </w:r>
        <w:r w:rsidR="004F4880">
          <w:rPr>
            <w:noProof/>
            <w:webHidden/>
          </w:rPr>
          <w:tab/>
        </w:r>
        <w:r w:rsidR="004F4880">
          <w:rPr>
            <w:noProof/>
            <w:webHidden/>
          </w:rPr>
          <w:fldChar w:fldCharType="begin"/>
        </w:r>
        <w:r w:rsidR="004F4880">
          <w:rPr>
            <w:noProof/>
            <w:webHidden/>
          </w:rPr>
          <w:instrText xml:space="preserve"> PAGEREF _Toc495144737 \h </w:instrText>
        </w:r>
        <w:r w:rsidR="004F4880">
          <w:rPr>
            <w:noProof/>
            <w:webHidden/>
          </w:rPr>
        </w:r>
        <w:r w:rsidR="004F4880">
          <w:rPr>
            <w:noProof/>
            <w:webHidden/>
          </w:rPr>
          <w:fldChar w:fldCharType="separate"/>
        </w:r>
        <w:r w:rsidR="00024183">
          <w:rPr>
            <w:noProof/>
            <w:webHidden/>
          </w:rPr>
          <w:t>58</w:t>
        </w:r>
        <w:r w:rsidR="004F4880">
          <w:rPr>
            <w:noProof/>
            <w:webHidden/>
          </w:rPr>
          <w:fldChar w:fldCharType="end"/>
        </w:r>
      </w:hyperlink>
    </w:p>
    <w:p w14:paraId="4B292E8A" w14:textId="2EC93D78" w:rsidR="004F4880" w:rsidRDefault="00A53410">
      <w:pPr>
        <w:pStyle w:val="TableofFigures"/>
        <w:rPr>
          <w:rFonts w:cstheme="minorBidi"/>
          <w:noProof/>
          <w:sz w:val="22"/>
          <w:szCs w:val="22"/>
          <w:lang w:eastAsia="zh-CN" w:bidi="ar-SA"/>
        </w:rPr>
      </w:pPr>
      <w:hyperlink w:anchor="_Toc495144738" w:history="1">
        <w:r w:rsidR="004F4880" w:rsidRPr="004C6689">
          <w:rPr>
            <w:rStyle w:val="Hyperlink"/>
            <w:noProof/>
          </w:rPr>
          <w:t>Figure 3</w:t>
        </w:r>
        <w:r w:rsidR="004F4880" w:rsidRPr="004C6689">
          <w:rPr>
            <w:rStyle w:val="Hyperlink"/>
            <w:noProof/>
          </w:rPr>
          <w:noBreakHyphen/>
          <w:t>15. The tracer distribution profile inside domain at the end of shut in. K=250.</w:t>
        </w:r>
        <w:r w:rsidR="004F4880">
          <w:rPr>
            <w:noProof/>
            <w:webHidden/>
          </w:rPr>
          <w:tab/>
        </w:r>
        <w:r w:rsidR="004F4880">
          <w:rPr>
            <w:noProof/>
            <w:webHidden/>
          </w:rPr>
          <w:fldChar w:fldCharType="begin"/>
        </w:r>
        <w:r w:rsidR="004F4880">
          <w:rPr>
            <w:noProof/>
            <w:webHidden/>
          </w:rPr>
          <w:instrText xml:space="preserve"> PAGEREF _Toc495144738 \h </w:instrText>
        </w:r>
        <w:r w:rsidR="004F4880">
          <w:rPr>
            <w:noProof/>
            <w:webHidden/>
          </w:rPr>
        </w:r>
        <w:r w:rsidR="004F4880">
          <w:rPr>
            <w:noProof/>
            <w:webHidden/>
          </w:rPr>
          <w:fldChar w:fldCharType="separate"/>
        </w:r>
        <w:r w:rsidR="00024183">
          <w:rPr>
            <w:noProof/>
            <w:webHidden/>
          </w:rPr>
          <w:t>59</w:t>
        </w:r>
        <w:r w:rsidR="004F4880">
          <w:rPr>
            <w:noProof/>
            <w:webHidden/>
          </w:rPr>
          <w:fldChar w:fldCharType="end"/>
        </w:r>
      </w:hyperlink>
    </w:p>
    <w:p w14:paraId="05EB44A5" w14:textId="582C1ECA" w:rsidR="004F4880" w:rsidRDefault="00A53410">
      <w:pPr>
        <w:pStyle w:val="TableofFigures"/>
        <w:rPr>
          <w:rFonts w:cstheme="minorBidi"/>
          <w:noProof/>
          <w:sz w:val="22"/>
          <w:szCs w:val="22"/>
          <w:lang w:eastAsia="zh-CN" w:bidi="ar-SA"/>
        </w:rPr>
      </w:pPr>
      <w:hyperlink w:anchor="_Toc495144739" w:history="1">
        <w:r w:rsidR="004F4880" w:rsidRPr="004C6689">
          <w:rPr>
            <w:rStyle w:val="Hyperlink"/>
            <w:noProof/>
          </w:rPr>
          <w:t>Figure 3</w:t>
        </w:r>
        <w:r w:rsidR="004F4880" w:rsidRPr="004C6689">
          <w:rPr>
            <w:rStyle w:val="Hyperlink"/>
            <w:noProof/>
          </w:rPr>
          <w:noBreakHyphen/>
          <w:t>16. Fracking fluid (water) distribution at the end of shut in. Inside hydraulic fracture grid column (x=18).</w:t>
        </w:r>
        <w:r w:rsidR="004F4880">
          <w:rPr>
            <w:noProof/>
            <w:webHidden/>
          </w:rPr>
          <w:tab/>
        </w:r>
        <w:r w:rsidR="004F4880">
          <w:rPr>
            <w:noProof/>
            <w:webHidden/>
          </w:rPr>
          <w:fldChar w:fldCharType="begin"/>
        </w:r>
        <w:r w:rsidR="004F4880">
          <w:rPr>
            <w:noProof/>
            <w:webHidden/>
          </w:rPr>
          <w:instrText xml:space="preserve"> PAGEREF _Toc495144739 \h </w:instrText>
        </w:r>
        <w:r w:rsidR="004F4880">
          <w:rPr>
            <w:noProof/>
            <w:webHidden/>
          </w:rPr>
        </w:r>
        <w:r w:rsidR="004F4880">
          <w:rPr>
            <w:noProof/>
            <w:webHidden/>
          </w:rPr>
          <w:fldChar w:fldCharType="separate"/>
        </w:r>
        <w:r w:rsidR="00024183">
          <w:rPr>
            <w:noProof/>
            <w:webHidden/>
          </w:rPr>
          <w:t>61</w:t>
        </w:r>
        <w:r w:rsidR="004F4880">
          <w:rPr>
            <w:noProof/>
            <w:webHidden/>
          </w:rPr>
          <w:fldChar w:fldCharType="end"/>
        </w:r>
      </w:hyperlink>
    </w:p>
    <w:p w14:paraId="2DB51F9F" w14:textId="7C9976EE" w:rsidR="004F4880" w:rsidRDefault="00A53410">
      <w:pPr>
        <w:pStyle w:val="TableofFigures"/>
        <w:rPr>
          <w:rFonts w:cstheme="minorBidi"/>
          <w:noProof/>
          <w:sz w:val="22"/>
          <w:szCs w:val="22"/>
          <w:lang w:eastAsia="zh-CN" w:bidi="ar-SA"/>
        </w:rPr>
      </w:pPr>
      <w:hyperlink w:anchor="_Toc495144740" w:history="1">
        <w:r w:rsidR="004F4880" w:rsidRPr="004C6689">
          <w:rPr>
            <w:rStyle w:val="Hyperlink"/>
            <w:noProof/>
          </w:rPr>
          <w:t>Figure 3</w:t>
        </w:r>
        <w:r w:rsidR="004F4880" w:rsidRPr="004C6689">
          <w:rPr>
            <w:rStyle w:val="Hyperlink"/>
            <w:noProof/>
          </w:rPr>
          <w:noBreakHyphen/>
          <w:t>17. Partitioning chemical tracer production data in gas. Solid lines are simulation output. The dashed lines are the extrapolation based on the first linear section. This figure shows the difference between the cases with different adsorption.</w:t>
        </w:r>
        <w:r w:rsidR="004F4880">
          <w:rPr>
            <w:noProof/>
            <w:webHidden/>
          </w:rPr>
          <w:tab/>
        </w:r>
        <w:r w:rsidR="004F4880">
          <w:rPr>
            <w:noProof/>
            <w:webHidden/>
          </w:rPr>
          <w:fldChar w:fldCharType="begin"/>
        </w:r>
        <w:r w:rsidR="004F4880">
          <w:rPr>
            <w:noProof/>
            <w:webHidden/>
          </w:rPr>
          <w:instrText xml:space="preserve"> PAGEREF _Toc495144740 \h </w:instrText>
        </w:r>
        <w:r w:rsidR="004F4880">
          <w:rPr>
            <w:noProof/>
            <w:webHidden/>
          </w:rPr>
        </w:r>
        <w:r w:rsidR="004F4880">
          <w:rPr>
            <w:noProof/>
            <w:webHidden/>
          </w:rPr>
          <w:fldChar w:fldCharType="separate"/>
        </w:r>
        <w:r w:rsidR="00024183">
          <w:rPr>
            <w:noProof/>
            <w:webHidden/>
          </w:rPr>
          <w:t>62</w:t>
        </w:r>
        <w:r w:rsidR="004F4880">
          <w:rPr>
            <w:noProof/>
            <w:webHidden/>
          </w:rPr>
          <w:fldChar w:fldCharType="end"/>
        </w:r>
      </w:hyperlink>
    </w:p>
    <w:p w14:paraId="188ADAA6" w14:textId="47F437A5" w:rsidR="004F4880" w:rsidRDefault="00A53410">
      <w:pPr>
        <w:pStyle w:val="TableofFigures"/>
        <w:rPr>
          <w:rFonts w:cstheme="minorBidi"/>
          <w:noProof/>
          <w:sz w:val="22"/>
          <w:szCs w:val="22"/>
          <w:lang w:eastAsia="zh-CN" w:bidi="ar-SA"/>
        </w:rPr>
      </w:pPr>
      <w:hyperlink w:anchor="_Toc495144741" w:history="1">
        <w:r w:rsidR="004F4880" w:rsidRPr="004C6689">
          <w:rPr>
            <w:rStyle w:val="Hyperlink"/>
            <w:noProof/>
          </w:rPr>
          <w:t>Figure 3</w:t>
        </w:r>
        <w:r w:rsidR="004F4880" w:rsidRPr="004C6689">
          <w:rPr>
            <w:rStyle w:val="Hyperlink"/>
            <w:noProof/>
          </w:rPr>
          <w:noBreakHyphen/>
          <w:t>18. The tracer distribution profile inside domain at the end of shut in. Medium adsorption.</w:t>
        </w:r>
        <w:r w:rsidR="004F4880">
          <w:rPr>
            <w:noProof/>
            <w:webHidden/>
          </w:rPr>
          <w:tab/>
        </w:r>
        <w:r w:rsidR="004F4880">
          <w:rPr>
            <w:noProof/>
            <w:webHidden/>
          </w:rPr>
          <w:fldChar w:fldCharType="begin"/>
        </w:r>
        <w:r w:rsidR="004F4880">
          <w:rPr>
            <w:noProof/>
            <w:webHidden/>
          </w:rPr>
          <w:instrText xml:space="preserve"> PAGEREF _Toc495144741 \h </w:instrText>
        </w:r>
        <w:r w:rsidR="004F4880">
          <w:rPr>
            <w:noProof/>
            <w:webHidden/>
          </w:rPr>
        </w:r>
        <w:r w:rsidR="004F4880">
          <w:rPr>
            <w:noProof/>
            <w:webHidden/>
          </w:rPr>
          <w:fldChar w:fldCharType="separate"/>
        </w:r>
        <w:r w:rsidR="00024183">
          <w:rPr>
            <w:noProof/>
            <w:webHidden/>
          </w:rPr>
          <w:t>63</w:t>
        </w:r>
        <w:r w:rsidR="004F4880">
          <w:rPr>
            <w:noProof/>
            <w:webHidden/>
          </w:rPr>
          <w:fldChar w:fldCharType="end"/>
        </w:r>
      </w:hyperlink>
    </w:p>
    <w:p w14:paraId="21F2DB83" w14:textId="7E5B7C11" w:rsidR="004F4880" w:rsidRDefault="00A53410">
      <w:pPr>
        <w:pStyle w:val="TableofFigures"/>
        <w:rPr>
          <w:rFonts w:cstheme="minorBidi"/>
          <w:noProof/>
          <w:sz w:val="22"/>
          <w:szCs w:val="22"/>
          <w:lang w:eastAsia="zh-CN" w:bidi="ar-SA"/>
        </w:rPr>
      </w:pPr>
      <w:hyperlink w:anchor="_Toc495144742" w:history="1">
        <w:r w:rsidR="004F4880" w:rsidRPr="004C6689">
          <w:rPr>
            <w:rStyle w:val="Hyperlink"/>
            <w:noProof/>
          </w:rPr>
          <w:t>Figure 3</w:t>
        </w:r>
        <w:r w:rsidR="004F4880" w:rsidRPr="004C6689">
          <w:rPr>
            <w:rStyle w:val="Hyperlink"/>
            <w:noProof/>
          </w:rPr>
          <w:noBreakHyphen/>
          <w:t>19. The tracer distribution profile inside domain at the end of shut in. High adsorption.</w:t>
        </w:r>
        <w:r w:rsidR="004F4880">
          <w:rPr>
            <w:noProof/>
            <w:webHidden/>
          </w:rPr>
          <w:tab/>
        </w:r>
        <w:r w:rsidR="004F4880">
          <w:rPr>
            <w:noProof/>
            <w:webHidden/>
          </w:rPr>
          <w:fldChar w:fldCharType="begin"/>
        </w:r>
        <w:r w:rsidR="004F4880">
          <w:rPr>
            <w:noProof/>
            <w:webHidden/>
          </w:rPr>
          <w:instrText xml:space="preserve"> PAGEREF _Toc495144742 \h </w:instrText>
        </w:r>
        <w:r w:rsidR="004F4880">
          <w:rPr>
            <w:noProof/>
            <w:webHidden/>
          </w:rPr>
        </w:r>
        <w:r w:rsidR="004F4880">
          <w:rPr>
            <w:noProof/>
            <w:webHidden/>
          </w:rPr>
          <w:fldChar w:fldCharType="separate"/>
        </w:r>
        <w:r w:rsidR="00024183">
          <w:rPr>
            <w:noProof/>
            <w:webHidden/>
          </w:rPr>
          <w:t>63</w:t>
        </w:r>
        <w:r w:rsidR="004F4880">
          <w:rPr>
            <w:noProof/>
            <w:webHidden/>
          </w:rPr>
          <w:fldChar w:fldCharType="end"/>
        </w:r>
      </w:hyperlink>
    </w:p>
    <w:p w14:paraId="7CDBF5D2" w14:textId="7F40BD81" w:rsidR="004F4880" w:rsidRDefault="00A53410">
      <w:pPr>
        <w:pStyle w:val="TableofFigures"/>
        <w:rPr>
          <w:rFonts w:cstheme="minorBidi"/>
          <w:noProof/>
          <w:sz w:val="22"/>
          <w:szCs w:val="22"/>
          <w:lang w:eastAsia="zh-CN" w:bidi="ar-SA"/>
        </w:rPr>
      </w:pPr>
      <w:hyperlink w:anchor="_Toc495144743" w:history="1">
        <w:r w:rsidR="004F4880" w:rsidRPr="004C6689">
          <w:rPr>
            <w:rStyle w:val="Hyperlink"/>
            <w:noProof/>
          </w:rPr>
          <w:t>Figure 4</w:t>
        </w:r>
        <w:r w:rsidR="004F4880" w:rsidRPr="004C6689">
          <w:rPr>
            <w:rStyle w:val="Hyperlink"/>
            <w:noProof/>
          </w:rPr>
          <w:noBreakHyphen/>
          <w:t>1. Particle movement is consisted by advection and diffusion (Yi et al. 1994).</w:t>
        </w:r>
        <w:r w:rsidR="004F4880">
          <w:rPr>
            <w:noProof/>
            <w:webHidden/>
          </w:rPr>
          <w:tab/>
        </w:r>
        <w:r w:rsidR="004F4880">
          <w:rPr>
            <w:noProof/>
            <w:webHidden/>
          </w:rPr>
          <w:fldChar w:fldCharType="begin"/>
        </w:r>
        <w:r w:rsidR="004F4880">
          <w:rPr>
            <w:noProof/>
            <w:webHidden/>
          </w:rPr>
          <w:instrText xml:space="preserve"> PAGEREF _Toc495144743 \h </w:instrText>
        </w:r>
        <w:r w:rsidR="004F4880">
          <w:rPr>
            <w:noProof/>
            <w:webHidden/>
          </w:rPr>
        </w:r>
        <w:r w:rsidR="004F4880">
          <w:rPr>
            <w:noProof/>
            <w:webHidden/>
          </w:rPr>
          <w:fldChar w:fldCharType="separate"/>
        </w:r>
        <w:r w:rsidR="00024183">
          <w:rPr>
            <w:noProof/>
            <w:webHidden/>
          </w:rPr>
          <w:t>69</w:t>
        </w:r>
        <w:r w:rsidR="004F4880">
          <w:rPr>
            <w:noProof/>
            <w:webHidden/>
          </w:rPr>
          <w:fldChar w:fldCharType="end"/>
        </w:r>
      </w:hyperlink>
    </w:p>
    <w:p w14:paraId="1D727333" w14:textId="5D9C273E" w:rsidR="004F4880" w:rsidRDefault="00A53410">
      <w:pPr>
        <w:pStyle w:val="TableofFigures"/>
        <w:rPr>
          <w:rFonts w:cstheme="minorBidi"/>
          <w:noProof/>
          <w:sz w:val="22"/>
          <w:szCs w:val="22"/>
          <w:lang w:eastAsia="zh-CN" w:bidi="ar-SA"/>
        </w:rPr>
      </w:pPr>
      <w:hyperlink w:anchor="_Toc495144744" w:history="1">
        <w:r w:rsidR="004F4880" w:rsidRPr="004C6689">
          <w:rPr>
            <w:rStyle w:val="Hyperlink"/>
            <w:noProof/>
          </w:rPr>
          <w:t>Figure 4</w:t>
        </w:r>
        <w:r w:rsidR="004F4880" w:rsidRPr="004C6689">
          <w:rPr>
            <w:rStyle w:val="Hyperlink"/>
            <w:noProof/>
          </w:rPr>
          <w:noBreakHyphen/>
          <w:t>2. Linear interpolation to calculate particle velocity (modified from LaBolle et al. 1996).</w:t>
        </w:r>
        <w:r w:rsidR="004F4880">
          <w:rPr>
            <w:noProof/>
            <w:webHidden/>
          </w:rPr>
          <w:tab/>
        </w:r>
        <w:r w:rsidR="004F4880">
          <w:rPr>
            <w:noProof/>
            <w:webHidden/>
          </w:rPr>
          <w:fldChar w:fldCharType="begin"/>
        </w:r>
        <w:r w:rsidR="004F4880">
          <w:rPr>
            <w:noProof/>
            <w:webHidden/>
          </w:rPr>
          <w:instrText xml:space="preserve"> PAGEREF _Toc495144744 \h </w:instrText>
        </w:r>
        <w:r w:rsidR="004F4880">
          <w:rPr>
            <w:noProof/>
            <w:webHidden/>
          </w:rPr>
        </w:r>
        <w:r w:rsidR="004F4880">
          <w:rPr>
            <w:noProof/>
            <w:webHidden/>
          </w:rPr>
          <w:fldChar w:fldCharType="separate"/>
        </w:r>
        <w:r w:rsidR="00024183">
          <w:rPr>
            <w:noProof/>
            <w:webHidden/>
          </w:rPr>
          <w:t>70</w:t>
        </w:r>
        <w:r w:rsidR="004F4880">
          <w:rPr>
            <w:noProof/>
            <w:webHidden/>
          </w:rPr>
          <w:fldChar w:fldCharType="end"/>
        </w:r>
      </w:hyperlink>
    </w:p>
    <w:p w14:paraId="4ABA3362" w14:textId="7890E7A4" w:rsidR="004F4880" w:rsidRDefault="00A53410">
      <w:pPr>
        <w:pStyle w:val="TableofFigures"/>
        <w:rPr>
          <w:rFonts w:cstheme="minorBidi"/>
          <w:noProof/>
          <w:sz w:val="22"/>
          <w:szCs w:val="22"/>
          <w:lang w:eastAsia="zh-CN" w:bidi="ar-SA"/>
        </w:rPr>
      </w:pPr>
      <w:hyperlink w:anchor="_Toc495144745" w:history="1">
        <w:r w:rsidR="004F4880" w:rsidRPr="004C6689">
          <w:rPr>
            <w:rStyle w:val="Hyperlink"/>
            <w:noProof/>
          </w:rPr>
          <w:t>Figure 4</w:t>
        </w:r>
        <w:r w:rsidR="004F4880" w:rsidRPr="004C6689">
          <w:rPr>
            <w:rStyle w:val="Hyperlink"/>
            <w:noProof/>
          </w:rPr>
          <w:noBreakHyphen/>
          <w:t>3. Configuration of 1D model. The partitioning chemical tracer is injected from left to right. Its concentration is recorded at the outlet.</w:t>
        </w:r>
        <w:r w:rsidR="004F4880">
          <w:rPr>
            <w:noProof/>
            <w:webHidden/>
          </w:rPr>
          <w:tab/>
        </w:r>
        <w:r w:rsidR="004F4880">
          <w:rPr>
            <w:noProof/>
            <w:webHidden/>
          </w:rPr>
          <w:fldChar w:fldCharType="begin"/>
        </w:r>
        <w:r w:rsidR="004F4880">
          <w:rPr>
            <w:noProof/>
            <w:webHidden/>
          </w:rPr>
          <w:instrText xml:space="preserve"> PAGEREF _Toc495144745 \h </w:instrText>
        </w:r>
        <w:r w:rsidR="004F4880">
          <w:rPr>
            <w:noProof/>
            <w:webHidden/>
          </w:rPr>
        </w:r>
        <w:r w:rsidR="004F4880">
          <w:rPr>
            <w:noProof/>
            <w:webHidden/>
          </w:rPr>
          <w:fldChar w:fldCharType="separate"/>
        </w:r>
        <w:r w:rsidR="00024183">
          <w:rPr>
            <w:noProof/>
            <w:webHidden/>
          </w:rPr>
          <w:t>71</w:t>
        </w:r>
        <w:r w:rsidR="004F4880">
          <w:rPr>
            <w:noProof/>
            <w:webHidden/>
          </w:rPr>
          <w:fldChar w:fldCharType="end"/>
        </w:r>
      </w:hyperlink>
    </w:p>
    <w:p w14:paraId="645217DB" w14:textId="48518B99" w:rsidR="004F4880" w:rsidRDefault="00A53410">
      <w:pPr>
        <w:pStyle w:val="TableofFigures"/>
        <w:rPr>
          <w:rFonts w:cstheme="minorBidi"/>
          <w:noProof/>
          <w:sz w:val="22"/>
          <w:szCs w:val="22"/>
          <w:lang w:eastAsia="zh-CN" w:bidi="ar-SA"/>
        </w:rPr>
      </w:pPr>
      <w:hyperlink w:anchor="_Toc495144746" w:history="1">
        <w:r w:rsidR="004F4880" w:rsidRPr="004C6689">
          <w:rPr>
            <w:rStyle w:val="Hyperlink"/>
            <w:noProof/>
          </w:rPr>
          <w:t>Figure 4</w:t>
        </w:r>
        <w:r w:rsidR="004F4880" w:rsidRPr="004C6689">
          <w:rPr>
            <w:rStyle w:val="Hyperlink"/>
            <w:noProof/>
          </w:rPr>
          <w:noBreakHyphen/>
          <w:t>4. Relative permeability curve.</w:t>
        </w:r>
        <w:r w:rsidR="004F4880">
          <w:rPr>
            <w:noProof/>
            <w:webHidden/>
          </w:rPr>
          <w:tab/>
        </w:r>
        <w:r w:rsidR="004F4880">
          <w:rPr>
            <w:noProof/>
            <w:webHidden/>
          </w:rPr>
          <w:fldChar w:fldCharType="begin"/>
        </w:r>
        <w:r w:rsidR="004F4880">
          <w:rPr>
            <w:noProof/>
            <w:webHidden/>
          </w:rPr>
          <w:instrText xml:space="preserve"> PAGEREF _Toc495144746 \h </w:instrText>
        </w:r>
        <w:r w:rsidR="004F4880">
          <w:rPr>
            <w:noProof/>
            <w:webHidden/>
          </w:rPr>
        </w:r>
        <w:r w:rsidR="004F4880">
          <w:rPr>
            <w:noProof/>
            <w:webHidden/>
          </w:rPr>
          <w:fldChar w:fldCharType="separate"/>
        </w:r>
        <w:r w:rsidR="00024183">
          <w:rPr>
            <w:noProof/>
            <w:webHidden/>
          </w:rPr>
          <w:t>72</w:t>
        </w:r>
        <w:r w:rsidR="004F4880">
          <w:rPr>
            <w:noProof/>
            <w:webHidden/>
          </w:rPr>
          <w:fldChar w:fldCharType="end"/>
        </w:r>
      </w:hyperlink>
    </w:p>
    <w:p w14:paraId="3C6A23EB" w14:textId="6093C925" w:rsidR="004F4880" w:rsidRDefault="00A53410">
      <w:pPr>
        <w:pStyle w:val="TableofFigures"/>
        <w:rPr>
          <w:rFonts w:cstheme="minorBidi"/>
          <w:noProof/>
          <w:sz w:val="22"/>
          <w:szCs w:val="22"/>
          <w:lang w:eastAsia="zh-CN" w:bidi="ar-SA"/>
        </w:rPr>
      </w:pPr>
      <w:hyperlink w:anchor="_Toc495144747" w:history="1">
        <w:r w:rsidR="004F4880" w:rsidRPr="004C6689">
          <w:rPr>
            <w:rStyle w:val="Hyperlink"/>
            <w:noProof/>
          </w:rPr>
          <w:t>Figure 4</w:t>
        </w:r>
        <w:r w:rsidR="004F4880" w:rsidRPr="004C6689">
          <w:rPr>
            <w:rStyle w:val="Hyperlink"/>
            <w:noProof/>
          </w:rPr>
          <w:noBreakHyphen/>
          <w:t>5. Comparison of RWPT with analytical solution and finite-difference. Peclet number is infinity (base case). Immobile oil.</w:t>
        </w:r>
        <w:r w:rsidR="004F4880">
          <w:rPr>
            <w:noProof/>
            <w:webHidden/>
          </w:rPr>
          <w:tab/>
        </w:r>
        <w:r w:rsidR="004F4880">
          <w:rPr>
            <w:noProof/>
            <w:webHidden/>
          </w:rPr>
          <w:fldChar w:fldCharType="begin"/>
        </w:r>
        <w:r w:rsidR="004F4880">
          <w:rPr>
            <w:noProof/>
            <w:webHidden/>
          </w:rPr>
          <w:instrText xml:space="preserve"> PAGEREF _Toc495144747 \h </w:instrText>
        </w:r>
        <w:r w:rsidR="004F4880">
          <w:rPr>
            <w:noProof/>
            <w:webHidden/>
          </w:rPr>
        </w:r>
        <w:r w:rsidR="004F4880">
          <w:rPr>
            <w:noProof/>
            <w:webHidden/>
          </w:rPr>
          <w:fldChar w:fldCharType="separate"/>
        </w:r>
        <w:r w:rsidR="00024183">
          <w:rPr>
            <w:noProof/>
            <w:webHidden/>
          </w:rPr>
          <w:t>74</w:t>
        </w:r>
        <w:r w:rsidR="004F4880">
          <w:rPr>
            <w:noProof/>
            <w:webHidden/>
          </w:rPr>
          <w:fldChar w:fldCharType="end"/>
        </w:r>
      </w:hyperlink>
    </w:p>
    <w:p w14:paraId="4EF0D5C6" w14:textId="73CDB79B" w:rsidR="004F4880" w:rsidRDefault="00A53410">
      <w:pPr>
        <w:pStyle w:val="TableofFigures"/>
        <w:rPr>
          <w:rFonts w:cstheme="minorBidi"/>
          <w:noProof/>
          <w:sz w:val="22"/>
          <w:szCs w:val="22"/>
          <w:lang w:eastAsia="zh-CN" w:bidi="ar-SA"/>
        </w:rPr>
      </w:pPr>
      <w:hyperlink w:anchor="_Toc495144748" w:history="1">
        <w:r w:rsidR="004F4880" w:rsidRPr="004C6689">
          <w:rPr>
            <w:rStyle w:val="Hyperlink"/>
            <w:noProof/>
          </w:rPr>
          <w:t>Figure 4</w:t>
        </w:r>
        <w:r w:rsidR="004F4880" w:rsidRPr="004C6689">
          <w:rPr>
            <w:rStyle w:val="Hyperlink"/>
            <w:noProof/>
          </w:rPr>
          <w:noBreakHyphen/>
          <w:t>6. Comparison of RWPT with analytical solution and finite-difference. Peclet number is 45. Immobile oi.</w:t>
        </w:r>
        <w:r w:rsidR="004F4880">
          <w:rPr>
            <w:noProof/>
            <w:webHidden/>
          </w:rPr>
          <w:tab/>
        </w:r>
        <w:r w:rsidR="004F4880">
          <w:rPr>
            <w:noProof/>
            <w:webHidden/>
          </w:rPr>
          <w:fldChar w:fldCharType="begin"/>
        </w:r>
        <w:r w:rsidR="004F4880">
          <w:rPr>
            <w:noProof/>
            <w:webHidden/>
          </w:rPr>
          <w:instrText xml:space="preserve"> PAGEREF _Toc495144748 \h </w:instrText>
        </w:r>
        <w:r w:rsidR="004F4880">
          <w:rPr>
            <w:noProof/>
            <w:webHidden/>
          </w:rPr>
        </w:r>
        <w:r w:rsidR="004F4880">
          <w:rPr>
            <w:noProof/>
            <w:webHidden/>
          </w:rPr>
          <w:fldChar w:fldCharType="separate"/>
        </w:r>
        <w:r w:rsidR="00024183">
          <w:rPr>
            <w:noProof/>
            <w:webHidden/>
          </w:rPr>
          <w:t>74</w:t>
        </w:r>
        <w:r w:rsidR="004F4880">
          <w:rPr>
            <w:noProof/>
            <w:webHidden/>
          </w:rPr>
          <w:fldChar w:fldCharType="end"/>
        </w:r>
      </w:hyperlink>
    </w:p>
    <w:p w14:paraId="0845D9E3" w14:textId="6EDA5B9A" w:rsidR="004F4880" w:rsidRDefault="00A53410">
      <w:pPr>
        <w:pStyle w:val="TableofFigures"/>
        <w:rPr>
          <w:rFonts w:cstheme="minorBidi"/>
          <w:noProof/>
          <w:sz w:val="22"/>
          <w:szCs w:val="22"/>
          <w:lang w:eastAsia="zh-CN" w:bidi="ar-SA"/>
        </w:rPr>
      </w:pPr>
      <w:hyperlink w:anchor="_Toc495144749" w:history="1">
        <w:r w:rsidR="004F4880" w:rsidRPr="004C6689">
          <w:rPr>
            <w:rStyle w:val="Hyperlink"/>
            <w:noProof/>
          </w:rPr>
          <w:t>Figure 4</w:t>
        </w:r>
        <w:r w:rsidR="004F4880" w:rsidRPr="004C6689">
          <w:rPr>
            <w:rStyle w:val="Hyperlink"/>
            <w:noProof/>
          </w:rPr>
          <w:noBreakHyphen/>
          <w:t>7. Comparison of RWPT with finite-difference. Peclet number is 45. Mobile oil.</w:t>
        </w:r>
        <w:r w:rsidR="004F4880">
          <w:rPr>
            <w:noProof/>
            <w:webHidden/>
          </w:rPr>
          <w:tab/>
        </w:r>
        <w:r w:rsidR="004F4880">
          <w:rPr>
            <w:noProof/>
            <w:webHidden/>
          </w:rPr>
          <w:fldChar w:fldCharType="begin"/>
        </w:r>
        <w:r w:rsidR="004F4880">
          <w:rPr>
            <w:noProof/>
            <w:webHidden/>
          </w:rPr>
          <w:instrText xml:space="preserve"> PAGEREF _Toc495144749 \h </w:instrText>
        </w:r>
        <w:r w:rsidR="004F4880">
          <w:rPr>
            <w:noProof/>
            <w:webHidden/>
          </w:rPr>
        </w:r>
        <w:r w:rsidR="004F4880">
          <w:rPr>
            <w:noProof/>
            <w:webHidden/>
          </w:rPr>
          <w:fldChar w:fldCharType="separate"/>
        </w:r>
        <w:r w:rsidR="00024183">
          <w:rPr>
            <w:noProof/>
            <w:webHidden/>
          </w:rPr>
          <w:t>75</w:t>
        </w:r>
        <w:r w:rsidR="004F4880">
          <w:rPr>
            <w:noProof/>
            <w:webHidden/>
          </w:rPr>
          <w:fldChar w:fldCharType="end"/>
        </w:r>
      </w:hyperlink>
    </w:p>
    <w:p w14:paraId="7AC47B7B" w14:textId="56B3F9FC" w:rsidR="004F4880" w:rsidRDefault="00A53410">
      <w:pPr>
        <w:pStyle w:val="TableofFigures"/>
        <w:rPr>
          <w:rFonts w:cstheme="minorBidi"/>
          <w:noProof/>
          <w:sz w:val="22"/>
          <w:szCs w:val="22"/>
          <w:lang w:eastAsia="zh-CN" w:bidi="ar-SA"/>
        </w:rPr>
      </w:pPr>
      <w:hyperlink w:anchor="_Toc495144750" w:history="1">
        <w:r w:rsidR="004F4880" w:rsidRPr="004C6689">
          <w:rPr>
            <w:rStyle w:val="Hyperlink"/>
            <w:noProof/>
          </w:rPr>
          <w:t>Figure 5</w:t>
        </w:r>
        <w:r w:rsidR="004F4880" w:rsidRPr="004C6689">
          <w:rPr>
            <w:rStyle w:val="Hyperlink"/>
            <w:noProof/>
          </w:rPr>
          <w:noBreakHyphen/>
          <w:t>1. Radioactive decay process from Uranium to Lead (modified from Allthingsradon (2009))</w:t>
        </w:r>
        <w:r w:rsidR="004F4880">
          <w:rPr>
            <w:noProof/>
            <w:webHidden/>
          </w:rPr>
          <w:tab/>
        </w:r>
        <w:r w:rsidR="004F4880">
          <w:rPr>
            <w:noProof/>
            <w:webHidden/>
          </w:rPr>
          <w:fldChar w:fldCharType="begin"/>
        </w:r>
        <w:r w:rsidR="004F4880">
          <w:rPr>
            <w:noProof/>
            <w:webHidden/>
          </w:rPr>
          <w:instrText xml:space="preserve"> PAGEREF _Toc495144750 \h </w:instrText>
        </w:r>
        <w:r w:rsidR="004F4880">
          <w:rPr>
            <w:noProof/>
            <w:webHidden/>
          </w:rPr>
        </w:r>
        <w:r w:rsidR="004F4880">
          <w:rPr>
            <w:noProof/>
            <w:webHidden/>
          </w:rPr>
          <w:fldChar w:fldCharType="separate"/>
        </w:r>
        <w:r w:rsidR="00024183">
          <w:rPr>
            <w:noProof/>
            <w:webHidden/>
          </w:rPr>
          <w:t>79</w:t>
        </w:r>
        <w:r w:rsidR="004F4880">
          <w:rPr>
            <w:noProof/>
            <w:webHidden/>
          </w:rPr>
          <w:fldChar w:fldCharType="end"/>
        </w:r>
      </w:hyperlink>
    </w:p>
    <w:p w14:paraId="5EC2095B" w14:textId="267C7E9D" w:rsidR="004F4880" w:rsidRDefault="00A53410">
      <w:pPr>
        <w:pStyle w:val="TableofFigures"/>
        <w:rPr>
          <w:rFonts w:cstheme="minorBidi"/>
          <w:noProof/>
          <w:sz w:val="22"/>
          <w:szCs w:val="22"/>
          <w:lang w:eastAsia="zh-CN" w:bidi="ar-SA"/>
        </w:rPr>
      </w:pPr>
      <w:hyperlink w:anchor="_Toc495144751" w:history="1">
        <w:r w:rsidR="004F4880" w:rsidRPr="004C6689">
          <w:rPr>
            <w:rStyle w:val="Hyperlink"/>
            <w:noProof/>
          </w:rPr>
          <w:t>Figure 5</w:t>
        </w:r>
        <w:r w:rsidR="004F4880" w:rsidRPr="004C6689">
          <w:rPr>
            <w:rStyle w:val="Hyperlink"/>
            <w:noProof/>
          </w:rPr>
          <w:noBreakHyphen/>
          <w:t>2. Gas is stored in spherical pores (the red color) and water is in slit pores (the blue color) (Passey et al. 2010).</w:t>
        </w:r>
        <w:r w:rsidR="004F4880">
          <w:rPr>
            <w:noProof/>
            <w:webHidden/>
          </w:rPr>
          <w:tab/>
        </w:r>
        <w:r w:rsidR="004F4880">
          <w:rPr>
            <w:noProof/>
            <w:webHidden/>
          </w:rPr>
          <w:fldChar w:fldCharType="begin"/>
        </w:r>
        <w:r w:rsidR="004F4880">
          <w:rPr>
            <w:noProof/>
            <w:webHidden/>
          </w:rPr>
          <w:instrText xml:space="preserve"> PAGEREF _Toc495144751 \h </w:instrText>
        </w:r>
        <w:r w:rsidR="004F4880">
          <w:rPr>
            <w:noProof/>
            <w:webHidden/>
          </w:rPr>
        </w:r>
        <w:r w:rsidR="004F4880">
          <w:rPr>
            <w:noProof/>
            <w:webHidden/>
          </w:rPr>
          <w:fldChar w:fldCharType="separate"/>
        </w:r>
        <w:r w:rsidR="00024183">
          <w:rPr>
            <w:noProof/>
            <w:webHidden/>
          </w:rPr>
          <w:t>82</w:t>
        </w:r>
        <w:r w:rsidR="004F4880">
          <w:rPr>
            <w:noProof/>
            <w:webHidden/>
          </w:rPr>
          <w:fldChar w:fldCharType="end"/>
        </w:r>
      </w:hyperlink>
    </w:p>
    <w:p w14:paraId="54EDC2A5" w14:textId="2EABDCB2" w:rsidR="004F4880" w:rsidRDefault="00A53410">
      <w:pPr>
        <w:pStyle w:val="TableofFigures"/>
        <w:rPr>
          <w:rFonts w:cstheme="minorBidi"/>
          <w:noProof/>
          <w:sz w:val="22"/>
          <w:szCs w:val="22"/>
          <w:lang w:eastAsia="zh-CN" w:bidi="ar-SA"/>
        </w:rPr>
      </w:pPr>
      <w:hyperlink w:anchor="_Toc495144752" w:history="1">
        <w:r w:rsidR="004F4880" w:rsidRPr="004C6689">
          <w:rPr>
            <w:rStyle w:val="Hyperlink"/>
            <w:noProof/>
          </w:rPr>
          <w:t>Figure 5</w:t>
        </w:r>
        <w:r w:rsidR="004F4880" w:rsidRPr="004C6689">
          <w:rPr>
            <w:rStyle w:val="Hyperlink"/>
            <w:noProof/>
          </w:rPr>
          <w:noBreakHyphen/>
          <w:t>3. Backscattered SEM images for Marcellus shale. (a) Shows organic and inorganic pores at 3 µm. The inorganic pores show slit shape and organic pores shows spherical shape. In (b), the image shows more slits and sheets of illite. Illite is the dominant matrix mineral and is more visible as sheets in (c) and (d), creating inorganic pores around the sample.</w:t>
        </w:r>
        <w:r w:rsidR="004F4880">
          <w:rPr>
            <w:noProof/>
            <w:webHidden/>
          </w:rPr>
          <w:tab/>
        </w:r>
        <w:r w:rsidR="004F4880">
          <w:rPr>
            <w:noProof/>
            <w:webHidden/>
          </w:rPr>
          <w:fldChar w:fldCharType="begin"/>
        </w:r>
        <w:r w:rsidR="004F4880">
          <w:rPr>
            <w:noProof/>
            <w:webHidden/>
          </w:rPr>
          <w:instrText xml:space="preserve"> PAGEREF _Toc495144752 \h </w:instrText>
        </w:r>
        <w:r w:rsidR="004F4880">
          <w:rPr>
            <w:noProof/>
            <w:webHidden/>
          </w:rPr>
        </w:r>
        <w:r w:rsidR="004F4880">
          <w:rPr>
            <w:noProof/>
            <w:webHidden/>
          </w:rPr>
          <w:fldChar w:fldCharType="separate"/>
        </w:r>
        <w:r w:rsidR="00024183">
          <w:rPr>
            <w:noProof/>
            <w:webHidden/>
          </w:rPr>
          <w:t>84</w:t>
        </w:r>
        <w:r w:rsidR="004F4880">
          <w:rPr>
            <w:noProof/>
            <w:webHidden/>
          </w:rPr>
          <w:fldChar w:fldCharType="end"/>
        </w:r>
      </w:hyperlink>
    </w:p>
    <w:p w14:paraId="405124EF" w14:textId="390809A7" w:rsidR="004F4880" w:rsidRDefault="00A53410">
      <w:pPr>
        <w:pStyle w:val="TableofFigures"/>
        <w:rPr>
          <w:rFonts w:cstheme="minorBidi"/>
          <w:noProof/>
          <w:sz w:val="22"/>
          <w:szCs w:val="22"/>
          <w:lang w:eastAsia="zh-CN" w:bidi="ar-SA"/>
        </w:rPr>
      </w:pPr>
      <w:hyperlink w:anchor="_Toc495144753" w:history="1">
        <w:r w:rsidR="004F4880" w:rsidRPr="004C6689">
          <w:rPr>
            <w:rStyle w:val="Hyperlink"/>
            <w:noProof/>
          </w:rPr>
          <w:t>Figure 5</w:t>
        </w:r>
        <w:r w:rsidR="004F4880" w:rsidRPr="004C6689">
          <w:rPr>
            <w:rStyle w:val="Hyperlink"/>
            <w:noProof/>
          </w:rPr>
          <w:noBreakHyphen/>
          <w:t>4. Pore size distribution for Marcellus shale. Case A and Case B are calculated through DFT using the adsorption measurements. Case C is obtained from literature (Chalmers et al. 2012).</w:t>
        </w:r>
        <w:r w:rsidR="004F4880">
          <w:rPr>
            <w:noProof/>
            <w:webHidden/>
          </w:rPr>
          <w:tab/>
        </w:r>
        <w:r w:rsidR="004F4880">
          <w:rPr>
            <w:noProof/>
            <w:webHidden/>
          </w:rPr>
          <w:fldChar w:fldCharType="begin"/>
        </w:r>
        <w:r w:rsidR="004F4880">
          <w:rPr>
            <w:noProof/>
            <w:webHidden/>
          </w:rPr>
          <w:instrText xml:space="preserve"> PAGEREF _Toc495144753 \h </w:instrText>
        </w:r>
        <w:r w:rsidR="004F4880">
          <w:rPr>
            <w:noProof/>
            <w:webHidden/>
          </w:rPr>
        </w:r>
        <w:r w:rsidR="004F4880">
          <w:rPr>
            <w:noProof/>
            <w:webHidden/>
          </w:rPr>
          <w:fldChar w:fldCharType="separate"/>
        </w:r>
        <w:r w:rsidR="00024183">
          <w:rPr>
            <w:noProof/>
            <w:webHidden/>
          </w:rPr>
          <w:t>86</w:t>
        </w:r>
        <w:r w:rsidR="004F4880">
          <w:rPr>
            <w:noProof/>
            <w:webHidden/>
          </w:rPr>
          <w:fldChar w:fldCharType="end"/>
        </w:r>
      </w:hyperlink>
    </w:p>
    <w:p w14:paraId="0402BB5F" w14:textId="46BC9147" w:rsidR="004F4880" w:rsidRDefault="00A53410">
      <w:pPr>
        <w:pStyle w:val="TableofFigures"/>
        <w:rPr>
          <w:rFonts w:cstheme="minorBidi"/>
          <w:noProof/>
          <w:sz w:val="22"/>
          <w:szCs w:val="22"/>
          <w:lang w:eastAsia="zh-CN" w:bidi="ar-SA"/>
        </w:rPr>
      </w:pPr>
      <w:hyperlink w:anchor="_Toc495144754" w:history="1">
        <w:r w:rsidR="004F4880" w:rsidRPr="004C6689">
          <w:rPr>
            <w:rStyle w:val="Hyperlink"/>
            <w:noProof/>
          </w:rPr>
          <w:t>Figure 5</w:t>
        </w:r>
        <w:r w:rsidR="004F4880" w:rsidRPr="004C6689">
          <w:rPr>
            <w:rStyle w:val="Hyperlink"/>
            <w:noProof/>
          </w:rPr>
          <w:noBreakHyphen/>
          <w:t>5. Radon escapes from pores into grains. The pore diameter is d and radon recoil length is R</w:t>
        </w:r>
        <w:r w:rsidR="004F4880" w:rsidRPr="004C6689">
          <w:rPr>
            <w:rStyle w:val="Hyperlink"/>
            <w:noProof/>
            <w:vertAlign w:val="subscript"/>
          </w:rPr>
          <w:t>f</w:t>
        </w:r>
        <w:r w:rsidR="004F4880" w:rsidRPr="004C6689">
          <w:rPr>
            <w:rStyle w:val="Hyperlink"/>
            <w:noProof/>
          </w:rPr>
          <w:t>. When radon particle is ejected into the section of ABC or EFD, it is regarded as being escaped into grains from pore space.</w:t>
        </w:r>
        <w:r w:rsidR="004F4880">
          <w:rPr>
            <w:noProof/>
            <w:webHidden/>
          </w:rPr>
          <w:tab/>
        </w:r>
        <w:r w:rsidR="004F4880">
          <w:rPr>
            <w:noProof/>
            <w:webHidden/>
          </w:rPr>
          <w:fldChar w:fldCharType="begin"/>
        </w:r>
        <w:r w:rsidR="004F4880">
          <w:rPr>
            <w:noProof/>
            <w:webHidden/>
          </w:rPr>
          <w:instrText xml:space="preserve"> PAGEREF _Toc495144754 \h </w:instrText>
        </w:r>
        <w:r w:rsidR="004F4880">
          <w:rPr>
            <w:noProof/>
            <w:webHidden/>
          </w:rPr>
        </w:r>
        <w:r w:rsidR="004F4880">
          <w:rPr>
            <w:noProof/>
            <w:webHidden/>
          </w:rPr>
          <w:fldChar w:fldCharType="separate"/>
        </w:r>
        <w:r w:rsidR="00024183">
          <w:rPr>
            <w:noProof/>
            <w:webHidden/>
          </w:rPr>
          <w:t>89</w:t>
        </w:r>
        <w:r w:rsidR="004F4880">
          <w:rPr>
            <w:noProof/>
            <w:webHidden/>
          </w:rPr>
          <w:fldChar w:fldCharType="end"/>
        </w:r>
      </w:hyperlink>
    </w:p>
    <w:p w14:paraId="77DAD71E" w14:textId="7E9B9BF5" w:rsidR="004F4880" w:rsidRDefault="00A53410">
      <w:pPr>
        <w:pStyle w:val="TableofFigures"/>
        <w:rPr>
          <w:rFonts w:cstheme="minorBidi"/>
          <w:noProof/>
          <w:sz w:val="22"/>
          <w:szCs w:val="22"/>
          <w:lang w:eastAsia="zh-CN" w:bidi="ar-SA"/>
        </w:rPr>
      </w:pPr>
      <w:hyperlink w:anchor="_Toc495144755" w:history="1">
        <w:r w:rsidR="004F4880" w:rsidRPr="004C6689">
          <w:rPr>
            <w:rStyle w:val="Hyperlink"/>
            <w:noProof/>
          </w:rPr>
          <w:t>Figure 5</w:t>
        </w:r>
        <w:r w:rsidR="004F4880" w:rsidRPr="004C6689">
          <w:rPr>
            <w:rStyle w:val="Hyperlink"/>
            <w:noProof/>
          </w:rPr>
          <w:noBreakHyphen/>
          <w:t>6. Schematic cross-section view of spherical pore shape. The radon generated from radium in grains may enter the pore space. O</w:t>
        </w:r>
        <w:r w:rsidR="004F4880" w:rsidRPr="004C6689">
          <w:rPr>
            <w:rStyle w:val="Hyperlink"/>
            <w:noProof/>
            <w:vertAlign w:val="subscript"/>
          </w:rPr>
          <w:t>2</w:t>
        </w:r>
        <w:r w:rsidR="004F4880" w:rsidRPr="004C6689">
          <w:rPr>
            <w:rStyle w:val="Hyperlink"/>
            <w:noProof/>
          </w:rPr>
          <w:t>A section has length of a. AB section has length of b. O</w:t>
        </w:r>
        <w:r w:rsidR="004F4880" w:rsidRPr="004C6689">
          <w:rPr>
            <w:rStyle w:val="Hyperlink"/>
            <w:noProof/>
            <w:vertAlign w:val="subscript"/>
          </w:rPr>
          <w:t>2</w:t>
        </w:r>
        <w:r w:rsidR="004F4880" w:rsidRPr="004C6689">
          <w:rPr>
            <w:rStyle w:val="Hyperlink"/>
            <w:noProof/>
          </w:rPr>
          <w:t>C section has length of x.</w:t>
        </w:r>
        <w:r w:rsidR="004F4880">
          <w:rPr>
            <w:noProof/>
            <w:webHidden/>
          </w:rPr>
          <w:tab/>
        </w:r>
        <w:r w:rsidR="004F4880">
          <w:rPr>
            <w:noProof/>
            <w:webHidden/>
          </w:rPr>
          <w:fldChar w:fldCharType="begin"/>
        </w:r>
        <w:r w:rsidR="004F4880">
          <w:rPr>
            <w:noProof/>
            <w:webHidden/>
          </w:rPr>
          <w:instrText xml:space="preserve"> PAGEREF _Toc495144755 \h </w:instrText>
        </w:r>
        <w:r w:rsidR="004F4880">
          <w:rPr>
            <w:noProof/>
            <w:webHidden/>
          </w:rPr>
        </w:r>
        <w:r w:rsidR="004F4880">
          <w:rPr>
            <w:noProof/>
            <w:webHidden/>
          </w:rPr>
          <w:fldChar w:fldCharType="separate"/>
        </w:r>
        <w:r w:rsidR="00024183">
          <w:rPr>
            <w:noProof/>
            <w:webHidden/>
          </w:rPr>
          <w:t>91</w:t>
        </w:r>
        <w:r w:rsidR="004F4880">
          <w:rPr>
            <w:noProof/>
            <w:webHidden/>
          </w:rPr>
          <w:fldChar w:fldCharType="end"/>
        </w:r>
      </w:hyperlink>
    </w:p>
    <w:p w14:paraId="217B8F2A" w14:textId="2E29592F" w:rsidR="004F4880" w:rsidRDefault="00A53410">
      <w:pPr>
        <w:pStyle w:val="TableofFigures"/>
        <w:rPr>
          <w:rFonts w:cstheme="minorBidi"/>
          <w:noProof/>
          <w:sz w:val="22"/>
          <w:szCs w:val="22"/>
          <w:lang w:eastAsia="zh-CN" w:bidi="ar-SA"/>
        </w:rPr>
      </w:pPr>
      <w:hyperlink w:anchor="_Toc495144756" w:history="1">
        <w:r w:rsidR="004F4880" w:rsidRPr="004C6689">
          <w:rPr>
            <w:rStyle w:val="Hyperlink"/>
            <w:noProof/>
          </w:rPr>
          <w:t>Figure 5</w:t>
        </w:r>
        <w:r w:rsidR="004F4880" w:rsidRPr="004C6689">
          <w:rPr>
            <w:rStyle w:val="Hyperlink"/>
            <w:noProof/>
          </w:rPr>
          <w:noBreakHyphen/>
          <w:t>7. Schematic cross-section view. Radon generated from radium in pore space may remain in pore space.</w:t>
        </w:r>
        <w:r w:rsidR="004F4880">
          <w:rPr>
            <w:noProof/>
            <w:webHidden/>
          </w:rPr>
          <w:tab/>
        </w:r>
        <w:r w:rsidR="004F4880">
          <w:rPr>
            <w:noProof/>
            <w:webHidden/>
          </w:rPr>
          <w:fldChar w:fldCharType="begin"/>
        </w:r>
        <w:r w:rsidR="004F4880">
          <w:rPr>
            <w:noProof/>
            <w:webHidden/>
          </w:rPr>
          <w:instrText xml:space="preserve"> PAGEREF _Toc495144756 \h </w:instrText>
        </w:r>
        <w:r w:rsidR="004F4880">
          <w:rPr>
            <w:noProof/>
            <w:webHidden/>
          </w:rPr>
        </w:r>
        <w:r w:rsidR="004F4880">
          <w:rPr>
            <w:noProof/>
            <w:webHidden/>
          </w:rPr>
          <w:fldChar w:fldCharType="separate"/>
        </w:r>
        <w:r w:rsidR="00024183">
          <w:rPr>
            <w:noProof/>
            <w:webHidden/>
          </w:rPr>
          <w:t>92</w:t>
        </w:r>
        <w:r w:rsidR="004F4880">
          <w:rPr>
            <w:noProof/>
            <w:webHidden/>
          </w:rPr>
          <w:fldChar w:fldCharType="end"/>
        </w:r>
      </w:hyperlink>
    </w:p>
    <w:p w14:paraId="1C2FFC13" w14:textId="6436350F" w:rsidR="004F4880" w:rsidRDefault="00A53410">
      <w:pPr>
        <w:pStyle w:val="TableofFigures"/>
        <w:rPr>
          <w:rFonts w:cstheme="minorBidi"/>
          <w:noProof/>
          <w:sz w:val="22"/>
          <w:szCs w:val="22"/>
          <w:lang w:eastAsia="zh-CN" w:bidi="ar-SA"/>
        </w:rPr>
      </w:pPr>
      <w:hyperlink w:anchor="_Toc495144757" w:history="1">
        <w:r w:rsidR="004F4880" w:rsidRPr="004C6689">
          <w:rPr>
            <w:rStyle w:val="Hyperlink"/>
            <w:noProof/>
          </w:rPr>
          <w:t>Figure 5</w:t>
        </w:r>
        <w:r w:rsidR="004F4880" w:rsidRPr="004C6689">
          <w:rPr>
            <w:rStyle w:val="Hyperlink"/>
            <w:noProof/>
          </w:rPr>
          <w:noBreakHyphen/>
          <w:t>8. Radon transport process from porous media to residential users. Green dots represent radon particles.</w:t>
        </w:r>
        <w:r w:rsidR="004F4880">
          <w:rPr>
            <w:noProof/>
            <w:webHidden/>
          </w:rPr>
          <w:tab/>
        </w:r>
        <w:r w:rsidR="004F4880">
          <w:rPr>
            <w:noProof/>
            <w:webHidden/>
          </w:rPr>
          <w:fldChar w:fldCharType="begin"/>
        </w:r>
        <w:r w:rsidR="004F4880">
          <w:rPr>
            <w:noProof/>
            <w:webHidden/>
          </w:rPr>
          <w:instrText xml:space="preserve"> PAGEREF _Toc495144757 \h </w:instrText>
        </w:r>
        <w:r w:rsidR="004F4880">
          <w:rPr>
            <w:noProof/>
            <w:webHidden/>
          </w:rPr>
        </w:r>
        <w:r w:rsidR="004F4880">
          <w:rPr>
            <w:noProof/>
            <w:webHidden/>
          </w:rPr>
          <w:fldChar w:fldCharType="separate"/>
        </w:r>
        <w:r w:rsidR="00024183">
          <w:rPr>
            <w:noProof/>
            <w:webHidden/>
          </w:rPr>
          <w:t>94</w:t>
        </w:r>
        <w:r w:rsidR="004F4880">
          <w:rPr>
            <w:noProof/>
            <w:webHidden/>
          </w:rPr>
          <w:fldChar w:fldCharType="end"/>
        </w:r>
      </w:hyperlink>
    </w:p>
    <w:p w14:paraId="77E6391E" w14:textId="177D6DB4" w:rsidR="004F4880" w:rsidRDefault="00A53410">
      <w:pPr>
        <w:pStyle w:val="TableofFigures"/>
        <w:rPr>
          <w:rFonts w:cstheme="minorBidi"/>
          <w:noProof/>
          <w:sz w:val="22"/>
          <w:szCs w:val="22"/>
          <w:lang w:eastAsia="zh-CN" w:bidi="ar-SA"/>
        </w:rPr>
      </w:pPr>
      <w:hyperlink w:anchor="_Toc495144758" w:history="1">
        <w:r w:rsidR="004F4880" w:rsidRPr="004C6689">
          <w:rPr>
            <w:rStyle w:val="Hyperlink"/>
            <w:noProof/>
          </w:rPr>
          <w:t>Figure 5</w:t>
        </w:r>
        <w:r w:rsidR="004F4880" w:rsidRPr="004C6689">
          <w:rPr>
            <w:rStyle w:val="Hyperlink"/>
            <w:noProof/>
          </w:rPr>
          <w:noBreakHyphen/>
          <w:t>9. Model configuration. (a) is for the base case. (b) is the case with manually created natural fractures. The black color represents hydraulic fracture and natural fractures. The gray color represents the wellbore.</w:t>
        </w:r>
        <w:r w:rsidR="004F4880">
          <w:rPr>
            <w:noProof/>
            <w:webHidden/>
          </w:rPr>
          <w:tab/>
        </w:r>
        <w:r w:rsidR="004F4880">
          <w:rPr>
            <w:noProof/>
            <w:webHidden/>
          </w:rPr>
          <w:fldChar w:fldCharType="begin"/>
        </w:r>
        <w:r w:rsidR="004F4880">
          <w:rPr>
            <w:noProof/>
            <w:webHidden/>
          </w:rPr>
          <w:instrText xml:space="preserve"> PAGEREF _Toc495144758 \h </w:instrText>
        </w:r>
        <w:r w:rsidR="004F4880">
          <w:rPr>
            <w:noProof/>
            <w:webHidden/>
          </w:rPr>
        </w:r>
        <w:r w:rsidR="004F4880">
          <w:rPr>
            <w:noProof/>
            <w:webHidden/>
          </w:rPr>
          <w:fldChar w:fldCharType="separate"/>
        </w:r>
        <w:r w:rsidR="00024183">
          <w:rPr>
            <w:noProof/>
            <w:webHidden/>
          </w:rPr>
          <w:t>96</w:t>
        </w:r>
        <w:r w:rsidR="004F4880">
          <w:rPr>
            <w:noProof/>
            <w:webHidden/>
          </w:rPr>
          <w:fldChar w:fldCharType="end"/>
        </w:r>
      </w:hyperlink>
    </w:p>
    <w:p w14:paraId="562A3A65" w14:textId="75F3989E" w:rsidR="004F4880" w:rsidRDefault="00A53410">
      <w:pPr>
        <w:pStyle w:val="TableofFigures"/>
        <w:rPr>
          <w:rFonts w:cstheme="minorBidi"/>
          <w:noProof/>
          <w:sz w:val="22"/>
          <w:szCs w:val="22"/>
          <w:lang w:eastAsia="zh-CN" w:bidi="ar-SA"/>
        </w:rPr>
      </w:pPr>
      <w:hyperlink w:anchor="_Toc495144759" w:history="1">
        <w:r w:rsidR="004F4880" w:rsidRPr="004C6689">
          <w:rPr>
            <w:rStyle w:val="Hyperlink"/>
            <w:noProof/>
          </w:rPr>
          <w:t>Figure 5</w:t>
        </w:r>
        <w:r w:rsidR="004F4880" w:rsidRPr="004C6689">
          <w:rPr>
            <w:rStyle w:val="Hyperlink"/>
            <w:noProof/>
          </w:rPr>
          <w:noBreakHyphen/>
          <w:t>10. Radon total in-situ concentration for the three cases.</w:t>
        </w:r>
        <w:r w:rsidR="004F4880">
          <w:rPr>
            <w:noProof/>
            <w:webHidden/>
          </w:rPr>
          <w:tab/>
        </w:r>
        <w:r w:rsidR="004F4880">
          <w:rPr>
            <w:noProof/>
            <w:webHidden/>
          </w:rPr>
          <w:fldChar w:fldCharType="begin"/>
        </w:r>
        <w:r w:rsidR="004F4880">
          <w:rPr>
            <w:noProof/>
            <w:webHidden/>
          </w:rPr>
          <w:instrText xml:space="preserve"> PAGEREF _Toc495144759 \h </w:instrText>
        </w:r>
        <w:r w:rsidR="004F4880">
          <w:rPr>
            <w:noProof/>
            <w:webHidden/>
          </w:rPr>
        </w:r>
        <w:r w:rsidR="004F4880">
          <w:rPr>
            <w:noProof/>
            <w:webHidden/>
          </w:rPr>
          <w:fldChar w:fldCharType="separate"/>
        </w:r>
        <w:r w:rsidR="00024183">
          <w:rPr>
            <w:noProof/>
            <w:webHidden/>
          </w:rPr>
          <w:t>99</w:t>
        </w:r>
        <w:r w:rsidR="004F4880">
          <w:rPr>
            <w:noProof/>
            <w:webHidden/>
          </w:rPr>
          <w:fldChar w:fldCharType="end"/>
        </w:r>
      </w:hyperlink>
    </w:p>
    <w:p w14:paraId="2D0F1055" w14:textId="674613ED" w:rsidR="004F4880" w:rsidRDefault="00A53410">
      <w:pPr>
        <w:pStyle w:val="TableofFigures"/>
        <w:rPr>
          <w:rFonts w:cstheme="minorBidi"/>
          <w:noProof/>
          <w:sz w:val="22"/>
          <w:szCs w:val="22"/>
          <w:lang w:eastAsia="zh-CN" w:bidi="ar-SA"/>
        </w:rPr>
      </w:pPr>
      <w:hyperlink w:anchor="_Toc495144760" w:history="1">
        <w:r w:rsidR="004F4880" w:rsidRPr="004C6689">
          <w:rPr>
            <w:rStyle w:val="Hyperlink"/>
            <w:noProof/>
          </w:rPr>
          <w:t>Figure 5</w:t>
        </w:r>
        <w:r w:rsidR="004F4880" w:rsidRPr="004C6689">
          <w:rPr>
            <w:rStyle w:val="Hyperlink"/>
            <w:noProof/>
          </w:rPr>
          <w:noBreakHyphen/>
          <w:t>11. Wellhead radon concentration with multiple initial radon in-situ concentrations. Wellhead radon concentration is directly related with the in-situ concentration</w:t>
        </w:r>
        <w:r w:rsidR="004F4880">
          <w:rPr>
            <w:noProof/>
            <w:webHidden/>
          </w:rPr>
          <w:tab/>
        </w:r>
        <w:r w:rsidR="004F4880">
          <w:rPr>
            <w:noProof/>
            <w:webHidden/>
          </w:rPr>
          <w:fldChar w:fldCharType="begin"/>
        </w:r>
        <w:r w:rsidR="004F4880">
          <w:rPr>
            <w:noProof/>
            <w:webHidden/>
          </w:rPr>
          <w:instrText xml:space="preserve"> PAGEREF _Toc495144760 \h </w:instrText>
        </w:r>
        <w:r w:rsidR="004F4880">
          <w:rPr>
            <w:noProof/>
            <w:webHidden/>
          </w:rPr>
        </w:r>
        <w:r w:rsidR="004F4880">
          <w:rPr>
            <w:noProof/>
            <w:webHidden/>
          </w:rPr>
          <w:fldChar w:fldCharType="separate"/>
        </w:r>
        <w:r w:rsidR="00024183">
          <w:rPr>
            <w:noProof/>
            <w:webHidden/>
          </w:rPr>
          <w:t>101</w:t>
        </w:r>
        <w:r w:rsidR="004F4880">
          <w:rPr>
            <w:noProof/>
            <w:webHidden/>
          </w:rPr>
          <w:fldChar w:fldCharType="end"/>
        </w:r>
      </w:hyperlink>
    </w:p>
    <w:p w14:paraId="35F245FA" w14:textId="23FD53F9" w:rsidR="004F4880" w:rsidRDefault="00A53410">
      <w:pPr>
        <w:pStyle w:val="TableofFigures"/>
        <w:rPr>
          <w:rFonts w:cstheme="minorBidi"/>
          <w:noProof/>
          <w:sz w:val="22"/>
          <w:szCs w:val="22"/>
          <w:lang w:eastAsia="zh-CN" w:bidi="ar-SA"/>
        </w:rPr>
      </w:pPr>
      <w:hyperlink w:anchor="_Toc495144761" w:history="1">
        <w:r w:rsidR="004F4880" w:rsidRPr="004C6689">
          <w:rPr>
            <w:rStyle w:val="Hyperlink"/>
            <w:noProof/>
          </w:rPr>
          <w:t>Figure 5</w:t>
        </w:r>
        <w:r w:rsidR="004F4880" w:rsidRPr="004C6689">
          <w:rPr>
            <w:rStyle w:val="Hyperlink"/>
            <w:noProof/>
          </w:rPr>
          <w:noBreakHyphen/>
          <w:t>12. Synthetic model configuration. The horizontal well is located at the top. It is perforated at hydraulic fracture at the left side. The stimulate reservoir is devided into two sections: near fracture zone and far formation zone.</w:t>
        </w:r>
        <w:r w:rsidR="004F4880">
          <w:rPr>
            <w:noProof/>
            <w:webHidden/>
          </w:rPr>
          <w:tab/>
        </w:r>
        <w:r w:rsidR="004F4880">
          <w:rPr>
            <w:noProof/>
            <w:webHidden/>
          </w:rPr>
          <w:fldChar w:fldCharType="begin"/>
        </w:r>
        <w:r w:rsidR="004F4880">
          <w:rPr>
            <w:noProof/>
            <w:webHidden/>
          </w:rPr>
          <w:instrText xml:space="preserve"> PAGEREF _Toc495144761 \h </w:instrText>
        </w:r>
        <w:r w:rsidR="004F4880">
          <w:rPr>
            <w:noProof/>
            <w:webHidden/>
          </w:rPr>
        </w:r>
        <w:r w:rsidR="004F4880">
          <w:rPr>
            <w:noProof/>
            <w:webHidden/>
          </w:rPr>
          <w:fldChar w:fldCharType="separate"/>
        </w:r>
        <w:r w:rsidR="00024183">
          <w:rPr>
            <w:noProof/>
            <w:webHidden/>
          </w:rPr>
          <w:t>102</w:t>
        </w:r>
        <w:r w:rsidR="004F4880">
          <w:rPr>
            <w:noProof/>
            <w:webHidden/>
          </w:rPr>
          <w:fldChar w:fldCharType="end"/>
        </w:r>
      </w:hyperlink>
    </w:p>
    <w:p w14:paraId="2A734B08" w14:textId="3C42E9C7" w:rsidR="004F4880" w:rsidRDefault="00A53410">
      <w:pPr>
        <w:pStyle w:val="TableofFigures"/>
        <w:rPr>
          <w:rFonts w:cstheme="minorBidi"/>
          <w:noProof/>
          <w:sz w:val="22"/>
          <w:szCs w:val="22"/>
          <w:lang w:eastAsia="zh-CN" w:bidi="ar-SA"/>
        </w:rPr>
      </w:pPr>
      <w:hyperlink w:anchor="_Toc495144762" w:history="1">
        <w:r w:rsidR="004F4880" w:rsidRPr="004C6689">
          <w:rPr>
            <w:rStyle w:val="Hyperlink"/>
            <w:noProof/>
          </w:rPr>
          <w:t>Figure 5</w:t>
        </w:r>
        <w:r w:rsidR="004F4880" w:rsidRPr="004C6689">
          <w:rPr>
            <w:rStyle w:val="Hyperlink"/>
            <w:noProof/>
          </w:rPr>
          <w:noBreakHyphen/>
          <w:t>13. Wellhead radon concentration to investigate heterogeneity impact. Near fracture zone determines the early radon production.</w:t>
        </w:r>
        <w:r w:rsidR="004F4880">
          <w:rPr>
            <w:noProof/>
            <w:webHidden/>
          </w:rPr>
          <w:tab/>
        </w:r>
        <w:r w:rsidR="004F4880">
          <w:rPr>
            <w:noProof/>
            <w:webHidden/>
          </w:rPr>
          <w:fldChar w:fldCharType="begin"/>
        </w:r>
        <w:r w:rsidR="004F4880">
          <w:rPr>
            <w:noProof/>
            <w:webHidden/>
          </w:rPr>
          <w:instrText xml:space="preserve"> PAGEREF _Toc495144762 \h </w:instrText>
        </w:r>
        <w:r w:rsidR="004F4880">
          <w:rPr>
            <w:noProof/>
            <w:webHidden/>
          </w:rPr>
        </w:r>
        <w:r w:rsidR="004F4880">
          <w:rPr>
            <w:noProof/>
            <w:webHidden/>
          </w:rPr>
          <w:fldChar w:fldCharType="separate"/>
        </w:r>
        <w:r w:rsidR="00024183">
          <w:rPr>
            <w:noProof/>
            <w:webHidden/>
          </w:rPr>
          <w:t>104</w:t>
        </w:r>
        <w:r w:rsidR="004F4880">
          <w:rPr>
            <w:noProof/>
            <w:webHidden/>
          </w:rPr>
          <w:fldChar w:fldCharType="end"/>
        </w:r>
      </w:hyperlink>
    </w:p>
    <w:p w14:paraId="24124920" w14:textId="44ED22D9" w:rsidR="004F4880" w:rsidRDefault="00A53410">
      <w:pPr>
        <w:pStyle w:val="TableofFigures"/>
        <w:rPr>
          <w:rFonts w:cstheme="minorBidi"/>
          <w:noProof/>
          <w:sz w:val="22"/>
          <w:szCs w:val="22"/>
          <w:lang w:eastAsia="zh-CN" w:bidi="ar-SA"/>
        </w:rPr>
      </w:pPr>
      <w:hyperlink w:anchor="_Toc495144763" w:history="1">
        <w:r w:rsidR="004F4880" w:rsidRPr="004C6689">
          <w:rPr>
            <w:rStyle w:val="Hyperlink"/>
            <w:noProof/>
          </w:rPr>
          <w:t>Figure 5</w:t>
        </w:r>
        <w:r w:rsidR="004F4880" w:rsidRPr="004C6689">
          <w:rPr>
            <w:rStyle w:val="Hyperlink"/>
            <w:noProof/>
          </w:rPr>
          <w:noBreakHyphen/>
          <w:t>14. Radon wellhead concentration from simulation output</w:t>
        </w:r>
        <w:r w:rsidR="004F4880">
          <w:rPr>
            <w:noProof/>
            <w:webHidden/>
          </w:rPr>
          <w:tab/>
        </w:r>
        <w:r w:rsidR="004F4880">
          <w:rPr>
            <w:noProof/>
            <w:webHidden/>
          </w:rPr>
          <w:fldChar w:fldCharType="begin"/>
        </w:r>
        <w:r w:rsidR="004F4880">
          <w:rPr>
            <w:noProof/>
            <w:webHidden/>
          </w:rPr>
          <w:instrText xml:space="preserve"> PAGEREF _Toc495144763 \h </w:instrText>
        </w:r>
        <w:r w:rsidR="004F4880">
          <w:rPr>
            <w:noProof/>
            <w:webHidden/>
          </w:rPr>
        </w:r>
        <w:r w:rsidR="004F4880">
          <w:rPr>
            <w:noProof/>
            <w:webHidden/>
          </w:rPr>
          <w:fldChar w:fldCharType="separate"/>
        </w:r>
        <w:r w:rsidR="00024183">
          <w:rPr>
            <w:noProof/>
            <w:webHidden/>
          </w:rPr>
          <w:t>105</w:t>
        </w:r>
        <w:r w:rsidR="004F4880">
          <w:rPr>
            <w:noProof/>
            <w:webHidden/>
          </w:rPr>
          <w:fldChar w:fldCharType="end"/>
        </w:r>
      </w:hyperlink>
    </w:p>
    <w:p w14:paraId="6C8C1495" w14:textId="2B967B27" w:rsidR="004F4880" w:rsidRDefault="00A53410">
      <w:pPr>
        <w:pStyle w:val="TableofFigures"/>
        <w:rPr>
          <w:rFonts w:cstheme="minorBidi"/>
          <w:noProof/>
          <w:sz w:val="22"/>
          <w:szCs w:val="22"/>
          <w:lang w:eastAsia="zh-CN" w:bidi="ar-SA"/>
        </w:rPr>
      </w:pPr>
      <w:hyperlink w:anchor="_Toc495144764" w:history="1">
        <w:r w:rsidR="004F4880" w:rsidRPr="004C6689">
          <w:rPr>
            <w:rStyle w:val="Hyperlink"/>
            <w:noProof/>
          </w:rPr>
          <w:t>Figure 5</w:t>
        </w:r>
        <w:r w:rsidR="004F4880" w:rsidRPr="004C6689">
          <w:rPr>
            <w:rStyle w:val="Hyperlink"/>
            <w:noProof/>
          </w:rPr>
          <w:noBreakHyphen/>
          <w:t>15. Relative permeability curves. Modified from Cheng (2012).</w:t>
        </w:r>
        <w:r w:rsidR="004F4880">
          <w:rPr>
            <w:noProof/>
            <w:webHidden/>
          </w:rPr>
          <w:tab/>
        </w:r>
        <w:r w:rsidR="004F4880">
          <w:rPr>
            <w:noProof/>
            <w:webHidden/>
          </w:rPr>
          <w:fldChar w:fldCharType="begin"/>
        </w:r>
        <w:r w:rsidR="004F4880">
          <w:rPr>
            <w:noProof/>
            <w:webHidden/>
          </w:rPr>
          <w:instrText xml:space="preserve"> PAGEREF _Toc495144764 \h </w:instrText>
        </w:r>
        <w:r w:rsidR="004F4880">
          <w:rPr>
            <w:noProof/>
            <w:webHidden/>
          </w:rPr>
        </w:r>
        <w:r w:rsidR="004F4880">
          <w:rPr>
            <w:noProof/>
            <w:webHidden/>
          </w:rPr>
          <w:fldChar w:fldCharType="separate"/>
        </w:r>
        <w:r w:rsidR="00024183">
          <w:rPr>
            <w:noProof/>
            <w:webHidden/>
          </w:rPr>
          <w:t>107</w:t>
        </w:r>
        <w:r w:rsidR="004F4880">
          <w:rPr>
            <w:noProof/>
            <w:webHidden/>
          </w:rPr>
          <w:fldChar w:fldCharType="end"/>
        </w:r>
      </w:hyperlink>
    </w:p>
    <w:p w14:paraId="54FE8EAA" w14:textId="353D9C90" w:rsidR="004F4880" w:rsidRDefault="00A53410">
      <w:pPr>
        <w:pStyle w:val="TableofFigures"/>
        <w:rPr>
          <w:rFonts w:cstheme="minorBidi"/>
          <w:noProof/>
          <w:sz w:val="22"/>
          <w:szCs w:val="22"/>
          <w:lang w:eastAsia="zh-CN" w:bidi="ar-SA"/>
        </w:rPr>
      </w:pPr>
      <w:hyperlink w:anchor="_Toc495144765" w:history="1">
        <w:r w:rsidR="004F4880" w:rsidRPr="004C6689">
          <w:rPr>
            <w:rStyle w:val="Hyperlink"/>
            <w:noProof/>
          </w:rPr>
          <w:t>Figure 5</w:t>
        </w:r>
        <w:r w:rsidR="004F4880" w:rsidRPr="004C6689">
          <w:rPr>
            <w:rStyle w:val="Hyperlink"/>
            <w:noProof/>
          </w:rPr>
          <w:noBreakHyphen/>
          <w:t>16. Sensitive tornado charts after 5 days of production. Black color represents the high value and gray color stands for the low value.</w:t>
        </w:r>
        <w:r w:rsidR="004F4880">
          <w:rPr>
            <w:noProof/>
            <w:webHidden/>
          </w:rPr>
          <w:tab/>
        </w:r>
        <w:r w:rsidR="004F4880">
          <w:rPr>
            <w:noProof/>
            <w:webHidden/>
          </w:rPr>
          <w:fldChar w:fldCharType="begin"/>
        </w:r>
        <w:r w:rsidR="004F4880">
          <w:rPr>
            <w:noProof/>
            <w:webHidden/>
          </w:rPr>
          <w:instrText xml:space="preserve"> PAGEREF _Toc495144765 \h </w:instrText>
        </w:r>
        <w:r w:rsidR="004F4880">
          <w:rPr>
            <w:noProof/>
            <w:webHidden/>
          </w:rPr>
        </w:r>
        <w:r w:rsidR="004F4880">
          <w:rPr>
            <w:noProof/>
            <w:webHidden/>
          </w:rPr>
          <w:fldChar w:fldCharType="separate"/>
        </w:r>
        <w:r w:rsidR="00024183">
          <w:rPr>
            <w:noProof/>
            <w:webHidden/>
          </w:rPr>
          <w:t>108</w:t>
        </w:r>
        <w:r w:rsidR="004F4880">
          <w:rPr>
            <w:noProof/>
            <w:webHidden/>
          </w:rPr>
          <w:fldChar w:fldCharType="end"/>
        </w:r>
      </w:hyperlink>
    </w:p>
    <w:p w14:paraId="44B3F762" w14:textId="71516B0E" w:rsidR="004F4880" w:rsidRDefault="00A53410">
      <w:pPr>
        <w:pStyle w:val="TableofFigures"/>
        <w:rPr>
          <w:rFonts w:cstheme="minorBidi"/>
          <w:noProof/>
          <w:sz w:val="22"/>
          <w:szCs w:val="22"/>
          <w:lang w:eastAsia="zh-CN" w:bidi="ar-SA"/>
        </w:rPr>
      </w:pPr>
      <w:hyperlink w:anchor="_Toc495144766" w:history="1">
        <w:r w:rsidR="004F4880" w:rsidRPr="004C6689">
          <w:rPr>
            <w:rStyle w:val="Hyperlink"/>
            <w:noProof/>
          </w:rPr>
          <w:t>Figure 5</w:t>
        </w:r>
        <w:r w:rsidR="004F4880" w:rsidRPr="004C6689">
          <w:rPr>
            <w:rStyle w:val="Hyperlink"/>
            <w:noProof/>
          </w:rPr>
          <w:noBreakHyphen/>
          <w:t>17. Sensitive tornado charts after 7.5 years of production. Black color represents the high value and gray color stands for the low value.</w:t>
        </w:r>
        <w:r w:rsidR="004F4880">
          <w:rPr>
            <w:noProof/>
            <w:webHidden/>
          </w:rPr>
          <w:tab/>
        </w:r>
        <w:r w:rsidR="004F4880">
          <w:rPr>
            <w:noProof/>
            <w:webHidden/>
          </w:rPr>
          <w:fldChar w:fldCharType="begin"/>
        </w:r>
        <w:r w:rsidR="004F4880">
          <w:rPr>
            <w:noProof/>
            <w:webHidden/>
          </w:rPr>
          <w:instrText xml:space="preserve"> PAGEREF _Toc495144766 \h </w:instrText>
        </w:r>
        <w:r w:rsidR="004F4880">
          <w:rPr>
            <w:noProof/>
            <w:webHidden/>
          </w:rPr>
        </w:r>
        <w:r w:rsidR="004F4880">
          <w:rPr>
            <w:noProof/>
            <w:webHidden/>
          </w:rPr>
          <w:fldChar w:fldCharType="separate"/>
        </w:r>
        <w:r w:rsidR="00024183">
          <w:rPr>
            <w:noProof/>
            <w:webHidden/>
          </w:rPr>
          <w:t>108</w:t>
        </w:r>
        <w:r w:rsidR="004F4880">
          <w:rPr>
            <w:noProof/>
            <w:webHidden/>
          </w:rPr>
          <w:fldChar w:fldCharType="end"/>
        </w:r>
      </w:hyperlink>
    </w:p>
    <w:p w14:paraId="47264C75" w14:textId="6C36B8B0" w:rsidR="004F4880" w:rsidRDefault="00A53410">
      <w:pPr>
        <w:pStyle w:val="TableofFigures"/>
        <w:rPr>
          <w:rFonts w:cstheme="minorBidi"/>
          <w:noProof/>
          <w:sz w:val="22"/>
          <w:szCs w:val="22"/>
          <w:lang w:eastAsia="zh-CN" w:bidi="ar-SA"/>
        </w:rPr>
      </w:pPr>
      <w:hyperlink w:anchor="_Toc495144767" w:history="1">
        <w:r w:rsidR="004F4880" w:rsidRPr="004C6689">
          <w:rPr>
            <w:rStyle w:val="Hyperlink"/>
            <w:noProof/>
          </w:rPr>
          <w:t>Figure 5</w:t>
        </w:r>
        <w:r w:rsidR="004F4880" w:rsidRPr="004C6689">
          <w:rPr>
            <w:rStyle w:val="Hyperlink"/>
            <w:noProof/>
          </w:rPr>
          <w:noBreakHyphen/>
          <w:t>18. Diffusion impact on radon wellhead concentration</w:t>
        </w:r>
        <w:r w:rsidR="004F4880">
          <w:rPr>
            <w:noProof/>
            <w:webHidden/>
          </w:rPr>
          <w:tab/>
        </w:r>
        <w:r w:rsidR="004F4880">
          <w:rPr>
            <w:noProof/>
            <w:webHidden/>
          </w:rPr>
          <w:fldChar w:fldCharType="begin"/>
        </w:r>
        <w:r w:rsidR="004F4880">
          <w:rPr>
            <w:noProof/>
            <w:webHidden/>
          </w:rPr>
          <w:instrText xml:space="preserve"> PAGEREF _Toc495144767 \h </w:instrText>
        </w:r>
        <w:r w:rsidR="004F4880">
          <w:rPr>
            <w:noProof/>
            <w:webHidden/>
          </w:rPr>
        </w:r>
        <w:r w:rsidR="004F4880">
          <w:rPr>
            <w:noProof/>
            <w:webHidden/>
          </w:rPr>
          <w:fldChar w:fldCharType="separate"/>
        </w:r>
        <w:r w:rsidR="00024183">
          <w:rPr>
            <w:noProof/>
            <w:webHidden/>
          </w:rPr>
          <w:t>111</w:t>
        </w:r>
        <w:r w:rsidR="004F4880">
          <w:rPr>
            <w:noProof/>
            <w:webHidden/>
          </w:rPr>
          <w:fldChar w:fldCharType="end"/>
        </w:r>
      </w:hyperlink>
    </w:p>
    <w:p w14:paraId="235006E3" w14:textId="0FE9CF33" w:rsidR="004F4880" w:rsidRDefault="00A53410">
      <w:pPr>
        <w:pStyle w:val="TableofFigures"/>
        <w:rPr>
          <w:rFonts w:cstheme="minorBidi"/>
          <w:noProof/>
          <w:sz w:val="22"/>
          <w:szCs w:val="22"/>
          <w:lang w:eastAsia="zh-CN" w:bidi="ar-SA"/>
        </w:rPr>
      </w:pPr>
      <w:hyperlink w:anchor="_Toc495144768" w:history="1">
        <w:r w:rsidR="004F4880" w:rsidRPr="004C6689">
          <w:rPr>
            <w:rStyle w:val="Hyperlink"/>
            <w:noProof/>
          </w:rPr>
          <w:t>Figure 5</w:t>
        </w:r>
        <w:r w:rsidR="004F4880" w:rsidRPr="004C6689">
          <w:rPr>
            <w:rStyle w:val="Hyperlink"/>
            <w:noProof/>
          </w:rPr>
          <w:noBreakHyphen/>
          <w:t>19. Gas production rate of two cases</w:t>
        </w:r>
        <w:r w:rsidR="004F4880">
          <w:rPr>
            <w:noProof/>
            <w:webHidden/>
          </w:rPr>
          <w:tab/>
        </w:r>
        <w:r w:rsidR="004F4880">
          <w:rPr>
            <w:noProof/>
            <w:webHidden/>
          </w:rPr>
          <w:fldChar w:fldCharType="begin"/>
        </w:r>
        <w:r w:rsidR="004F4880">
          <w:rPr>
            <w:noProof/>
            <w:webHidden/>
          </w:rPr>
          <w:instrText xml:space="preserve"> PAGEREF _Toc495144768 \h </w:instrText>
        </w:r>
        <w:r w:rsidR="004F4880">
          <w:rPr>
            <w:noProof/>
            <w:webHidden/>
          </w:rPr>
        </w:r>
        <w:r w:rsidR="004F4880">
          <w:rPr>
            <w:noProof/>
            <w:webHidden/>
          </w:rPr>
          <w:fldChar w:fldCharType="separate"/>
        </w:r>
        <w:r w:rsidR="00024183">
          <w:rPr>
            <w:noProof/>
            <w:webHidden/>
          </w:rPr>
          <w:t>112</w:t>
        </w:r>
        <w:r w:rsidR="004F4880">
          <w:rPr>
            <w:noProof/>
            <w:webHidden/>
          </w:rPr>
          <w:fldChar w:fldCharType="end"/>
        </w:r>
      </w:hyperlink>
    </w:p>
    <w:p w14:paraId="640119D4" w14:textId="0BED7691" w:rsidR="00BE3C55" w:rsidRDefault="006537EE" w:rsidP="00BE3C55">
      <w:pPr>
        <w:rPr>
          <w:rStyle w:val="Hyperlink"/>
          <w:rFonts w:asciiTheme="majorHAnsi" w:hAnsiTheme="majorHAnsi"/>
          <w:b/>
          <w:bCs/>
          <w:noProof/>
          <w:sz w:val="28"/>
          <w:szCs w:val="32"/>
        </w:rPr>
      </w:pPr>
      <w:r>
        <w:rPr>
          <w:rStyle w:val="Hyperlink"/>
          <w:noProof/>
        </w:rPr>
        <w:fldChar w:fldCharType="end"/>
      </w:r>
      <w:r w:rsidR="00BE3C55">
        <w:rPr>
          <w:rStyle w:val="Hyperlink"/>
          <w:noProof/>
        </w:rPr>
        <w:br w:type="page"/>
      </w:r>
    </w:p>
    <w:p w14:paraId="1948C2D8" w14:textId="0B3F0D30" w:rsidR="004A2B6A" w:rsidRDefault="006B3FD9" w:rsidP="006B3FD9">
      <w:pPr>
        <w:pStyle w:val="Heading1"/>
        <w:numPr>
          <w:ilvl w:val="0"/>
          <w:numId w:val="0"/>
        </w:numPr>
      </w:pPr>
      <w:bookmarkStart w:id="10" w:name="_Toc494014186"/>
      <w:r>
        <w:lastRenderedPageBreak/>
        <w:t>Abstract</w:t>
      </w:r>
      <w:bookmarkEnd w:id="10"/>
    </w:p>
    <w:p w14:paraId="7B1A2CF4" w14:textId="147A23A2" w:rsidR="00F72DC1" w:rsidRDefault="00BB02BF" w:rsidP="00F72DC1">
      <w:r>
        <w:t>The objective</w:t>
      </w:r>
      <w:r w:rsidR="006E78FC">
        <w:t>s</w:t>
      </w:r>
      <w:r>
        <w:t xml:space="preserve"> of this research dissertation include: (1) develop a novel procedure of single well chemical tracer test </w:t>
      </w:r>
      <w:r w:rsidR="0023542E">
        <w:t xml:space="preserve">(SWCTT) </w:t>
      </w:r>
      <w:r>
        <w:t xml:space="preserve">and modification of </w:t>
      </w:r>
      <w:r w:rsidR="0023542E">
        <w:t xml:space="preserve">method of moments (MoM) </w:t>
      </w:r>
      <w:r>
        <w:t>to estimate mobile oil saturation</w:t>
      </w:r>
      <w:r w:rsidR="0023542E">
        <w:t>; (2) appl</w:t>
      </w:r>
      <w:r w:rsidR="006E78FC">
        <w:t xml:space="preserve">y </w:t>
      </w:r>
      <w:r w:rsidR="0023542E">
        <w:t xml:space="preserve">partitioning tracer to evaluate hydraulic fracture in unconventional reservoir; (3) develop </w:t>
      </w:r>
      <w:r w:rsidR="006E78FC">
        <w:t xml:space="preserve">a </w:t>
      </w:r>
      <w:r w:rsidR="0023542E">
        <w:t>random walk particle tracking algorithm to simulate partitioning tracer transport in two-mobile-phase condition; (4) evaluat</w:t>
      </w:r>
      <w:r w:rsidR="006E78FC">
        <w:t>e</w:t>
      </w:r>
      <w:r w:rsidR="0023542E">
        <w:t xml:space="preserve"> radon wellhead concentration associated with shale gas production to assess its danger to the public</w:t>
      </w:r>
      <w:r w:rsidR="006E78FC">
        <w:t xml:space="preserve"> health</w:t>
      </w:r>
      <w:r w:rsidR="0023542E">
        <w:t xml:space="preserve">. </w:t>
      </w:r>
      <w:r>
        <w:t xml:space="preserve"> </w:t>
      </w:r>
    </w:p>
    <w:p w14:paraId="4E8DBD71" w14:textId="65808EFE" w:rsidR="00342BD8" w:rsidRDefault="0023542E" w:rsidP="00342BD8">
      <w:r>
        <w:t xml:space="preserve">A novel procedure of </w:t>
      </w:r>
      <w:r w:rsidR="00896445">
        <w:t xml:space="preserve">SWCTT </w:t>
      </w:r>
      <w:r>
        <w:t>is developed and method of moments is modified accordingly after investigating the movement of partitioning tracer. T</w:t>
      </w:r>
      <w:r w:rsidR="00342BD8">
        <w:t xml:space="preserve">hese modifications provide a simple </w:t>
      </w:r>
      <w:r w:rsidR="006E78FC">
        <w:t xml:space="preserve">and robust </w:t>
      </w:r>
      <w:r w:rsidR="00342BD8">
        <w:t xml:space="preserve">way to use SWCTT to estimate mobile oil saturation. Sensitivity analysis is also conducted to study the impacting reservoir properties that may affect result reliability. </w:t>
      </w:r>
    </w:p>
    <w:p w14:paraId="3B35C07A" w14:textId="635E7AAE" w:rsidR="00D7324B" w:rsidRDefault="00342BD8" w:rsidP="00342BD8">
      <w:r>
        <w:t xml:space="preserve">Partitioning tracer is also introduced into the hydraulic fracture diagnosis. </w:t>
      </w:r>
      <w:r w:rsidR="00896445">
        <w:t>Partitioning tracer is</w:t>
      </w:r>
      <w:r w:rsidR="00D7324B">
        <w:t xml:space="preserve"> propose</w:t>
      </w:r>
      <w:r w:rsidR="00896445">
        <w:t>d</w:t>
      </w:r>
      <w:r>
        <w:t xml:space="preserve"> to</w:t>
      </w:r>
      <w:r w:rsidR="00896445">
        <w:t xml:space="preserve"> be</w:t>
      </w:r>
      <w:r>
        <w:t xml:space="preserve"> inject</w:t>
      </w:r>
      <w:r w:rsidR="00896445">
        <w:t>ed</w:t>
      </w:r>
      <w:r>
        <w:t xml:space="preserve"> alo</w:t>
      </w:r>
      <w:r w:rsidR="00D7324B">
        <w:t xml:space="preserve">ng with the fracking fluid and record tracer flow back data. Within one to two days’ production, sufficient </w:t>
      </w:r>
      <w:r w:rsidR="00896445">
        <w:t xml:space="preserve">tracer production </w:t>
      </w:r>
      <w:r w:rsidR="00D7324B">
        <w:t xml:space="preserve">data </w:t>
      </w:r>
      <w:r w:rsidR="00896445">
        <w:t xml:space="preserve">will be obtained </w:t>
      </w:r>
      <w:r w:rsidR="00D7324B">
        <w:t xml:space="preserve">to estimate fracture volume. Tracer selection criteria for this purpose </w:t>
      </w:r>
      <w:r w:rsidR="006E78FC">
        <w:t>are proposed</w:t>
      </w:r>
      <w:r w:rsidR="00D7324B">
        <w:t xml:space="preserve">. </w:t>
      </w:r>
    </w:p>
    <w:p w14:paraId="3B219391" w14:textId="1230FC82" w:rsidR="00342BD8" w:rsidRDefault="001826B1" w:rsidP="00342BD8">
      <w:r>
        <w:t xml:space="preserve">A random walk </w:t>
      </w:r>
      <w:r w:rsidR="00896445">
        <w:t xml:space="preserve">particle tracking algorithm is developed to track the movement of partitioning tracer particles in </w:t>
      </w:r>
      <w:r w:rsidR="006E78FC">
        <w:t xml:space="preserve">the </w:t>
      </w:r>
      <w:r w:rsidR="00896445">
        <w:t>two-mobile-phase condition, which accounts</w:t>
      </w:r>
      <w:r w:rsidR="006E78FC">
        <w:t xml:space="preserve"> for</w:t>
      </w:r>
      <w:r w:rsidR="00896445">
        <w:t xml:space="preserve"> the contributions from advection and dispersion. Its result is compared with finite-difference based method, showing the advantage of less numerical dispersion. </w:t>
      </w:r>
    </w:p>
    <w:p w14:paraId="2B00CCBA" w14:textId="0E6896E3" w:rsidR="00EB2779" w:rsidRDefault="007D7CA0" w:rsidP="00F72DC1">
      <w:r>
        <w:lastRenderedPageBreak/>
        <w:t xml:space="preserve">Lastly, radon wellhead concentration from shale gas reservoir is estimated by integrating its generation, transport and decay process. </w:t>
      </w:r>
      <w:r w:rsidR="005E18EF">
        <w:t>Impacts of pore geometry and pore size distribution on</w:t>
      </w:r>
      <w:r w:rsidR="001B7B11">
        <w:t xml:space="preserve"> radon in-situ concentration are</w:t>
      </w:r>
      <w:r w:rsidR="005E18EF">
        <w:t xml:space="preserve"> investigated.</w:t>
      </w:r>
      <w:r w:rsidR="00EB2779">
        <w:t xml:space="preserve"> Sensitivity analysis is also carried out to demonstrate which operation or stimulation parameter</w:t>
      </w:r>
      <w:r w:rsidR="006E78FC">
        <w:t>s</w:t>
      </w:r>
      <w:r w:rsidR="00EB2779">
        <w:t xml:space="preserve"> will affect radon production. The research outcome shows that the radon wellhead concentration </w:t>
      </w:r>
      <w:r w:rsidR="006E78FC">
        <w:t>can be</w:t>
      </w:r>
      <w:r w:rsidR="00EB2779">
        <w:t xml:space="preserve"> above the safe</w:t>
      </w:r>
      <w:r w:rsidR="006E78FC">
        <w:t>ty</w:t>
      </w:r>
      <w:r w:rsidR="00EB2779">
        <w:t xml:space="preserve"> level and it requires appropriate monitor and control. </w:t>
      </w:r>
    </w:p>
    <w:p w14:paraId="035C63BF" w14:textId="1FF2353F" w:rsidR="00FD2045" w:rsidRDefault="00FD2045" w:rsidP="00F72DC1">
      <w:r>
        <w:t xml:space="preserve">Overall, this dissertation </w:t>
      </w:r>
      <w:r w:rsidR="00BF0F08">
        <w:t>quantifies</w:t>
      </w:r>
      <w:r>
        <w:t xml:space="preserve"> </w:t>
      </w:r>
      <w:r w:rsidR="00BF0F08">
        <w:t>the particle movement</w:t>
      </w:r>
      <w:r>
        <w:t xml:space="preserve"> in unconventional reservoirs. </w:t>
      </w:r>
      <w:r w:rsidR="00BF0F08">
        <w:t>It studies particles’ transport properties, considering its dispersion, partitioning and reaction features. The ultimate goal of this dissertation is to provide an improved reservoir charac</w:t>
      </w:r>
      <w:r w:rsidR="00F1097F">
        <w:t>terization</w:t>
      </w:r>
      <w:r w:rsidR="00BF0F08">
        <w:t xml:space="preserve">.   </w:t>
      </w:r>
    </w:p>
    <w:p w14:paraId="01269BFF" w14:textId="148AC6FE" w:rsidR="00F72DC1" w:rsidRDefault="005E18EF" w:rsidP="00F72DC1">
      <w:r>
        <w:t xml:space="preserve"> </w:t>
      </w:r>
      <w:r w:rsidR="007D7CA0">
        <w:t xml:space="preserve"> </w:t>
      </w:r>
    </w:p>
    <w:p w14:paraId="413B30B9" w14:textId="77777777" w:rsidR="004A2B6A" w:rsidRDefault="004A2B6A" w:rsidP="004A2B6A"/>
    <w:p w14:paraId="16C8EDB2" w14:textId="77777777" w:rsidR="00F72DC1" w:rsidRDefault="00F72DC1" w:rsidP="00F72DC1"/>
    <w:p w14:paraId="3553855B" w14:textId="77777777" w:rsidR="00F72DC1" w:rsidRDefault="00F72DC1" w:rsidP="00F72DC1">
      <w:pPr>
        <w:sectPr w:rsidR="00F72DC1" w:rsidSect="00775701">
          <w:footerReference w:type="default" r:id="rId10"/>
          <w:pgSz w:w="12240" w:h="15840" w:code="1"/>
          <w:pgMar w:top="1440" w:right="1440" w:bottom="1440" w:left="2304" w:header="720" w:footer="720" w:gutter="0"/>
          <w:pgNumType w:fmt="lowerRoman" w:start="4"/>
          <w:cols w:space="720"/>
          <w:docGrid w:linePitch="360"/>
        </w:sectPr>
      </w:pPr>
    </w:p>
    <w:p w14:paraId="602FB6AB" w14:textId="2932F69F" w:rsidR="006B3FD9" w:rsidRDefault="0076768C" w:rsidP="004D1572">
      <w:pPr>
        <w:pStyle w:val="Heading1"/>
      </w:pPr>
      <w:bookmarkStart w:id="11" w:name="_Toc494014187"/>
      <w:bookmarkStart w:id="12" w:name="_Toc491875862"/>
      <w:bookmarkStart w:id="13" w:name="_Toc491876421"/>
      <w:r>
        <w:lastRenderedPageBreak/>
        <w:t>Introduction</w:t>
      </w:r>
      <w:bookmarkEnd w:id="11"/>
    </w:p>
    <w:p w14:paraId="217FAA52" w14:textId="7A6412F0" w:rsidR="006B3FD9" w:rsidRDefault="00D2140E" w:rsidP="006B3FD9">
      <w:pPr>
        <w:pStyle w:val="Heading2"/>
      </w:pPr>
      <w:bookmarkStart w:id="14" w:name="_Toc494014188"/>
      <w:r>
        <w:t>Research Motivations</w:t>
      </w:r>
      <w:bookmarkEnd w:id="14"/>
    </w:p>
    <w:p w14:paraId="44A5AA6D" w14:textId="38D2EB32" w:rsidR="00A86E5D" w:rsidRDefault="00A86E5D" w:rsidP="00AB6760">
      <w:r>
        <w:t xml:space="preserve">Reservoir characterization is one essential component </w:t>
      </w:r>
      <w:r w:rsidR="00F31C3C">
        <w:t>in</w:t>
      </w:r>
      <w:r>
        <w:t xml:space="preserve"> reservoir exploration and development. Understanding the movement of chemical particles, such as partitioning tracer, will help engineers achieve a better understanding about the ‘black</w:t>
      </w:r>
      <w:r w:rsidR="00F31C3C">
        <w:t>-box</w:t>
      </w:r>
      <w:r>
        <w:t xml:space="preserve">’ subsurface. </w:t>
      </w:r>
    </w:p>
    <w:p w14:paraId="6C3784AF" w14:textId="2CA1577A" w:rsidR="00AB6760" w:rsidRDefault="00AB6760" w:rsidP="00AB6760">
      <w:r w:rsidRPr="00B33055">
        <w:rPr>
          <w:rFonts w:hint="eastAsia"/>
        </w:rPr>
        <w:t xml:space="preserve">The SWCTT has been applied for decades </w:t>
      </w:r>
      <w:r w:rsidRPr="00B33055">
        <w:t>and many successes have be</w:t>
      </w:r>
      <w:r w:rsidRPr="00B33055">
        <w:rPr>
          <w:rFonts w:hint="eastAsia"/>
        </w:rPr>
        <w:t>en</w:t>
      </w:r>
      <w:r w:rsidRPr="00B33055">
        <w:t xml:space="preserve"> declared in estimating residual oil saturation in near wellbore locations</w:t>
      </w:r>
      <w:r w:rsidRPr="00B33055">
        <w:rPr>
          <w:rFonts w:hint="eastAsia"/>
        </w:rPr>
        <w:t>.</w:t>
      </w:r>
      <w:r w:rsidRPr="00B33055">
        <w:t xml:space="preserve"> The information obtained from SWCTT is critical for designing </w:t>
      </w:r>
      <w:r w:rsidRPr="00B33055">
        <w:rPr>
          <w:rFonts w:hint="eastAsia"/>
        </w:rPr>
        <w:t>enhanced oil recovery (EOR).</w:t>
      </w:r>
      <w:r w:rsidRPr="00B33055">
        <w:t xml:space="preserve"> However, a key assumption in conventional SWCTT is that only single phase (water) is mobile. This is often not the case</w:t>
      </w:r>
      <w:r>
        <w:t xml:space="preserve"> in real practices</w:t>
      </w:r>
      <w:r w:rsidRPr="00B33055">
        <w:t>, and significant error can occur if the conventional SWCTT analysis method is used when multiple phases flow at the same time.</w:t>
      </w:r>
      <w:r w:rsidR="00A86E5D">
        <w:t xml:space="preserve"> Therefore, it is imperative to resolve this issue so that SWCTT can be applied for two-mobile-phase condition. </w:t>
      </w:r>
    </w:p>
    <w:p w14:paraId="158C4F52" w14:textId="6DC770F6" w:rsidR="00A86E5D" w:rsidRDefault="00A86E5D" w:rsidP="00A86E5D">
      <w:r>
        <w:t xml:space="preserve">Hydraulic fracturing </w:t>
      </w:r>
      <w:r w:rsidR="00F31C3C">
        <w:t xml:space="preserve">is </w:t>
      </w:r>
      <w:r>
        <w:t xml:space="preserve">applied in shale gas development to increase </w:t>
      </w:r>
      <w:r w:rsidR="006E78FC">
        <w:t>well productivity</w:t>
      </w:r>
      <w:r>
        <w:t xml:space="preserve">. </w:t>
      </w:r>
      <w:r w:rsidR="006E78FC">
        <w:t xml:space="preserve">The knowledge </w:t>
      </w:r>
      <w:r>
        <w:t xml:space="preserve">of hydraulic fracture volume is essential in determining the stimulation treatment </w:t>
      </w:r>
      <w:r w:rsidR="006E78FC">
        <w:t>effectiveness</w:t>
      </w:r>
      <w:r>
        <w:t xml:space="preserve">. However, the fracture volume diagnosis is very challenging because of the complexities of rock property and fracturing process. Davis (2009) summarized capabilities and limitations of numerous fracture diagnostic technologies, including tiltmeters, microseismic mapping and radioactive tracers. Among them, only surface tilt mapping is able to determine the hydraulic fracture volume, while its resolution decreases with depth. </w:t>
      </w:r>
      <w:r w:rsidR="00B25987">
        <w:t xml:space="preserve">As a reservoir characterization tool, chemical tracer </w:t>
      </w:r>
      <w:r w:rsidR="0063608A">
        <w:t>can be used</w:t>
      </w:r>
      <w:r w:rsidR="00B25987">
        <w:t xml:space="preserve"> to evaluate the swept volume. Hence, </w:t>
      </w:r>
      <w:r w:rsidR="0063608A">
        <w:t xml:space="preserve">the </w:t>
      </w:r>
      <w:r w:rsidR="00546FB1">
        <w:t xml:space="preserve">application of </w:t>
      </w:r>
      <w:r w:rsidR="00546FB1">
        <w:lastRenderedPageBreak/>
        <w:t>chemical</w:t>
      </w:r>
      <w:r w:rsidR="00B25987">
        <w:t xml:space="preserve"> tracer in hydraulic fracture diagnosis</w:t>
      </w:r>
      <w:r w:rsidR="00546FB1">
        <w:t>, especially in determining fracture volume,</w:t>
      </w:r>
      <w:r w:rsidR="00B25987">
        <w:t xml:space="preserve"> is of the interest. </w:t>
      </w:r>
      <w:r w:rsidR="00546FB1">
        <w:t>It will provide a simp</w:t>
      </w:r>
      <w:r w:rsidR="00B90AC3">
        <w:t>le and cost-effective approach for post</w:t>
      </w:r>
      <w:r w:rsidR="00E25630">
        <w:t xml:space="preserve"> </w:t>
      </w:r>
      <w:r w:rsidR="00B90AC3">
        <w:t xml:space="preserve">stimulation evaluation. </w:t>
      </w:r>
    </w:p>
    <w:p w14:paraId="0A2B810F" w14:textId="3727EF07" w:rsidR="00E25630" w:rsidRDefault="00E25630" w:rsidP="00A86E5D">
      <w:r>
        <w:t xml:space="preserve">Reservoir simulation is </w:t>
      </w:r>
      <w:r w:rsidR="00F31C3C">
        <w:t>a</w:t>
      </w:r>
      <w:r w:rsidR="0063608A">
        <w:t>n</w:t>
      </w:r>
      <w:r>
        <w:t xml:space="preserve"> applied </w:t>
      </w:r>
      <w:r w:rsidR="00F31C3C">
        <w:t>approach</w:t>
      </w:r>
      <w:r>
        <w:t xml:space="preserve"> to interpret the particles’ movement. Finite difference and streamline are two major simulation techniques. However, they both have drawbacks. Finite difference</w:t>
      </w:r>
      <w:r w:rsidR="0064225D">
        <w:t xml:space="preserve"> method</w:t>
      </w:r>
      <w:r>
        <w:t xml:space="preserve"> solves the advection-dispersion equation numerically, introducing significant numerical dispersion. On the other hand, streamline simulation assumes no interaction between streamlines, which means no transverse transport is considered. </w:t>
      </w:r>
      <w:r w:rsidR="00D74A52">
        <w:t xml:space="preserve">Random walk particle tracking </w:t>
      </w:r>
      <w:r w:rsidR="0063608A">
        <w:t>(</w:t>
      </w:r>
      <w:r>
        <w:t>RWPT</w:t>
      </w:r>
      <w:r w:rsidR="0063608A">
        <w:t>)</w:t>
      </w:r>
      <w:r>
        <w:t xml:space="preserve"> is an alternative algorithm. It simulates both transverse and longitudinal dispersion with less numerical dispersion. Nevertheless, current RWPT is not able to track the movement of partitioning particles under two-mobile-phase condition. To complete the application of RWPT, </w:t>
      </w:r>
      <w:r w:rsidR="0063608A">
        <w:t>this dissertation discusses a solution to it</w:t>
      </w:r>
      <w:r>
        <w:t xml:space="preserve">. </w:t>
      </w:r>
    </w:p>
    <w:p w14:paraId="1702FC0E" w14:textId="098D9146" w:rsidR="00503CF0" w:rsidRDefault="00503CF0" w:rsidP="00A86E5D">
      <w:r>
        <w:t xml:space="preserve">Naturally occurred hazardous material is of the interest in oil and gas industry. It </w:t>
      </w:r>
      <w:r w:rsidR="00923CDA">
        <w:t xml:space="preserve">is important to understand their movement in subsurface and evaluate their threat to the environment and the public. Radon associated with shale gas production is one concern that recently goes into the scrutiny. Therefore, for a sustainable development of shale gas, understanding the migration of radon and evaluating its production are crucial. </w:t>
      </w:r>
    </w:p>
    <w:p w14:paraId="20C78058" w14:textId="77777777" w:rsidR="00A86E5D" w:rsidRDefault="00A86E5D" w:rsidP="00AB6760"/>
    <w:p w14:paraId="2DFB4C9E" w14:textId="3D51113F" w:rsidR="00AB6760" w:rsidRDefault="00AB6760" w:rsidP="00AB6760">
      <w:pPr>
        <w:pStyle w:val="Heading2"/>
      </w:pPr>
      <w:bookmarkStart w:id="15" w:name="_Toc494014189"/>
      <w:r>
        <w:t>Research Objectives</w:t>
      </w:r>
      <w:bookmarkEnd w:id="15"/>
    </w:p>
    <w:p w14:paraId="6A0F7939" w14:textId="7629E081" w:rsidR="00CA055F" w:rsidRDefault="00CA055F" w:rsidP="00CA055F">
      <w:r>
        <w:t xml:space="preserve">This dissertation attempts to quantify the movement of particles and address the following objectives: </w:t>
      </w:r>
    </w:p>
    <w:p w14:paraId="3F96ACC0" w14:textId="60547813" w:rsidR="00A81598" w:rsidRDefault="00A81598" w:rsidP="00A81598">
      <w:pPr>
        <w:pStyle w:val="ListParagraph"/>
        <w:numPr>
          <w:ilvl w:val="0"/>
          <w:numId w:val="23"/>
        </w:numPr>
        <w:ind w:left="810"/>
      </w:pPr>
      <w:r>
        <w:lastRenderedPageBreak/>
        <w:t xml:space="preserve">Propose a </w:t>
      </w:r>
      <w:r w:rsidR="002549C2">
        <w:t>novel procedure of SWCTT and modify MoM to estimate mobile oil saturation</w:t>
      </w:r>
    </w:p>
    <w:p w14:paraId="13E7FA7E" w14:textId="3BEC9E0D" w:rsidR="002549C2" w:rsidRDefault="002549C2" w:rsidP="00A81598">
      <w:pPr>
        <w:pStyle w:val="ListParagraph"/>
        <w:numPr>
          <w:ilvl w:val="0"/>
          <w:numId w:val="23"/>
        </w:numPr>
        <w:ind w:left="810"/>
      </w:pPr>
      <w:r>
        <w:t>Investigate the partitioning tracer movement in hydraulic fractures and utilize partitioning tracer as a fracture diagnostic tool. Tracer selection criteria will be studied as well.</w:t>
      </w:r>
    </w:p>
    <w:p w14:paraId="2B1906F7" w14:textId="6A9235E1" w:rsidR="002549C2" w:rsidRDefault="002549C2" w:rsidP="00A81598">
      <w:pPr>
        <w:pStyle w:val="ListParagraph"/>
        <w:numPr>
          <w:ilvl w:val="0"/>
          <w:numId w:val="23"/>
        </w:numPr>
        <w:ind w:left="810"/>
      </w:pPr>
      <w:r>
        <w:t>Develop a modified RWPT to track partitioning tracer movement under two-mobile-phase condition</w:t>
      </w:r>
    </w:p>
    <w:p w14:paraId="51FC076F" w14:textId="4F8AC6A1" w:rsidR="002549C2" w:rsidRDefault="002549C2" w:rsidP="00A81598">
      <w:pPr>
        <w:pStyle w:val="ListParagraph"/>
        <w:numPr>
          <w:ilvl w:val="0"/>
          <w:numId w:val="23"/>
        </w:numPr>
        <w:ind w:left="810"/>
      </w:pPr>
      <w:r>
        <w:t xml:space="preserve">Comprehensively study the radon migration process and quantitatively evaluate radon wellhead concentration. </w:t>
      </w:r>
    </w:p>
    <w:p w14:paraId="7BE3FD84" w14:textId="77777777" w:rsidR="00CA055F" w:rsidRPr="00CA055F" w:rsidRDefault="00CA055F" w:rsidP="00CA055F"/>
    <w:p w14:paraId="511D859B" w14:textId="6A80E9E6" w:rsidR="006B3FD9" w:rsidRDefault="006B3FD9" w:rsidP="006B3FD9">
      <w:pPr>
        <w:pStyle w:val="Heading2"/>
      </w:pPr>
      <w:bookmarkStart w:id="16" w:name="_Toc494014190"/>
      <w:r>
        <w:t>Chapter Layout</w:t>
      </w:r>
      <w:bookmarkEnd w:id="16"/>
    </w:p>
    <w:p w14:paraId="0A52FFA9" w14:textId="609CE1AB" w:rsidR="006B3FD9" w:rsidRDefault="002549C2" w:rsidP="006B3FD9">
      <w:r>
        <w:t>Chapter 2</w:t>
      </w:r>
      <w:r w:rsidR="006B3FD9">
        <w:t xml:space="preserve"> </w:t>
      </w:r>
      <w:r w:rsidR="006B3FD9" w:rsidRPr="00B33055">
        <w:t>propose</w:t>
      </w:r>
      <w:r>
        <w:t>s</w:t>
      </w:r>
      <w:r w:rsidR="006B3FD9" w:rsidRPr="00B33055">
        <w:t xml:space="preserve"> </w:t>
      </w:r>
      <w:r w:rsidR="006B3FD9" w:rsidRPr="00B33055">
        <w:rPr>
          <w:rFonts w:hint="eastAsia"/>
        </w:rPr>
        <w:t>an innovative procedure</w:t>
      </w:r>
      <w:r w:rsidR="006B3FD9" w:rsidRPr="00B33055">
        <w:t xml:space="preserve"> of SWCTT </w:t>
      </w:r>
      <w:r w:rsidR="006B3FD9" w:rsidRPr="00B33055">
        <w:rPr>
          <w:rFonts w:hint="eastAsia"/>
        </w:rPr>
        <w:t xml:space="preserve">and </w:t>
      </w:r>
      <w:r w:rsidR="006B3FD9" w:rsidRPr="00B33055">
        <w:t>modify the method of moment</w:t>
      </w:r>
      <w:r w:rsidR="0063608A">
        <w:t>s</w:t>
      </w:r>
      <w:r w:rsidR="006B3FD9" w:rsidRPr="00B33055">
        <w:t xml:space="preserve"> (MoM), aiming at the two-mobile-phase condition.</w:t>
      </w:r>
      <w:r w:rsidR="000875AC">
        <w:t xml:space="preserve"> The intention of this chapter</w:t>
      </w:r>
      <w:r w:rsidR="006B3FD9" w:rsidRPr="00B33055">
        <w:rPr>
          <w:rFonts w:hint="eastAsia"/>
        </w:rPr>
        <w:t xml:space="preserve"> </w:t>
      </w:r>
      <w:r w:rsidRPr="00B33055">
        <w:t>is to improve the accuracy and precision of SWCTT interpretation</w:t>
      </w:r>
      <w:r>
        <w:t xml:space="preserve"> in multi-phase flow condition. </w:t>
      </w:r>
    </w:p>
    <w:p w14:paraId="2D269E2F" w14:textId="6AB9072A" w:rsidR="006B3FD9" w:rsidRDefault="006B3FD9" w:rsidP="006B3FD9">
      <w:r>
        <w:t>Chapter 3</w:t>
      </w:r>
      <w:r w:rsidR="00CB4C4B">
        <w:t xml:space="preserve"> employs</w:t>
      </w:r>
      <w:r>
        <w:t xml:space="preserve"> partitioning chemical tracer </w:t>
      </w:r>
      <w:r w:rsidR="00CB4C4B">
        <w:t xml:space="preserve">to </w:t>
      </w:r>
      <w:r w:rsidR="0063608A">
        <w:t xml:space="preserve">estimate </w:t>
      </w:r>
      <w:r w:rsidR="00CB4C4B">
        <w:t>hydraulic fracture volume</w:t>
      </w:r>
      <w:r>
        <w:t xml:space="preserve">. </w:t>
      </w:r>
      <w:r w:rsidR="008455F7">
        <w:t xml:space="preserve">It discusses the unique feature observed in tracer production data and introduces the interpretation procedure. A </w:t>
      </w:r>
      <w:r w:rsidR="00E04E62">
        <w:t>sensitivity</w:t>
      </w:r>
      <w:r w:rsidR="008455F7">
        <w:t xml:space="preserve"> analysis is carried out to understand the tracer selection criteria.</w:t>
      </w:r>
    </w:p>
    <w:p w14:paraId="0E2B1B73" w14:textId="77777777" w:rsidR="00E04E62" w:rsidRDefault="00E04E62" w:rsidP="006B3FD9">
      <w:r>
        <w:t xml:space="preserve">Chapter 4 </w:t>
      </w:r>
      <w:r w:rsidR="006B3FD9">
        <w:t xml:space="preserve">proposes a modified RWPT program </w:t>
      </w:r>
      <w:r>
        <w:t>to simulate the partitioning tracer’s movement under two-mobile-phase condition</w:t>
      </w:r>
      <w:r w:rsidR="006B3FD9">
        <w:t>.</w:t>
      </w:r>
      <w:r>
        <w:t xml:space="preserve"> Its result is compared with finite-difference based method showing less numerical dispersion from RWPT. </w:t>
      </w:r>
    </w:p>
    <w:p w14:paraId="3A120905" w14:textId="28B1CD54" w:rsidR="006B3FD9" w:rsidRDefault="00E04E62" w:rsidP="006B3FD9">
      <w:r>
        <w:lastRenderedPageBreak/>
        <w:t xml:space="preserve">Chapter 5 </w:t>
      </w:r>
      <w:r w:rsidR="006B3FD9" w:rsidRPr="00E73B83">
        <w:rPr>
          <w:rFonts w:hint="eastAsia"/>
        </w:rPr>
        <w:t>quantitatively evaluate</w:t>
      </w:r>
      <w:r>
        <w:t>s</w:t>
      </w:r>
      <w:r w:rsidR="006B3FD9" w:rsidRPr="00E73B83">
        <w:rPr>
          <w:rFonts w:hint="eastAsia"/>
        </w:rPr>
        <w:t xml:space="preserve"> </w:t>
      </w:r>
      <w:r w:rsidR="0063608A">
        <w:t xml:space="preserve">the </w:t>
      </w:r>
      <w:r w:rsidR="006B3FD9" w:rsidRPr="00E73B83">
        <w:rPr>
          <w:rFonts w:hint="eastAsia"/>
        </w:rPr>
        <w:t xml:space="preserve">radon concentration from fractured </w:t>
      </w:r>
      <w:r>
        <w:t xml:space="preserve">shale gas </w:t>
      </w:r>
      <w:r w:rsidR="006B3FD9" w:rsidRPr="00E73B83">
        <w:rPr>
          <w:rFonts w:hint="eastAsia"/>
        </w:rPr>
        <w:t>wells.</w:t>
      </w:r>
      <w:r w:rsidR="006B3FD9" w:rsidRPr="00E73B83">
        <w:t xml:space="preserve"> </w:t>
      </w:r>
      <w:r>
        <w:t>It</w:t>
      </w:r>
      <w:r w:rsidR="006B3FD9" w:rsidRPr="00E73B83">
        <w:t xml:space="preserve"> </w:t>
      </w:r>
      <w:r w:rsidR="006B3FD9">
        <w:rPr>
          <w:color w:val="000000" w:themeColor="text1"/>
        </w:rPr>
        <w:t>propose</w:t>
      </w:r>
      <w:r w:rsidR="00BA702F">
        <w:rPr>
          <w:color w:val="000000" w:themeColor="text1"/>
        </w:rPr>
        <w:t>s</w:t>
      </w:r>
      <w:r w:rsidR="006B3FD9">
        <w:rPr>
          <w:color w:val="000000" w:themeColor="text1"/>
        </w:rPr>
        <w:t xml:space="preserve"> </w:t>
      </w:r>
      <w:r w:rsidR="0063608A">
        <w:rPr>
          <w:color w:val="000000" w:themeColor="text1"/>
        </w:rPr>
        <w:t>mathematical formulations</w:t>
      </w:r>
      <w:r w:rsidR="006B3FD9">
        <w:rPr>
          <w:color w:val="000000" w:themeColor="text1"/>
        </w:rPr>
        <w:t xml:space="preserve"> to calculate the radon generation in both slit shape pores and spherical pores. </w:t>
      </w:r>
      <w:r w:rsidR="00BA702F">
        <w:rPr>
          <w:color w:val="000000" w:themeColor="text1"/>
        </w:rPr>
        <w:t>N</w:t>
      </w:r>
      <w:r w:rsidR="00BA702F">
        <w:t xml:space="preserve">umerical simulation is utilized </w:t>
      </w:r>
      <w:r w:rsidR="006B3FD9" w:rsidRPr="00E73B83">
        <w:t>on</w:t>
      </w:r>
      <w:r w:rsidR="00BA702F">
        <w:t xml:space="preserve"> model</w:t>
      </w:r>
      <w:r w:rsidR="00B16F38">
        <w:t xml:space="preserve"> radon</w:t>
      </w:r>
      <w:r w:rsidR="006B3FD9" w:rsidRPr="00E73B83">
        <w:t xml:space="preserve"> transport process in the subsurface formation system</w:t>
      </w:r>
      <w:r w:rsidR="006B3FD9">
        <w:t xml:space="preserve"> considering the laboratory measured pore size distribution</w:t>
      </w:r>
      <w:r w:rsidR="006B3FD9" w:rsidRPr="00E73B83">
        <w:t xml:space="preserve">. </w:t>
      </w:r>
      <w:r w:rsidR="00FB4B9A">
        <w:t xml:space="preserve">A sensitivity analysis about operation and stimulation parameters is carried out to study their impacts on radon wellhead concentration. </w:t>
      </w:r>
    </w:p>
    <w:p w14:paraId="60F0E553" w14:textId="36E0C574" w:rsidR="00D4101A" w:rsidRDefault="006B3FD9" w:rsidP="006B3FD9">
      <w:r>
        <w:t>Chapter 6</w:t>
      </w:r>
      <w:r w:rsidR="00FB4B9A">
        <w:t xml:space="preserve"> presents the conclusions and detailed recommendations for future research. </w:t>
      </w:r>
    </w:p>
    <w:p w14:paraId="34CB9F54" w14:textId="77777777" w:rsidR="00D4101A" w:rsidRDefault="00D4101A">
      <w:pPr>
        <w:tabs>
          <w:tab w:val="clear" w:pos="7632"/>
        </w:tabs>
        <w:ind w:firstLine="0"/>
      </w:pPr>
      <w:r>
        <w:br w:type="page"/>
      </w:r>
    </w:p>
    <w:p w14:paraId="149A7932" w14:textId="44171554" w:rsidR="007739FB" w:rsidRPr="002E157F" w:rsidRDefault="004D1572" w:rsidP="004D1572">
      <w:pPr>
        <w:pStyle w:val="Heading1"/>
      </w:pPr>
      <w:bookmarkStart w:id="17" w:name="_Toc494014191"/>
      <w:r>
        <w:lastRenderedPageBreak/>
        <w:t>Improved Method of Moments to Determine Mobile Phase Saturations with Single Well Chemical Tracer Test</w:t>
      </w:r>
      <w:bookmarkEnd w:id="12"/>
      <w:bookmarkEnd w:id="13"/>
      <w:bookmarkEnd w:id="17"/>
    </w:p>
    <w:p w14:paraId="0528370E" w14:textId="3F4DB4FE" w:rsidR="004D1572" w:rsidRDefault="00962D1B" w:rsidP="004D1572">
      <w:pPr>
        <w:pStyle w:val="Heading2"/>
      </w:pPr>
      <w:bookmarkStart w:id="18" w:name="_Toc491875864"/>
      <w:bookmarkStart w:id="19" w:name="_Toc491876423"/>
      <w:bookmarkStart w:id="20" w:name="_Ref492045569"/>
      <w:bookmarkStart w:id="21" w:name="_Ref492045579"/>
      <w:bookmarkStart w:id="22" w:name="_Toc494014192"/>
      <w:r>
        <w:t>Introduction</w:t>
      </w:r>
      <w:bookmarkEnd w:id="18"/>
      <w:bookmarkEnd w:id="19"/>
      <w:bookmarkEnd w:id="20"/>
      <w:bookmarkEnd w:id="21"/>
      <w:bookmarkEnd w:id="22"/>
    </w:p>
    <w:p w14:paraId="72D4B6ED" w14:textId="26B844CF" w:rsidR="00962D1B" w:rsidRPr="00B33055" w:rsidRDefault="00962D1B" w:rsidP="00962D1B">
      <w:r w:rsidRPr="00B33055">
        <w:t>C</w:t>
      </w:r>
      <w:r w:rsidRPr="00B33055">
        <w:rPr>
          <w:rFonts w:hint="eastAsia"/>
        </w:rPr>
        <w:t xml:space="preserve">hemical tracer test </w:t>
      </w:r>
      <w:r w:rsidRPr="00B33055">
        <w:t>is a well-established technique to characterize reservoirs by injecting chemical tracers into the subsurface formation (Shen et al. 2016</w:t>
      </w:r>
      <w:r w:rsidR="00C679FA">
        <w:t>; Shen et al. 2017</w:t>
      </w:r>
      <w:r w:rsidRPr="00B33055">
        <w:t>). Single well chemical tracer test (SWCTT) is one type of chemical tracer tests classified by its well configuration. One major application of SWCTT is to estimate residual oil saturation before and after Enhanced Oil Recovery (EOR) operations. The application was first presented by Tomich et al. (1973)</w:t>
      </w:r>
      <w:r w:rsidR="00B8472C">
        <w:t xml:space="preserve"> and</w:t>
      </w:r>
      <w:r w:rsidRPr="00B33055">
        <w:t xml:space="preserve"> </w:t>
      </w:r>
      <w:r w:rsidR="00B8472C">
        <w:t>m</w:t>
      </w:r>
      <w:r w:rsidRPr="00B33055">
        <w:t>any successful tests were conducted in the fields (</w:t>
      </w:r>
      <w:hyperlink w:anchor="_ENREF_17" w:tooltip="Sheely Jr, 1982 #146" w:history="1">
        <w:r w:rsidRPr="00B33055">
          <w:rPr>
            <w:noProof/>
          </w:rPr>
          <w:t>Sheely Jr and Baldwin Jr 1982</w:t>
        </w:r>
      </w:hyperlink>
      <w:r w:rsidRPr="00B33055">
        <w:rPr>
          <w:noProof/>
        </w:rPr>
        <w:t xml:space="preserve">; </w:t>
      </w:r>
      <w:r w:rsidRPr="00B33055">
        <w:t>Denney 2011). It was also reported that SWCTT was able to evaluate residual gas saturation (</w:t>
      </w:r>
      <w:hyperlink w:anchor="_ENREF_2" w:tooltip="Bragg, 1976 #144" w:history="1">
        <w:r w:rsidRPr="00B33055">
          <w:rPr>
            <w:noProof/>
          </w:rPr>
          <w:t>Bragg et al. 1976</w:t>
        </w:r>
      </w:hyperlink>
      <w:r w:rsidRPr="00B33055">
        <w:t>) and connate water saturation (</w:t>
      </w:r>
      <w:hyperlink w:anchor="_ENREF_8" w:tooltip="Deans, 1974 #143" w:history="1">
        <w:r w:rsidRPr="00B33055">
          <w:rPr>
            <w:noProof/>
          </w:rPr>
          <w:t>Deans and Shallenberger 1974</w:t>
        </w:r>
      </w:hyperlink>
      <w:r w:rsidRPr="00B33055">
        <w:rPr>
          <w:noProof/>
        </w:rPr>
        <w:t>)</w:t>
      </w:r>
      <w:r w:rsidRPr="00B33055">
        <w:t xml:space="preserve">. This </w:t>
      </w:r>
      <w:r w:rsidR="00EE1FA0">
        <w:t>chapter</w:t>
      </w:r>
      <w:r w:rsidRPr="00B33055">
        <w:t xml:space="preserve"> focuses on SWCTT in oil-water reservoirs. </w:t>
      </w:r>
    </w:p>
    <w:p w14:paraId="657A8DB1" w14:textId="56B62BE8" w:rsidR="00962D1B" w:rsidRPr="00B33055" w:rsidRDefault="00962D1B" w:rsidP="00962D1B">
      <w:r w:rsidRPr="00B33055">
        <w:t xml:space="preserve">Partitioning (primary) tracer, normally an ester, is the chemical component used in SWCTT to determine the residual oil saturation. It is soluble in both oil and water and reaches equilibrium in both phases </w:t>
      </w:r>
      <w:r w:rsidR="00B12893">
        <w:t>based on</w:t>
      </w:r>
      <w:r w:rsidRPr="00B33055">
        <w:t xml:space="preserve"> the partition coefficient of the ester. Ester is also able to react with water generating acid and alcohol (secondary tracer), and the product alcohol is only soluble in water (</w:t>
      </w:r>
      <w:hyperlink w:anchor="_ENREF_6" w:tooltip="Deans, 1988 #141" w:history="1">
        <w:r w:rsidRPr="00B33055">
          <w:t>Deans and Carlisle 1988</w:t>
        </w:r>
      </w:hyperlink>
      <w:r w:rsidRPr="00B33055">
        <w:t>), so that it functions as a conservative tracer.</w:t>
      </w:r>
    </w:p>
    <w:p w14:paraId="299AB936" w14:textId="77777777" w:rsidR="00962D1B" w:rsidRPr="00B33055" w:rsidRDefault="00962D1B" w:rsidP="003532F5">
      <w:pPr>
        <w:jc w:val="center"/>
      </w:pPr>
      <m:oMathPara>
        <m:oMath>
          <m:r>
            <w:rPr>
              <w:rFonts w:ascii="Cambria Math" w:hAnsi="Cambria Math"/>
            </w:rPr>
            <m:t>Ester</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w:rPr>
              <w:rFonts w:ascii="Cambria Math" w:hAnsi="Cambria Math"/>
            </w:rPr>
            <m:t>O</m:t>
          </m:r>
          <m:r>
            <m:rPr>
              <m:sty m:val="p"/>
            </m:rPr>
            <w:rPr>
              <w:rFonts w:ascii="Cambria Math" w:hAnsi="Cambria Math"/>
            </w:rPr>
            <m:t>=</m:t>
          </m:r>
          <m:r>
            <w:rPr>
              <w:rFonts w:ascii="Cambria Math" w:hAnsi="Cambria Math"/>
            </w:rPr>
            <m:t>Acid</m:t>
          </m:r>
          <m:r>
            <m:rPr>
              <m:sty m:val="p"/>
            </m:rPr>
            <w:rPr>
              <w:rFonts w:ascii="Cambria Math" w:hAnsi="Cambria Math"/>
            </w:rPr>
            <m:t>+</m:t>
          </m:r>
          <m:r>
            <w:rPr>
              <w:rFonts w:ascii="Cambria Math" w:hAnsi="Cambria Math"/>
            </w:rPr>
            <m:t>Alcohol</m:t>
          </m:r>
        </m:oMath>
      </m:oMathPara>
    </w:p>
    <w:p w14:paraId="2FC01466" w14:textId="11A42DBA" w:rsidR="00962D1B" w:rsidRPr="00B33055" w:rsidRDefault="00962D1B" w:rsidP="00962D1B">
      <w:r w:rsidRPr="00B33055">
        <w:t xml:space="preserve">The hydrolysis in SWCTT is </w:t>
      </w:r>
      <w:r w:rsidR="00B12893">
        <w:t xml:space="preserve">assumed to be </w:t>
      </w:r>
      <w:r w:rsidRPr="00B33055">
        <w:t>a first-order reaction. The reaction rate is dependent on not only ester concentration, but also many other factors such as pH, temperature, and salinity (</w:t>
      </w:r>
      <w:hyperlink w:anchor="_ENREF_3" w:tooltip="Wellington, 1994 #147" w:history="1">
        <w:r w:rsidRPr="00B33055">
          <w:t>Wellington and Richardson 1994</w:t>
        </w:r>
      </w:hyperlink>
      <w:r w:rsidRPr="00B33055">
        <w:t xml:space="preserve">). The ester will start to </w:t>
      </w:r>
      <w:r w:rsidRPr="00B33055">
        <w:lastRenderedPageBreak/>
        <w:t>generate alcohol once it</w:t>
      </w:r>
      <w:r w:rsidR="00B12893">
        <w:t xml:space="preserve"> is mixed with water</w:t>
      </w:r>
      <w:r w:rsidRPr="00B33055">
        <w:t xml:space="preserve">. Moreover, all these parameters should be considered carefully in SWCTT design and analysis.  </w:t>
      </w:r>
    </w:p>
    <w:p w14:paraId="76DB6757" w14:textId="03AF6A8D" w:rsidR="00962D1B" w:rsidRDefault="00962D1B" w:rsidP="00962D1B">
      <w:r w:rsidRPr="00B33055">
        <w:t>A typical SWCTT consists of four steps</w:t>
      </w:r>
      <w:r w:rsidR="00D74A52">
        <w:t xml:space="preserve"> (</w:t>
      </w:r>
      <w:r w:rsidR="00D74A52">
        <w:fldChar w:fldCharType="begin"/>
      </w:r>
      <w:r w:rsidR="00D74A52">
        <w:instrText xml:space="preserve"> REF _Ref493588660 \h </w:instrText>
      </w:r>
      <w:r w:rsidR="00D74A52">
        <w:fldChar w:fldCharType="separate"/>
      </w:r>
      <w:r w:rsidR="00D74A52">
        <w:t xml:space="preserve">Figure </w:t>
      </w:r>
      <w:r w:rsidR="00D74A52">
        <w:rPr>
          <w:noProof/>
        </w:rPr>
        <w:t>2</w:t>
      </w:r>
      <w:r w:rsidR="00D74A52">
        <w:noBreakHyphen/>
      </w:r>
      <w:r w:rsidR="00D74A52">
        <w:rPr>
          <w:noProof/>
        </w:rPr>
        <w:t>1</w:t>
      </w:r>
      <w:r w:rsidR="00D74A52">
        <w:fldChar w:fldCharType="end"/>
      </w:r>
      <w:r w:rsidR="00D74A52">
        <w:t>)</w:t>
      </w:r>
      <w:r w:rsidRPr="00B33055">
        <w:t>. First, an aqueous ester solution slug is injected into the target zone at a low concentration. Second, chasing water is injected to push the ester farther into the formation about five to fifteen feet away from the wellbore. Third, the well is shut in for several days to allow the ester to react with water sufficiently. Fourth, the well is open to produce the tracers back. During the production stage, concentrations of ester and alcohol will be recorded carefully. More detailed descriptions of the SWCTT procedure are available in the literatures (</w:t>
      </w:r>
      <w:hyperlink w:anchor="_ENREF_9" w:tooltip="Jerauld, 2010 #133" w:history="1">
        <w:r w:rsidRPr="00B33055">
          <w:t>Jerauld et al. 2010</w:t>
        </w:r>
      </w:hyperlink>
      <w:r w:rsidRPr="00B33055">
        <w:t xml:space="preserve">; </w:t>
      </w:r>
      <w:hyperlink w:anchor="_ENREF_7" w:tooltip="Deans, 1997 #139" w:history="1">
        <w:r w:rsidRPr="00B33055">
          <w:t>Deans and Mut 1997</w:t>
        </w:r>
      </w:hyperlink>
      <w:r w:rsidRPr="00B33055">
        <w:t>).</w:t>
      </w:r>
    </w:p>
    <w:p w14:paraId="645C2E68" w14:textId="77777777" w:rsidR="00D74A52" w:rsidRDefault="00D74A52" w:rsidP="00D74A52">
      <w:pPr>
        <w:pStyle w:val="Para0"/>
        <w:keepNext/>
        <w:jc w:val="center"/>
      </w:pPr>
      <w:r>
        <w:rPr>
          <w:noProof/>
          <w:lang w:eastAsia="zh-CN"/>
        </w:rPr>
        <w:drawing>
          <wp:inline distT="0" distB="0" distL="0" distR="0" wp14:anchorId="47322419" wp14:editId="56D3CCA1">
            <wp:extent cx="3522397" cy="4067175"/>
            <wp:effectExtent l="0" t="0" r="1905"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SWCTT steps.png"/>
                    <pic:cNvPicPr/>
                  </pic:nvPicPr>
                  <pic:blipFill>
                    <a:blip r:embed="rId11">
                      <a:extLst>
                        <a:ext uri="{28A0092B-C50C-407E-A947-70E740481C1C}">
                          <a14:useLocalDpi xmlns:a14="http://schemas.microsoft.com/office/drawing/2010/main" val="0"/>
                        </a:ext>
                      </a:extLst>
                    </a:blip>
                    <a:stretch>
                      <a:fillRect/>
                    </a:stretch>
                  </pic:blipFill>
                  <pic:spPr>
                    <a:xfrm>
                      <a:off x="0" y="0"/>
                      <a:ext cx="3527328" cy="4072869"/>
                    </a:xfrm>
                    <a:prstGeom prst="rect">
                      <a:avLst/>
                    </a:prstGeom>
                  </pic:spPr>
                </pic:pic>
              </a:graphicData>
            </a:graphic>
          </wp:inline>
        </w:drawing>
      </w:r>
    </w:p>
    <w:p w14:paraId="0318EAA4" w14:textId="7D695BBF" w:rsidR="00D74A52" w:rsidRPr="00B33055" w:rsidRDefault="00D74A52" w:rsidP="00D74A52">
      <w:pPr>
        <w:pStyle w:val="Caption"/>
      </w:pPr>
      <w:bookmarkStart w:id="23" w:name="_Ref493588660"/>
      <w:bookmarkStart w:id="24" w:name="_Toc495144710"/>
      <w:r>
        <w:t xml:space="preserve">Figure </w:t>
      </w:r>
      <w:fldSimple w:instr=" STYLEREF 1 \s ">
        <w:r w:rsidR="00280FFF">
          <w:rPr>
            <w:noProof/>
          </w:rPr>
          <w:t>2</w:t>
        </w:r>
      </w:fldSimple>
      <w:r w:rsidR="00280FFF">
        <w:noBreakHyphen/>
      </w:r>
      <w:fldSimple w:instr=" SEQ Figure \* ARABIC \s 1 ">
        <w:r w:rsidR="00280FFF">
          <w:rPr>
            <w:noProof/>
          </w:rPr>
          <w:t>1</w:t>
        </w:r>
      </w:fldSimple>
      <w:bookmarkEnd w:id="23"/>
      <w:r>
        <w:t>. Procedure of conventional SWCTT</w:t>
      </w:r>
      <w:bookmarkEnd w:id="24"/>
    </w:p>
    <w:p w14:paraId="5A187016" w14:textId="17AF11F6" w:rsidR="00962D1B" w:rsidRPr="00B33055" w:rsidRDefault="00962D1B" w:rsidP="00962D1B">
      <w:r w:rsidRPr="00B33055">
        <w:lastRenderedPageBreak/>
        <w:t>Compared with alternative methods to determine oil saturation, such as core analysis and well logging, SWCTT</w:t>
      </w:r>
      <w:r w:rsidR="007D1CA1">
        <w:t xml:space="preserve"> has several advantages. First</w:t>
      </w:r>
      <w:r w:rsidRPr="00B33055">
        <w:t>, SWCTT reflects saturation in a larger volume than core analysis or well logging (</w:t>
      </w:r>
      <w:hyperlink w:anchor="_ENREF_16" w:tooltip="Tomich, 1973 #126" w:history="1">
        <w:r w:rsidRPr="00B33055">
          <w:t>Tomich et al. 1973</w:t>
        </w:r>
      </w:hyperlink>
      <w:r w:rsidRPr="00B33055">
        <w:t xml:space="preserve">). </w:t>
      </w:r>
      <w:r w:rsidR="007D1CA1">
        <w:t>Second</w:t>
      </w:r>
      <w:r w:rsidRPr="00B33055">
        <w:t>, the SWCTT provides a more direct measurement of oil saturation than well logging (</w:t>
      </w:r>
      <w:hyperlink w:anchor="_ENREF_8" w:tooltip="Jin, 2015 #125" w:history="1">
        <w:r w:rsidRPr="00B33055">
          <w:t>Jin et al. 2015</w:t>
        </w:r>
      </w:hyperlink>
      <w:r w:rsidRPr="00B33055">
        <w:t>). Furthermore, SWCTT does not bring any further formation damage, which means formation would return to its original condition after the test (</w:t>
      </w:r>
      <w:hyperlink w:anchor="_ENREF_2" w:tooltip="Bu, 2014 #145" w:history="1">
        <w:r w:rsidRPr="00B33055">
          <w:t>Bu et al. 2014</w:t>
        </w:r>
      </w:hyperlink>
      <w:r w:rsidRPr="00B33055">
        <w:t xml:space="preserve">). </w:t>
      </w:r>
    </w:p>
    <w:p w14:paraId="7690E304" w14:textId="77777777" w:rsidR="00962D1B" w:rsidRPr="00B33055" w:rsidRDefault="00962D1B" w:rsidP="00962D1B">
      <w:r w:rsidRPr="00B33055">
        <w:t>Method of moments (MoM) is a quick and robust method to analytically estimate residual oil saturation based on SWCTT results. Compared against inverse modeling, an alternative method to interpret SWCTT (</w:t>
      </w:r>
      <w:hyperlink w:anchor="_ENREF_3" w:tooltip="Cockin, 2000 #134" w:history="1">
        <w:r w:rsidRPr="00B33055">
          <w:t>Cockin et al. 2000</w:t>
        </w:r>
      </w:hyperlink>
      <w:r w:rsidRPr="00B33055">
        <w:t>), MoM requires less reservoir information. Given the production history of primary and secondary tracers (i.e., ester and alcohol production history), the first moments can be calculated to determine the average residual oil saturation (</w:t>
      </w:r>
      <w:hyperlink w:anchor="_ENREF_7" w:tooltip="Oyerinde, 2004 #148" w:history="1">
        <w:r w:rsidRPr="00B33055">
          <w:t>Oyerinde 2004</w:t>
        </w:r>
      </w:hyperlink>
      <w:r w:rsidRPr="00B33055">
        <w:t xml:space="preserve">; </w:t>
      </w:r>
      <w:hyperlink w:anchor="_ENREF_10" w:tooltip="Shook, 2004 #129" w:history="1">
        <w:r w:rsidRPr="00B33055">
          <w:t>Shook et al. 2004</w:t>
        </w:r>
      </w:hyperlink>
      <w:r w:rsidRPr="00B33055">
        <w:t xml:space="preserve">). </w:t>
      </w:r>
    </w:p>
    <w:p w14:paraId="2F62074A" w14:textId="1249DB8E" w:rsidR="00962D1B" w:rsidRPr="00B33055" w:rsidRDefault="00962D1B" w:rsidP="00962D1B">
      <w:r w:rsidRPr="00B33055">
        <w:t>A key assumption in using conventional SWCTT is that only one phase is mobile. However, this is often not the case in reality, and significant error of saturation estimation can occur if the analysis algorithm MoM is used when multiple phases flow at the same time.  Therefore</w:t>
      </w:r>
      <w:r w:rsidR="007D1CA1">
        <w:t>,</w:t>
      </w:r>
      <w:r w:rsidRPr="00B33055">
        <w:t xml:space="preserve"> the objective of this research is to improve the accuracy and precision of SWCTT interpretation under the condition of multi-phase flow.</w:t>
      </w:r>
    </w:p>
    <w:p w14:paraId="5EBE7F04" w14:textId="63195C26" w:rsidR="00962D1B" w:rsidRPr="00B33055" w:rsidRDefault="00962D1B" w:rsidP="00962D1B">
      <w:r w:rsidRPr="00B33055">
        <w:t xml:space="preserve">MoM </w:t>
      </w:r>
      <w:r w:rsidR="0099305F">
        <w:t>can also be used to estimate the</w:t>
      </w:r>
      <w:r w:rsidRPr="00B33055">
        <w:t xml:space="preserve"> average residual oil saturation through a Partitioning Interwell Tracer Test (PITT) (Shook et al. 2009; Cooke 1971; Tang 1995). In PITT analysis, in order to estimate saturations properly using MoM, the oil phase should remain immobile as it is assumed in SWCTT. Asakawa (2005) relaxed this </w:t>
      </w:r>
      <w:r w:rsidRPr="00B33055">
        <w:lastRenderedPageBreak/>
        <w:t>assumption for PITT by accounting for two-phase flow in MoM. However, the estimation of average oil saturation obtained by his method should be close to the residual oil saturation, because most mobile oil was produced before tracer production (</w:t>
      </w:r>
      <w:hyperlink w:anchor="_ENREF_8" w:tooltip="Tang, 2000 #151" w:history="1">
        <w:r w:rsidRPr="00B33055">
          <w:t>Tang and Zhang 2000</w:t>
        </w:r>
      </w:hyperlink>
      <w:r w:rsidRPr="00B33055">
        <w:t xml:space="preserve">; </w:t>
      </w:r>
      <w:hyperlink w:anchor="_ENREF_1" w:tooltip="Asakawa, 2005 #149" w:history="1">
        <w:r w:rsidRPr="00B33055">
          <w:t>Asakawa 2005</w:t>
        </w:r>
      </w:hyperlink>
      <w:r w:rsidRPr="00B33055">
        <w:t xml:space="preserve">); when the oil saturation is much higher than the residual oil saturation, the modified MoM may yield a large error. </w:t>
      </w:r>
    </w:p>
    <w:p w14:paraId="4D1BB430" w14:textId="1D27FF22" w:rsidR="00962D1B" w:rsidRDefault="00962D1B" w:rsidP="00FA76D3">
      <w:r w:rsidRPr="00B33055">
        <w:t xml:space="preserve">This </w:t>
      </w:r>
      <w:r w:rsidR="00EE1FA0">
        <w:t>chapter</w:t>
      </w:r>
      <w:r w:rsidRPr="00B33055">
        <w:t xml:space="preserve"> focuses on the development of </w:t>
      </w:r>
      <w:r w:rsidRPr="00B33055">
        <w:rPr>
          <w:rFonts w:hint="eastAsia"/>
        </w:rPr>
        <w:t xml:space="preserve">an innovative </w:t>
      </w:r>
      <w:r w:rsidRPr="00B33055">
        <w:t>procedure</w:t>
      </w:r>
      <w:r w:rsidRPr="00B33055">
        <w:rPr>
          <w:rFonts w:hint="eastAsia"/>
        </w:rPr>
        <w:t xml:space="preserve"> of SWCTT for </w:t>
      </w:r>
      <w:r w:rsidRPr="00B33055">
        <w:t xml:space="preserve">the condition of </w:t>
      </w:r>
      <w:r w:rsidRPr="00B33055">
        <w:rPr>
          <w:rFonts w:hint="eastAsia"/>
        </w:rPr>
        <w:t>two mobile phases</w:t>
      </w:r>
      <w:r w:rsidRPr="00B33055">
        <w:t>. A</w:t>
      </w:r>
      <w:r w:rsidRPr="00B33055">
        <w:rPr>
          <w:rFonts w:hint="eastAsia"/>
        </w:rPr>
        <w:t xml:space="preserve"> mixture of oil and water is </w:t>
      </w:r>
      <w:r w:rsidRPr="00B33055">
        <w:t xml:space="preserve">injected in new SWCTT </w:t>
      </w:r>
      <w:r w:rsidRPr="00B33055">
        <w:rPr>
          <w:rFonts w:hint="eastAsia"/>
        </w:rPr>
        <w:t xml:space="preserve">instead of </w:t>
      </w:r>
      <w:r w:rsidRPr="00B33055">
        <w:t xml:space="preserve">a </w:t>
      </w:r>
      <w:r w:rsidRPr="00B33055">
        <w:rPr>
          <w:rFonts w:hint="eastAsia"/>
        </w:rPr>
        <w:t xml:space="preserve">pure </w:t>
      </w:r>
      <w:r w:rsidRPr="00B33055">
        <w:t>aqueous phase solution</w:t>
      </w:r>
      <w:r w:rsidRPr="00B33055">
        <w:rPr>
          <w:rFonts w:hint="eastAsia"/>
        </w:rPr>
        <w:t>.</w:t>
      </w:r>
      <w:r w:rsidRPr="00B33055">
        <w:t xml:space="preserve"> I</w:t>
      </w:r>
      <w:r w:rsidRPr="00B33055">
        <w:rPr>
          <w:rFonts w:hint="eastAsia"/>
        </w:rPr>
        <w:t xml:space="preserve">n addition, </w:t>
      </w:r>
      <w:r w:rsidRPr="00B33055">
        <w:t xml:space="preserve">when developing the modification of MoM, </w:t>
      </w:r>
      <w:r w:rsidRPr="00B33055">
        <w:rPr>
          <w:rFonts w:hint="eastAsia"/>
        </w:rPr>
        <w:t xml:space="preserve">a </w:t>
      </w:r>
      <w:r w:rsidRPr="00B33055">
        <w:t xml:space="preserve">ratio </w:t>
      </w:r>
      <w:r w:rsidRPr="00B33055">
        <w:rPr>
          <w:rFonts w:hint="eastAsia"/>
        </w:rPr>
        <w:t xml:space="preserve">parameter is introduced to </w:t>
      </w:r>
      <w:r w:rsidRPr="00B33055">
        <w:t>adjust</w:t>
      </w:r>
      <w:r w:rsidRPr="00B33055">
        <w:rPr>
          <w:rFonts w:hint="eastAsia"/>
        </w:rPr>
        <w:t xml:space="preserve"> the swept </w:t>
      </w:r>
      <w:r w:rsidRPr="00B33055">
        <w:t xml:space="preserve">water </w:t>
      </w:r>
      <w:r w:rsidRPr="00B33055">
        <w:rPr>
          <w:rFonts w:hint="eastAsia"/>
        </w:rPr>
        <w:t xml:space="preserve">volume difference </w:t>
      </w:r>
      <w:r w:rsidRPr="00B33055">
        <w:t>between</w:t>
      </w:r>
      <w:r w:rsidRPr="00B33055">
        <w:rPr>
          <w:rFonts w:hint="eastAsia"/>
        </w:rPr>
        <w:t xml:space="preserve"> </w:t>
      </w:r>
      <w:r w:rsidR="0099305F">
        <w:t xml:space="preserve">the </w:t>
      </w:r>
      <w:r w:rsidRPr="00B33055">
        <w:t>primary</w:t>
      </w:r>
      <w:r w:rsidRPr="00B33055">
        <w:rPr>
          <w:rFonts w:hint="eastAsia"/>
        </w:rPr>
        <w:t xml:space="preserve"> tracer and</w:t>
      </w:r>
      <w:r w:rsidR="0099305F">
        <w:t xml:space="preserve"> the</w:t>
      </w:r>
      <w:r w:rsidRPr="00B33055">
        <w:rPr>
          <w:rFonts w:hint="eastAsia"/>
        </w:rPr>
        <w:t xml:space="preserve"> </w:t>
      </w:r>
      <w:r w:rsidRPr="00B33055">
        <w:t>secondary</w:t>
      </w:r>
      <w:r w:rsidRPr="00B33055">
        <w:rPr>
          <w:rFonts w:hint="eastAsia"/>
        </w:rPr>
        <w:t xml:space="preserve"> tracer. Using this new scheme</w:t>
      </w:r>
      <w:r w:rsidRPr="00B33055">
        <w:t xml:space="preserve"> of SWCTT and interpretation approach</w:t>
      </w:r>
      <w:r w:rsidRPr="00B33055">
        <w:rPr>
          <w:rFonts w:hint="eastAsia"/>
        </w:rPr>
        <w:t>, saturations of two mobile phases c</w:t>
      </w:r>
      <w:r w:rsidRPr="00B33055">
        <w:t>an</w:t>
      </w:r>
      <w:r w:rsidRPr="00B33055">
        <w:rPr>
          <w:rFonts w:hint="eastAsia"/>
        </w:rPr>
        <w:t xml:space="preserve"> be determined.</w:t>
      </w:r>
    </w:p>
    <w:p w14:paraId="3ADC7951" w14:textId="7A4B989C" w:rsidR="00C0733A" w:rsidRDefault="00D4101A" w:rsidP="00C0733A">
      <w:pPr>
        <w:pStyle w:val="Heading2"/>
      </w:pPr>
      <w:bookmarkStart w:id="25" w:name="_Toc494014193"/>
      <w:r>
        <w:t>Modified SWCTT and MoM</w:t>
      </w:r>
      <w:bookmarkEnd w:id="25"/>
    </w:p>
    <w:p w14:paraId="3726F723" w14:textId="77777777" w:rsidR="00C0733A" w:rsidRDefault="00C0733A" w:rsidP="009C12AD">
      <w:pPr>
        <w:pStyle w:val="Heading3"/>
      </w:pPr>
      <w:bookmarkStart w:id="26" w:name="_Toc491875866"/>
      <w:bookmarkStart w:id="27" w:name="_Toc491876425"/>
      <w:bookmarkStart w:id="28" w:name="_Toc494014194"/>
      <w:r>
        <w:t>Modified Procedure of SWCTT</w:t>
      </w:r>
      <w:bookmarkEnd w:id="26"/>
      <w:bookmarkEnd w:id="27"/>
      <w:bookmarkEnd w:id="28"/>
    </w:p>
    <w:p w14:paraId="6CE3C3F7" w14:textId="16C0BACD" w:rsidR="00C0733A" w:rsidRPr="00B33055" w:rsidRDefault="00C0733A" w:rsidP="00C0733A">
      <w:r w:rsidRPr="00B33055">
        <w:t xml:space="preserve">For the oil-water reservoir with two mobile phases, conventional SWCTT will displace the oil far into the formation and the water saturation near the wellbore can be attained from fractional flow theory </w:t>
      </w:r>
      <w:r w:rsidRPr="00B33055">
        <w:rPr>
          <w:noProof/>
        </w:rPr>
        <w:t>(</w:t>
      </w:r>
      <w:hyperlink w:anchor="_ENREF_2" w:tooltip="Buckley, 1942 #128" w:history="1">
        <w:r w:rsidRPr="00B33055">
          <w:rPr>
            <w:noProof/>
          </w:rPr>
          <w:t>Buckley and Leverett 1942</w:t>
        </w:r>
      </w:hyperlink>
      <w:r w:rsidRPr="00B33055">
        <w:rPr>
          <w:noProof/>
        </w:rPr>
        <w:t>)</w:t>
      </w:r>
      <w:r w:rsidRPr="00B33055">
        <w:t xml:space="preserve">. As the result, the reservoir volume contacted by the tracer would have average oil saturation different from the initial oil saturation. Therefore, to maintain the initial saturation during the tracer test, a new modified SWCTT procedure </w:t>
      </w:r>
      <w:r w:rsidR="00B721FC">
        <w:t xml:space="preserve">is proposed </w:t>
      </w:r>
      <w:r w:rsidRPr="00B33055">
        <w:t>as follows:</w:t>
      </w:r>
    </w:p>
    <w:p w14:paraId="78E1DB28" w14:textId="77777777" w:rsidR="00C0733A" w:rsidRPr="00B33055" w:rsidRDefault="00C0733A" w:rsidP="00295701">
      <w:pPr>
        <w:pStyle w:val="ListParagraph"/>
        <w:numPr>
          <w:ilvl w:val="0"/>
          <w:numId w:val="3"/>
        </w:numPr>
        <w:ind w:left="720"/>
      </w:pPr>
      <w:r w:rsidRPr="00B33055">
        <w:t xml:space="preserve">Get the oil/water rate ratio from the production data when the production is stable.  </w:t>
      </w:r>
    </w:p>
    <w:p w14:paraId="0BA17443" w14:textId="77777777" w:rsidR="00C0733A" w:rsidRPr="00B33055" w:rsidRDefault="00C0733A" w:rsidP="00295701">
      <w:pPr>
        <w:pStyle w:val="ListParagraph"/>
        <w:numPr>
          <w:ilvl w:val="0"/>
          <w:numId w:val="3"/>
        </w:numPr>
        <w:ind w:left="720"/>
      </w:pPr>
      <w:r w:rsidRPr="00B33055">
        <w:lastRenderedPageBreak/>
        <w:t>Inject the primary tracer along with a mixture of oil and water at the ratio obtained in the first step. The primary tracer is a partitioning tracer and it will generate a secondary conservative tracer in the aqueous phase. The injected oil and water mixture is preferred to be from the target formation and it can be collected from the production in real practice.</w:t>
      </w:r>
    </w:p>
    <w:p w14:paraId="4BF5E304" w14:textId="77777777" w:rsidR="00C0733A" w:rsidRPr="00B33055" w:rsidRDefault="00C0733A" w:rsidP="00295701">
      <w:pPr>
        <w:pStyle w:val="ListParagraph"/>
        <w:numPr>
          <w:ilvl w:val="0"/>
          <w:numId w:val="3"/>
        </w:numPr>
        <w:ind w:left="720"/>
      </w:pPr>
      <w:r w:rsidRPr="00B33055">
        <w:t xml:space="preserve">Inject pusher: the mixture of oil and water with no partitioning tracer. The ratio of oil and water is kept the same with step 2. This step is to push the partitioning tracer into the reservoir. </w:t>
      </w:r>
    </w:p>
    <w:p w14:paraId="3312DE88" w14:textId="77777777" w:rsidR="00C0733A" w:rsidRPr="00B33055" w:rsidRDefault="00C0733A" w:rsidP="00295701">
      <w:pPr>
        <w:pStyle w:val="ListParagraph"/>
        <w:numPr>
          <w:ilvl w:val="0"/>
          <w:numId w:val="3"/>
        </w:numPr>
        <w:ind w:left="720"/>
      </w:pPr>
      <w:r w:rsidRPr="00B33055">
        <w:t xml:space="preserve">Shut in the well for the partitioning tracer hydrolysis reaction. </w:t>
      </w:r>
    </w:p>
    <w:p w14:paraId="75EFC538" w14:textId="77777777" w:rsidR="00C0733A" w:rsidRPr="00C0733A" w:rsidRDefault="00C0733A" w:rsidP="00295701">
      <w:pPr>
        <w:pStyle w:val="ListParagraph"/>
        <w:numPr>
          <w:ilvl w:val="0"/>
          <w:numId w:val="3"/>
        </w:numPr>
        <w:ind w:left="720"/>
      </w:pPr>
      <w:r w:rsidRPr="00B33055">
        <w:t>Produce back all the tracers at a stable rate and measure the primary tracer concentration in the oil and water mixture accordingly as well as the secondary tracer concentration in water at the surface</w:t>
      </w:r>
    </w:p>
    <w:p w14:paraId="0A6DEFEE" w14:textId="77777777" w:rsidR="00962D1B" w:rsidRDefault="00F52532" w:rsidP="009C12AD">
      <w:pPr>
        <w:pStyle w:val="Heading3"/>
      </w:pPr>
      <w:bookmarkStart w:id="29" w:name="_Toc491875867"/>
      <w:bookmarkStart w:id="30" w:name="_Toc491876426"/>
      <w:bookmarkStart w:id="31" w:name="_Toc494014195"/>
      <w:r>
        <w:t>Movement of Tracers</w:t>
      </w:r>
      <w:bookmarkEnd w:id="29"/>
      <w:bookmarkEnd w:id="30"/>
      <w:bookmarkEnd w:id="31"/>
    </w:p>
    <w:p w14:paraId="369A373B" w14:textId="77777777" w:rsidR="00F52532" w:rsidRPr="00B33055" w:rsidRDefault="00F52532" w:rsidP="00F52532">
      <w:r w:rsidRPr="00B33055">
        <w:t xml:space="preserve">The primary tracer is an ester. Once the ester is injected, it partitions between oil and water, and the partition coefficient, K, is defined below. </w:t>
      </w:r>
    </w:p>
    <w:p w14:paraId="5545ADFF" w14:textId="77777777" w:rsidR="00F52532" w:rsidRPr="00B33055" w:rsidRDefault="00F52532" w:rsidP="00F52532">
      <w:pPr>
        <w:rPr>
          <w:rFonts w:ascii="Cambria Math" w:hAnsi="Cambria Math"/>
        </w:rPr>
      </w:pPr>
      <w:r w:rsidRPr="00B33055">
        <w:rPr>
          <w:rFonts w:ascii="Cambria Math" w:hAnsi="Cambria Math"/>
        </w:rPr>
        <w:t xml:space="preserve"> </w:t>
      </w:r>
      <m:oMath>
        <m:r>
          <m:rPr>
            <m:sty m:val="p"/>
          </m:rPr>
          <w:rPr>
            <w:rFonts w:ascii="Cambria Math" w:hAnsi="Cambria Math"/>
          </w:rPr>
          <m:t>K=</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C</m:t>
                        </m:r>
                      </m:e>
                      <m:sub>
                        <m:r>
                          <m:rPr>
                            <m:sty m:val="p"/>
                          </m:rPr>
                          <w:rPr>
                            <w:rFonts w:ascii="Cambria Math" w:hAnsi="Cambria Math"/>
                          </w:rPr>
                          <m:t>ester,o</m:t>
                        </m:r>
                      </m:sub>
                    </m:sSub>
                  </m:num>
                  <m:den>
                    <m:sSub>
                      <m:sSubPr>
                        <m:ctrlPr>
                          <w:rPr>
                            <w:rFonts w:ascii="Cambria Math" w:hAnsi="Cambria Math"/>
                          </w:rPr>
                        </m:ctrlPr>
                      </m:sSubPr>
                      <m:e>
                        <m:r>
                          <m:rPr>
                            <m:sty m:val="p"/>
                          </m:rPr>
                          <w:rPr>
                            <w:rFonts w:ascii="Cambria Math" w:hAnsi="Cambria Math"/>
                          </w:rPr>
                          <m:t>C</m:t>
                        </m:r>
                      </m:e>
                      <m:sub>
                        <m:r>
                          <m:rPr>
                            <m:sty m:val="p"/>
                          </m:rPr>
                          <w:rPr>
                            <w:rFonts w:ascii="Cambria Math" w:hAnsi="Cambria Math"/>
                          </w:rPr>
                          <m:t>ester,w</m:t>
                        </m:r>
                      </m:sub>
                    </m:sSub>
                  </m:den>
                </m:f>
              </m:e>
            </m:d>
          </m:e>
          <m:sub>
            <m:r>
              <m:rPr>
                <m:sty m:val="p"/>
              </m:rPr>
              <w:rPr>
                <w:rFonts w:ascii="Cambria Math" w:hAnsi="Cambria Math"/>
              </w:rPr>
              <m:t>eq</m:t>
            </m:r>
          </m:sub>
        </m:sSub>
      </m:oMath>
      <w:r w:rsidRPr="00B33055">
        <w:rPr>
          <w:rFonts w:ascii="Cambria Math" w:hAnsi="Cambria Math"/>
        </w:rPr>
        <w:tab/>
        <w:t>(</w:t>
      </w:r>
      <w:r w:rsidR="006B074D">
        <w:rPr>
          <w:rFonts w:ascii="Cambria Math" w:hAnsi="Cambria Math"/>
        </w:rPr>
        <w:t>2-</w:t>
      </w:r>
      <w:r w:rsidRPr="00B33055">
        <w:rPr>
          <w:rFonts w:ascii="Cambria Math" w:hAnsi="Cambria Math"/>
        </w:rPr>
        <w:t>1)</w:t>
      </w:r>
    </w:p>
    <w:p w14:paraId="6D30E820" w14:textId="77777777" w:rsidR="00F52532" w:rsidRPr="00B33055" w:rsidRDefault="00F52532" w:rsidP="00F52532">
      <w:r w:rsidRPr="00B33055">
        <w:t>The ester is travelling at a weighted average velocity,</w:t>
      </w:r>
      <m:oMath>
        <m:sSub>
          <m:sSubPr>
            <m:ctrlPr>
              <w:rPr>
                <w:rFonts w:ascii="Cambria Math" w:hAnsi="Cambria Math"/>
              </w:rPr>
            </m:ctrlPr>
          </m:sSubPr>
          <m:e>
            <m:r>
              <m:rPr>
                <m:sty m:val="p"/>
              </m:rPr>
              <w:rPr>
                <w:rFonts w:ascii="Cambria Math" w:hAnsi="Cambria Math"/>
              </w:rPr>
              <m:t xml:space="preserve"> </m:t>
            </m:r>
            <m:r>
              <w:rPr>
                <w:rFonts w:ascii="Cambria Math" w:hAnsi="Cambria Math"/>
              </w:rPr>
              <m:t>V</m:t>
            </m:r>
          </m:e>
          <m:sub>
            <m:r>
              <w:rPr>
                <w:rFonts w:ascii="Cambria Math" w:hAnsi="Cambria Math"/>
              </w:rPr>
              <m:t>ester</m:t>
            </m:r>
          </m:sub>
        </m:sSub>
      </m:oMath>
      <w:r w:rsidRPr="00B33055">
        <w:t xml:space="preserve">, determined by the velocities of oil, </w:t>
      </w:r>
      <m:oMath>
        <m:sSub>
          <m:sSubPr>
            <m:ctrlPr>
              <w:rPr>
                <w:rFonts w:ascii="Cambria Math" w:hAnsi="Cambria Math"/>
              </w:rPr>
            </m:ctrlPr>
          </m:sSubPr>
          <m:e>
            <m:r>
              <w:rPr>
                <w:rFonts w:ascii="Cambria Math" w:hAnsi="Cambria Math"/>
              </w:rPr>
              <m:t>V</m:t>
            </m:r>
          </m:e>
          <m:sub>
            <m:r>
              <w:rPr>
                <w:rFonts w:ascii="Cambria Math" w:hAnsi="Cambria Math"/>
              </w:rPr>
              <m:t>o</m:t>
            </m:r>
          </m:sub>
        </m:sSub>
      </m:oMath>
      <w:r w:rsidRPr="00B33055">
        <w:t xml:space="preserve">, and water, </w:t>
      </w:r>
      <m:oMath>
        <m:sSub>
          <m:sSubPr>
            <m:ctrlPr>
              <w:rPr>
                <w:rFonts w:ascii="Cambria Math" w:hAnsi="Cambria Math"/>
              </w:rPr>
            </m:ctrlPr>
          </m:sSubPr>
          <m:e>
            <m:r>
              <w:rPr>
                <w:rFonts w:ascii="Cambria Math" w:hAnsi="Cambria Math"/>
              </w:rPr>
              <m:t>V</m:t>
            </m:r>
          </m:e>
          <m:sub>
            <m:r>
              <w:rPr>
                <w:rFonts w:ascii="Cambria Math" w:hAnsi="Cambria Math"/>
              </w:rPr>
              <m:t>w</m:t>
            </m:r>
          </m:sub>
        </m:sSub>
      </m:oMath>
      <w:r w:rsidRPr="00B33055">
        <w:t xml:space="preserve">, since it partitions into both phases </w:t>
      </w:r>
      <w:r w:rsidRPr="00B33055">
        <w:rPr>
          <w:noProof/>
        </w:rPr>
        <w:t>(</w:t>
      </w:r>
      <w:hyperlink w:anchor="_ENREF_2" w:tooltip="Deans, 1988 #141" w:history="1">
        <w:r w:rsidRPr="00B33055">
          <w:rPr>
            <w:noProof/>
          </w:rPr>
          <w:t>Deans and Carlisle 1988</w:t>
        </w:r>
      </w:hyperlink>
      <w:r w:rsidRPr="00B33055">
        <w:rPr>
          <w:noProof/>
        </w:rPr>
        <w:t>)</w:t>
      </w:r>
      <w:r w:rsidRPr="00B33055">
        <w:t>:</w:t>
      </w:r>
    </w:p>
    <w:p w14:paraId="08460153" w14:textId="77777777" w:rsidR="00F52532" w:rsidRPr="00B33055" w:rsidRDefault="00F52532" w:rsidP="00F52532">
      <w:pPr>
        <w:rPr>
          <w:rFonts w:ascii="Cambria Math" w:hAnsi="Cambria Math"/>
        </w:rPr>
      </w:pPr>
      <w:r w:rsidRPr="00B33055">
        <w:rPr>
          <w:rFonts w:ascii="Cambria Math" w:hAnsi="Cambria Math"/>
        </w:rPr>
        <w:t xml:space="preserve"> </w:t>
      </w: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ester</m:t>
            </m:r>
          </m:sub>
        </m:sSub>
        <m:r>
          <m:rPr>
            <m:sty m:val="p"/>
          </m:rPr>
          <w:rPr>
            <w:rFonts w:ascii="Cambria Math" w:hAnsi="Cambria Math"/>
          </w:rPr>
          <m:t>=f</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w</m:t>
            </m:r>
          </m:sub>
        </m:sSub>
        <m:r>
          <m:rPr>
            <m:sty m:val="p"/>
          </m:rPr>
          <w:rPr>
            <w:rFonts w:ascii="Cambria Math" w:hAnsi="Cambria Math"/>
          </w:rPr>
          <m:t>+</m:t>
        </m:r>
        <m:d>
          <m:dPr>
            <m:ctrlPr>
              <w:rPr>
                <w:rFonts w:ascii="Cambria Math" w:hAnsi="Cambria Math"/>
              </w:rPr>
            </m:ctrlPr>
          </m:dPr>
          <m:e>
            <m:r>
              <m:rPr>
                <m:sty m:val="p"/>
              </m:rPr>
              <w:rPr>
                <w:rFonts w:ascii="Cambria Math" w:hAnsi="Cambria Math"/>
              </w:rPr>
              <m:t>1-f</m:t>
            </m:r>
          </m:e>
        </m:d>
        <m:sSub>
          <m:sSubPr>
            <m:ctrlPr>
              <w:rPr>
                <w:rFonts w:ascii="Cambria Math" w:hAnsi="Cambria Math"/>
              </w:rPr>
            </m:ctrlPr>
          </m:sSubPr>
          <m:e>
            <m:r>
              <m:rPr>
                <m:sty m:val="p"/>
              </m:rPr>
              <w:rPr>
                <w:rFonts w:ascii="Cambria Math" w:hAnsi="Cambria Math"/>
              </w:rPr>
              <m:t>V</m:t>
            </m:r>
          </m:e>
          <m:sub>
            <m:r>
              <m:rPr>
                <m:sty m:val="p"/>
              </m:rPr>
              <w:rPr>
                <w:rFonts w:ascii="Cambria Math" w:hAnsi="Cambria Math"/>
              </w:rPr>
              <m:t>o</m:t>
            </m:r>
          </m:sub>
        </m:sSub>
      </m:oMath>
      <w:r w:rsidRPr="00B33055">
        <w:rPr>
          <w:rFonts w:ascii="Cambria Math" w:hAnsi="Cambria Math"/>
        </w:rPr>
        <w:tab/>
        <w:t>(2</w:t>
      </w:r>
      <w:r w:rsidR="006B074D">
        <w:rPr>
          <w:rFonts w:ascii="Cambria Math" w:hAnsi="Cambria Math"/>
        </w:rPr>
        <w:t>-</w:t>
      </w:r>
      <w:r>
        <w:rPr>
          <w:rFonts w:ascii="Cambria Math" w:hAnsi="Cambria Math"/>
        </w:rPr>
        <w:t>2</w:t>
      </w:r>
      <w:r w:rsidRPr="00B33055">
        <w:rPr>
          <w:rFonts w:ascii="Cambria Math" w:hAnsi="Cambria Math"/>
        </w:rPr>
        <w:t>)</w:t>
      </w:r>
    </w:p>
    <w:p w14:paraId="00AD7DA3" w14:textId="77777777" w:rsidR="00F52532" w:rsidRPr="00B33055" w:rsidRDefault="00F52532" w:rsidP="00F52532">
      <w:r w:rsidRPr="00B33055">
        <w:t xml:space="preserve">Where </w:t>
      </w:r>
      <m:oMath>
        <m:r>
          <w:rPr>
            <w:rFonts w:ascii="Cambria Math" w:hAnsi="Cambria Math"/>
          </w:rPr>
          <m:t>f</m:t>
        </m:r>
        <m:r>
          <m:rPr>
            <m:sty m:val="p"/>
          </m:rPr>
          <w:rPr>
            <w:rFonts w:ascii="Cambria Math" w:hAnsi="Cambria Math"/>
          </w:rPr>
          <m:t xml:space="preserve"> </m:t>
        </m:r>
      </m:oMath>
      <w:r w:rsidRPr="00B33055">
        <w:t>is the fraction of time that ester spends in water with expression (</w:t>
      </w:r>
      <w:hyperlink w:anchor="_ENREF_2" w:tooltip="Deans, 1988 #141" w:history="1">
        <w:r w:rsidRPr="00B33055">
          <w:t>Deans and Carlisle 1988</w:t>
        </w:r>
      </w:hyperlink>
      <w:r w:rsidRPr="00B33055">
        <w:t>):</w:t>
      </w:r>
    </w:p>
    <w:p w14:paraId="1AB97756" w14:textId="77777777" w:rsidR="00F52532" w:rsidRPr="00B33055" w:rsidRDefault="00F52532" w:rsidP="00F52532">
      <w:pPr>
        <w:rPr>
          <w:rFonts w:ascii="Cambria Math" w:hAnsi="Cambria Math"/>
        </w:rPr>
      </w:pPr>
      <m:oMath>
        <m:r>
          <m:rPr>
            <m:sty m:val="p"/>
          </m:rPr>
          <w:rPr>
            <w:rFonts w:ascii="Cambria Math" w:hAnsi="Cambria Math"/>
          </w:rPr>
          <m:t>f=</m:t>
        </m:r>
        <m:f>
          <m:fPr>
            <m:ctrlPr>
              <w:rPr>
                <w:rFonts w:ascii="Cambria Math" w:hAnsi="Cambria Math"/>
              </w:rPr>
            </m:ctrlPr>
          </m:fPr>
          <m:num>
            <m:r>
              <m:rPr>
                <m:sty m:val="p"/>
              </m:rPr>
              <w:rPr>
                <w:rFonts w:ascii="Cambria Math" w:hAnsi="Cambria Math"/>
              </w:rPr>
              <m:t>1</m:t>
            </m:r>
          </m:num>
          <m:den>
            <m:r>
              <m:rPr>
                <m:sty m:val="p"/>
              </m:rPr>
              <w:rPr>
                <w:rFonts w:ascii="Cambria Math" w:hAnsi="Cambria Math"/>
              </w:rPr>
              <m:t>1+K</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o</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w</m:t>
                </m:r>
              </m:sub>
            </m:sSub>
          </m:den>
        </m:f>
      </m:oMath>
      <w:r w:rsidRPr="00B33055">
        <w:rPr>
          <w:rFonts w:ascii="Cambria Math" w:hAnsi="Cambria Math"/>
        </w:rPr>
        <w:tab/>
        <w:t>(</w:t>
      </w:r>
      <w:r w:rsidR="006B074D">
        <w:rPr>
          <w:rFonts w:ascii="Cambria Math" w:hAnsi="Cambria Math"/>
        </w:rPr>
        <w:t>2-</w:t>
      </w:r>
      <w:r w:rsidRPr="00B33055">
        <w:rPr>
          <w:rFonts w:ascii="Cambria Math" w:hAnsi="Cambria Math"/>
        </w:rPr>
        <w:t>3)</w:t>
      </w:r>
    </w:p>
    <w:p w14:paraId="5823DCA8" w14:textId="77777777" w:rsidR="00F52532" w:rsidRPr="00B33055" w:rsidRDefault="00F52532" w:rsidP="00F52532">
      <w:r w:rsidRPr="00B33055">
        <w:lastRenderedPageBreak/>
        <w:t xml:space="preserve">Where </w:t>
      </w:r>
      <m:oMath>
        <m:sSub>
          <m:sSubPr>
            <m:ctrlPr>
              <w:rPr>
                <w:rFonts w:ascii="Cambria Math" w:hAnsi="Cambria Math"/>
              </w:rPr>
            </m:ctrlPr>
          </m:sSubPr>
          <m:e>
            <m:r>
              <w:rPr>
                <w:rFonts w:ascii="Cambria Math" w:hAnsi="Cambria Math"/>
              </w:rPr>
              <m:t>S</m:t>
            </m:r>
          </m:e>
          <m:sub>
            <m:r>
              <w:rPr>
                <w:rFonts w:ascii="Cambria Math" w:hAnsi="Cambria Math"/>
              </w:rPr>
              <m:t>o</m:t>
            </m:r>
          </m:sub>
        </m:sSub>
      </m:oMath>
      <w:r w:rsidRPr="00B33055">
        <w:t xml:space="preserve"> and </w:t>
      </w:r>
      <m:oMath>
        <m:sSub>
          <m:sSubPr>
            <m:ctrlPr>
              <w:rPr>
                <w:rFonts w:ascii="Cambria Math" w:hAnsi="Cambria Math"/>
              </w:rPr>
            </m:ctrlPr>
          </m:sSubPr>
          <m:e>
            <m:r>
              <w:rPr>
                <w:rFonts w:ascii="Cambria Math" w:hAnsi="Cambria Math"/>
              </w:rPr>
              <m:t>S</m:t>
            </m:r>
          </m:e>
          <m:sub>
            <m:r>
              <w:rPr>
                <w:rFonts w:ascii="Cambria Math" w:hAnsi="Cambria Math"/>
              </w:rPr>
              <m:t>w</m:t>
            </m:r>
          </m:sub>
        </m:sSub>
      </m:oMath>
      <w:r w:rsidRPr="00B33055">
        <w:t xml:space="preserve"> stand for oil and water saturation respectively.</w:t>
      </w:r>
    </w:p>
    <w:p w14:paraId="72D50A22" w14:textId="13671AF7" w:rsidR="00F52532" w:rsidRPr="00B33055" w:rsidRDefault="00F52532" w:rsidP="00F52532">
      <w:r w:rsidRPr="00B33055">
        <w:t>To achieve a better result, the partition coefficient should be constrained within the optimum range (</w:t>
      </w:r>
      <w:r w:rsidRPr="00B33055">
        <w:rPr>
          <w:noProof/>
        </w:rPr>
        <w:t>(</w:t>
      </w:r>
      <w:hyperlink w:anchor="_ENREF_3" w:tooltip="Deans, 1980 #157" w:history="1">
        <w:r w:rsidRPr="00B33055">
          <w:rPr>
            <w:noProof/>
          </w:rPr>
          <w:t>Deans and Majoros 1980</w:t>
        </w:r>
      </w:hyperlink>
      <w:r w:rsidR="00B721FC">
        <w:rPr>
          <w:noProof/>
        </w:rPr>
        <w:t>)</w:t>
      </w:r>
      <w:r w:rsidRPr="00B33055">
        <w:t>:</w:t>
      </w:r>
    </w:p>
    <w:p w14:paraId="71F2AE7D" w14:textId="77777777" w:rsidR="00F52532" w:rsidRPr="00B33055" w:rsidRDefault="00F52532" w:rsidP="00F52532">
      <w:pPr>
        <w:rPr>
          <w:rFonts w:ascii="Cambria Math" w:hAnsi="Cambria Math"/>
        </w:rPr>
      </w:pPr>
      <m:oMath>
        <m:r>
          <m:rPr>
            <m:sty m:val="p"/>
          </m:rPr>
          <w:rPr>
            <w:rFonts w:ascii="Cambria Math" w:hAnsi="Cambria Math"/>
          </w:rPr>
          <m:t>0.5∙</m:t>
        </m:r>
        <m:f>
          <m:fPr>
            <m:ctrlPr>
              <w:rPr>
                <w:rFonts w:ascii="Cambria Math" w:hAnsi="Cambria Math"/>
              </w:rPr>
            </m:ctrlPr>
          </m:fPr>
          <m:num>
            <m:d>
              <m:dPr>
                <m:ctrlPr>
                  <w:rPr>
                    <w:rFonts w:ascii="Cambria Math" w:hAnsi="Cambria Math"/>
                  </w:rPr>
                </m:ctrlPr>
              </m:dPr>
              <m:e>
                <m:r>
                  <m:rPr>
                    <m:sty m:val="p"/>
                  </m:rPr>
                  <w:rPr>
                    <w:rFonts w:ascii="Cambria Math" w:hAnsi="Cambria Math"/>
                  </w:rPr>
                  <m:t>1-</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or</m:t>
                    </m:r>
                  </m:sub>
                </m:sSub>
              </m:e>
            </m:d>
          </m:num>
          <m:den>
            <m:sSub>
              <m:sSubPr>
                <m:ctrlPr>
                  <w:rPr>
                    <w:rFonts w:ascii="Cambria Math" w:hAnsi="Cambria Math"/>
                  </w:rPr>
                </m:ctrlPr>
              </m:sSubPr>
              <m:e>
                <m:r>
                  <m:rPr>
                    <m:sty m:val="p"/>
                  </m:rPr>
                  <w:rPr>
                    <w:rFonts w:ascii="Cambria Math" w:hAnsi="Cambria Math"/>
                  </w:rPr>
                  <m:t>S</m:t>
                </m:r>
              </m:e>
              <m:sub>
                <m:r>
                  <m:rPr>
                    <m:sty m:val="p"/>
                  </m:rPr>
                  <w:rPr>
                    <w:rFonts w:ascii="Cambria Math" w:hAnsi="Cambria Math"/>
                  </w:rPr>
                  <m:t>or</m:t>
                </m:r>
              </m:sub>
            </m:sSub>
          </m:den>
        </m:f>
        <m:r>
          <m:rPr>
            <m:sty m:val="p"/>
          </m:rPr>
          <w:rPr>
            <w:rFonts w:ascii="Cambria Math" w:hAnsi="Cambria Math"/>
          </w:rPr>
          <m:t>&lt;K&lt;1.5∙</m:t>
        </m:r>
        <m:f>
          <m:fPr>
            <m:ctrlPr>
              <w:rPr>
                <w:rFonts w:ascii="Cambria Math" w:hAnsi="Cambria Math"/>
              </w:rPr>
            </m:ctrlPr>
          </m:fPr>
          <m:num>
            <m:d>
              <m:dPr>
                <m:ctrlPr>
                  <w:rPr>
                    <w:rFonts w:ascii="Cambria Math" w:hAnsi="Cambria Math"/>
                  </w:rPr>
                </m:ctrlPr>
              </m:dPr>
              <m:e>
                <m:r>
                  <m:rPr>
                    <m:sty m:val="p"/>
                  </m:rPr>
                  <w:rPr>
                    <w:rFonts w:ascii="Cambria Math" w:hAnsi="Cambria Math"/>
                  </w:rPr>
                  <m:t>1-</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or</m:t>
                    </m:r>
                  </m:sub>
                </m:sSub>
              </m:e>
            </m:d>
          </m:num>
          <m:den>
            <m:sSub>
              <m:sSubPr>
                <m:ctrlPr>
                  <w:rPr>
                    <w:rFonts w:ascii="Cambria Math" w:hAnsi="Cambria Math"/>
                  </w:rPr>
                </m:ctrlPr>
              </m:sSubPr>
              <m:e>
                <m:r>
                  <m:rPr>
                    <m:sty m:val="p"/>
                  </m:rPr>
                  <w:rPr>
                    <w:rFonts w:ascii="Cambria Math" w:hAnsi="Cambria Math"/>
                  </w:rPr>
                  <m:t>S</m:t>
                </m:r>
              </m:e>
              <m:sub>
                <m:r>
                  <m:rPr>
                    <m:sty m:val="p"/>
                  </m:rPr>
                  <w:rPr>
                    <w:rFonts w:ascii="Cambria Math" w:hAnsi="Cambria Math"/>
                  </w:rPr>
                  <m:t>or</m:t>
                </m:r>
              </m:sub>
            </m:sSub>
          </m:den>
        </m:f>
      </m:oMath>
      <w:r w:rsidRPr="00B33055">
        <w:rPr>
          <w:rFonts w:ascii="Cambria Math" w:hAnsi="Cambria Math"/>
        </w:rPr>
        <w:tab/>
        <w:t>(</w:t>
      </w:r>
      <w:r w:rsidR="006B074D">
        <w:rPr>
          <w:rFonts w:ascii="Cambria Math" w:hAnsi="Cambria Math"/>
        </w:rPr>
        <w:t>2-</w:t>
      </w:r>
      <w:r w:rsidRPr="00B33055">
        <w:rPr>
          <w:rFonts w:ascii="Cambria Math" w:hAnsi="Cambria Math"/>
        </w:rPr>
        <w:t>4)</w:t>
      </w:r>
    </w:p>
    <w:p w14:paraId="061CE03C" w14:textId="77777777" w:rsidR="00F52532" w:rsidRPr="00B33055" w:rsidRDefault="00F52532" w:rsidP="00F52532">
      <w:r w:rsidRPr="00B33055">
        <w:t xml:space="preserve">If residual oil saturation varies from 0.2 to 0.5, for example, the partition coefficient used in SWCTT should be within the range of 0.5-6 based on Eq. </w:t>
      </w:r>
      <w:r w:rsidR="006B074D">
        <w:t>2-</w:t>
      </w:r>
      <w:r w:rsidRPr="00B33055">
        <w:t>4. The secondary tracer is alcohol as the result of ester hydrolysis and is solely soluble in water. Thus, it travels with the velocity of water. Alcohol doesn’t occur naturally and is conservative in most reservoirs. These characteristics of alcohol make the measurement of oil saturation feasible. Acid is the other product of ester hydrolysis reaction. However, it might be consumed by other existing components in formation and might not be produced back (</w:t>
      </w:r>
      <w:hyperlink w:anchor="_ENREF_7" w:tooltip="Deans, 1988 #141" w:history="1">
        <w:r w:rsidRPr="00B33055">
          <w:t>Deans and Carlisle 1988</w:t>
        </w:r>
      </w:hyperlink>
      <w:r w:rsidRPr="00B33055">
        <w:t>).</w:t>
      </w:r>
    </w:p>
    <w:p w14:paraId="1CD303CA" w14:textId="47BD359B" w:rsidR="00F52532" w:rsidRPr="00B33055" w:rsidRDefault="008874BD" w:rsidP="00F52532">
      <w:r>
        <w:fldChar w:fldCharType="begin"/>
      </w:r>
      <w:r>
        <w:instrText xml:space="preserve"> REF _Ref491870416 \h </w:instrText>
      </w:r>
      <w:r>
        <w:fldChar w:fldCharType="separate"/>
      </w:r>
      <w:r w:rsidR="00304B8E" w:rsidRPr="00541084">
        <w:rPr>
          <w:szCs w:val="22"/>
        </w:rPr>
        <w:t xml:space="preserve">Figure </w:t>
      </w:r>
      <w:r w:rsidR="00304B8E">
        <w:rPr>
          <w:noProof/>
          <w:szCs w:val="22"/>
        </w:rPr>
        <w:t>2</w:t>
      </w:r>
      <w:r w:rsidR="00304B8E">
        <w:rPr>
          <w:szCs w:val="22"/>
        </w:rPr>
        <w:noBreakHyphen/>
      </w:r>
      <w:r w:rsidR="00304B8E">
        <w:rPr>
          <w:noProof/>
          <w:szCs w:val="22"/>
        </w:rPr>
        <w:t>2</w:t>
      </w:r>
      <w:r>
        <w:fldChar w:fldCharType="end"/>
      </w:r>
      <w:r>
        <w:t xml:space="preserve"> </w:t>
      </w:r>
      <w:r w:rsidR="00F52532" w:rsidRPr="00B33055">
        <w:t xml:space="preserve">is the tracer concentration profile at the end of the injection of the pusher. Because the hydrolysis reaction starts simultaneously when the ester is injected, there </w:t>
      </w:r>
      <w:r w:rsidR="006715E5" w:rsidRPr="00B33055">
        <w:t>w</w:t>
      </w:r>
      <w:r w:rsidR="006715E5">
        <w:t>ould</w:t>
      </w:r>
      <w:r w:rsidR="006715E5" w:rsidRPr="00B33055">
        <w:t xml:space="preserve"> </w:t>
      </w:r>
      <w:r w:rsidR="00F52532" w:rsidRPr="00B33055">
        <w:t xml:space="preserve">be a small amount of alcohol being </w:t>
      </w:r>
      <w:r w:rsidR="006715E5">
        <w:t>generated</w:t>
      </w:r>
      <w:r w:rsidR="006715E5" w:rsidRPr="00B33055">
        <w:t xml:space="preserve"> </w:t>
      </w:r>
      <w:r w:rsidR="00F52532" w:rsidRPr="00B33055">
        <w:t xml:space="preserve">during </w:t>
      </w:r>
      <w:r w:rsidR="006715E5">
        <w:t xml:space="preserve">the </w:t>
      </w:r>
      <w:r w:rsidR="00F52532" w:rsidRPr="00B33055">
        <w:t>injection step. This figure shows that water saturation is greater than oil saturation and water mobility is assumed to be higher. Consequently, water moves</w:t>
      </w:r>
      <w:r w:rsidR="006B074D">
        <w:t xml:space="preserve"> faster than oil. Based on Eq. 2-2</w:t>
      </w:r>
      <w:r w:rsidR="00F52532" w:rsidRPr="00B33055">
        <w:t xml:space="preserve"> and Eq. </w:t>
      </w:r>
      <w:r w:rsidR="006B074D">
        <w:t>2-</w:t>
      </w:r>
      <w:r w:rsidR="00F52532" w:rsidRPr="00B33055">
        <w:t xml:space="preserve">3, </w:t>
      </w:r>
      <w:r w:rsidR="006715E5">
        <w:t>Ester is retarded because of its partition, and it needs to travel back and forth between the oleic phase and aqueous phase.</w:t>
      </w:r>
    </w:p>
    <w:p w14:paraId="66451361" w14:textId="7A7FF03F" w:rsidR="00F52532" w:rsidRPr="00B33055" w:rsidRDefault="008874BD" w:rsidP="00F52532">
      <w:r>
        <w:fldChar w:fldCharType="begin"/>
      </w:r>
      <w:r>
        <w:instrText xml:space="preserve"> REF _Ref491870432 \h </w:instrText>
      </w:r>
      <w:r>
        <w:fldChar w:fldCharType="separate"/>
      </w:r>
      <w:r w:rsidR="00304B8E" w:rsidRPr="00541084">
        <w:rPr>
          <w:szCs w:val="22"/>
        </w:rPr>
        <w:t xml:space="preserve">Figure </w:t>
      </w:r>
      <w:r w:rsidR="00304B8E">
        <w:rPr>
          <w:noProof/>
          <w:szCs w:val="22"/>
        </w:rPr>
        <w:t>2</w:t>
      </w:r>
      <w:r w:rsidR="00304B8E">
        <w:rPr>
          <w:szCs w:val="22"/>
        </w:rPr>
        <w:noBreakHyphen/>
      </w:r>
      <w:r w:rsidR="00304B8E">
        <w:rPr>
          <w:noProof/>
          <w:szCs w:val="22"/>
        </w:rPr>
        <w:t>3</w:t>
      </w:r>
      <w:r>
        <w:fldChar w:fldCharType="end"/>
      </w:r>
      <w:r w:rsidR="00F52532" w:rsidRPr="00B33055">
        <w:t xml:space="preserve"> shows the shut-in period. The shut-in duration should be long enough to allow the ester to react sufficiently, so that the product alcohol should have a concentration peak collapsed with ester in location, as illustrated in </w:t>
      </w:r>
      <w:r>
        <w:fldChar w:fldCharType="begin"/>
      </w:r>
      <w:r>
        <w:instrText xml:space="preserve"> REF _Ref491870436 \h </w:instrText>
      </w:r>
      <w:r>
        <w:fldChar w:fldCharType="separate"/>
      </w:r>
      <w:r w:rsidR="00304B8E" w:rsidRPr="00541084">
        <w:rPr>
          <w:szCs w:val="22"/>
        </w:rPr>
        <w:t xml:space="preserve">Figure </w:t>
      </w:r>
      <w:r w:rsidR="00304B8E">
        <w:rPr>
          <w:noProof/>
          <w:szCs w:val="22"/>
        </w:rPr>
        <w:t>2</w:t>
      </w:r>
      <w:r w:rsidR="00304B8E">
        <w:rPr>
          <w:szCs w:val="22"/>
        </w:rPr>
        <w:noBreakHyphen/>
      </w:r>
      <w:r w:rsidR="00304B8E">
        <w:rPr>
          <w:noProof/>
          <w:szCs w:val="22"/>
        </w:rPr>
        <w:t>5</w:t>
      </w:r>
      <w:r>
        <w:fldChar w:fldCharType="end"/>
      </w:r>
      <w:r w:rsidR="00F52532" w:rsidRPr="00B33055">
        <w:t xml:space="preserve">.  </w:t>
      </w:r>
    </w:p>
    <w:p w14:paraId="03055685" w14:textId="249E40AB" w:rsidR="00F52532" w:rsidRPr="00B33055" w:rsidRDefault="00F52532" w:rsidP="00F52532">
      <w:r w:rsidRPr="00B33055">
        <w:lastRenderedPageBreak/>
        <w:t xml:space="preserve">When the well is open to produce back, the alcohol will flow back faster than ester because of the higher water velocity. At the wellhead, the breakthrough of alcohol would be observed first. The production step is shown in </w:t>
      </w:r>
      <w:r w:rsidR="008874BD">
        <w:fldChar w:fldCharType="begin"/>
      </w:r>
      <w:r w:rsidR="008874BD">
        <w:instrText xml:space="preserve"> REF _Ref491870460 \h </w:instrText>
      </w:r>
      <w:r w:rsidR="008874BD">
        <w:fldChar w:fldCharType="separate"/>
      </w:r>
      <w:r w:rsidR="00304B8E" w:rsidRPr="00541084">
        <w:rPr>
          <w:szCs w:val="22"/>
        </w:rPr>
        <w:t xml:space="preserve">Figure </w:t>
      </w:r>
      <w:r w:rsidR="00304B8E">
        <w:rPr>
          <w:noProof/>
          <w:szCs w:val="22"/>
        </w:rPr>
        <w:t>2</w:t>
      </w:r>
      <w:r w:rsidR="00304B8E">
        <w:rPr>
          <w:szCs w:val="22"/>
        </w:rPr>
        <w:noBreakHyphen/>
      </w:r>
      <w:r w:rsidR="00304B8E">
        <w:rPr>
          <w:noProof/>
          <w:szCs w:val="22"/>
        </w:rPr>
        <w:t>4</w:t>
      </w:r>
      <w:r w:rsidR="008874BD">
        <w:fldChar w:fldCharType="end"/>
      </w:r>
      <w:r w:rsidRPr="00B33055">
        <w:t xml:space="preserve">. </w:t>
      </w:r>
    </w:p>
    <w:p w14:paraId="7ED4DD77" w14:textId="77777777" w:rsidR="00F52532" w:rsidRDefault="00F52532" w:rsidP="00F52532">
      <w:r w:rsidRPr="00B33055">
        <w:t xml:space="preserve">If the oil velocity is higher than water, the relative position of ester and alcohol is reversed. In such a case, ester will travel faster and it will be produced back first as well. The shut-in time still needs to be long enough for the same reason. </w:t>
      </w:r>
    </w:p>
    <w:p w14:paraId="1847D491" w14:textId="77777777" w:rsidR="008874BD" w:rsidRDefault="008874BD" w:rsidP="00FA76D3">
      <w:pPr>
        <w:keepNext/>
        <w:ind w:firstLine="0"/>
        <w:jc w:val="center"/>
      </w:pPr>
      <w:r w:rsidRPr="00B33055">
        <w:rPr>
          <w:noProof/>
          <w:color w:val="000000" w:themeColor="text1"/>
          <w:lang w:eastAsia="zh-CN" w:bidi="ar-SA"/>
        </w:rPr>
        <w:drawing>
          <wp:inline distT="0" distB="0" distL="0" distR="0" wp14:anchorId="5679B597" wp14:editId="16384D61">
            <wp:extent cx="4315786" cy="2231409"/>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12">
                      <a:extLst>
                        <a:ext uri="{28A0092B-C50C-407E-A947-70E740481C1C}">
                          <a14:useLocalDpi xmlns:a14="http://schemas.microsoft.com/office/drawing/2010/main" val="0"/>
                        </a:ext>
                      </a:extLst>
                    </a:blip>
                    <a:stretch>
                      <a:fillRect/>
                    </a:stretch>
                  </pic:blipFill>
                  <pic:spPr>
                    <a:xfrm>
                      <a:off x="0" y="0"/>
                      <a:ext cx="4331019" cy="2239285"/>
                    </a:xfrm>
                    <a:prstGeom prst="rect">
                      <a:avLst/>
                    </a:prstGeom>
                  </pic:spPr>
                </pic:pic>
              </a:graphicData>
            </a:graphic>
          </wp:inline>
        </w:drawing>
      </w:r>
    </w:p>
    <w:p w14:paraId="16B279CC" w14:textId="4F56D9D2" w:rsidR="008874BD" w:rsidRPr="00541084" w:rsidRDefault="008874BD" w:rsidP="00BF3F9B">
      <w:pPr>
        <w:pStyle w:val="Caption"/>
        <w:rPr>
          <w:rFonts w:ascii="Times New Roman" w:hAnsi="Times New Roman"/>
          <w:szCs w:val="22"/>
        </w:rPr>
      </w:pPr>
      <w:bookmarkStart w:id="32" w:name="_Ref491870416"/>
      <w:bookmarkStart w:id="33" w:name="_Toc495144711"/>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2</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2</w:t>
      </w:r>
      <w:r w:rsidR="00280FFF">
        <w:rPr>
          <w:szCs w:val="22"/>
        </w:rPr>
        <w:fldChar w:fldCharType="end"/>
      </w:r>
      <w:bookmarkEnd w:id="32"/>
      <w:r w:rsidRPr="00541084">
        <w:rPr>
          <w:szCs w:val="22"/>
        </w:rPr>
        <w:t>. At the end of injection of pusher. Alcohol moves faster than ester so that alcohol travels farther than ester.</w:t>
      </w:r>
      <w:bookmarkEnd w:id="33"/>
    </w:p>
    <w:p w14:paraId="57F746A6" w14:textId="77777777" w:rsidR="008874BD" w:rsidRPr="00541084" w:rsidRDefault="008874BD" w:rsidP="00BF3F9B">
      <w:pPr>
        <w:pStyle w:val="Caption"/>
        <w:rPr>
          <w:szCs w:val="22"/>
        </w:rPr>
      </w:pPr>
    </w:p>
    <w:p w14:paraId="445E2958" w14:textId="77777777" w:rsidR="008874BD" w:rsidRDefault="008874BD" w:rsidP="008874BD">
      <w:pPr>
        <w:tabs>
          <w:tab w:val="left" w:pos="9231"/>
        </w:tabs>
        <w:rPr>
          <w:color w:val="000000" w:themeColor="text1"/>
        </w:rPr>
      </w:pPr>
      <w:r w:rsidRPr="00B33055">
        <w:rPr>
          <w:color w:val="000000" w:themeColor="text1"/>
        </w:rPr>
        <w:tab/>
      </w:r>
    </w:p>
    <w:p w14:paraId="6B64E30B" w14:textId="77777777" w:rsidR="008874BD" w:rsidRDefault="008874BD" w:rsidP="008874BD">
      <w:pPr>
        <w:tabs>
          <w:tab w:val="left" w:pos="9231"/>
        </w:tabs>
        <w:rPr>
          <w:color w:val="000000" w:themeColor="text1"/>
        </w:rPr>
      </w:pPr>
    </w:p>
    <w:p w14:paraId="1867012E" w14:textId="77777777" w:rsidR="008874BD" w:rsidRPr="00B33055" w:rsidRDefault="008874BD" w:rsidP="008874BD">
      <w:pPr>
        <w:tabs>
          <w:tab w:val="left" w:pos="9231"/>
        </w:tabs>
        <w:rPr>
          <w:color w:val="000000" w:themeColor="text1"/>
        </w:rPr>
      </w:pPr>
    </w:p>
    <w:p w14:paraId="42A4EFA4" w14:textId="77777777" w:rsidR="008874BD" w:rsidRPr="00B33055" w:rsidRDefault="008874BD" w:rsidP="00FA76D3">
      <w:pPr>
        <w:keepNext/>
        <w:ind w:firstLine="0"/>
        <w:jc w:val="center"/>
        <w:rPr>
          <w:color w:val="000000" w:themeColor="text1"/>
        </w:rPr>
      </w:pPr>
      <w:r w:rsidRPr="00B33055">
        <w:rPr>
          <w:noProof/>
          <w:color w:val="000000" w:themeColor="text1"/>
          <w:lang w:eastAsia="zh-CN" w:bidi="ar-SA"/>
        </w:rPr>
        <w:lastRenderedPageBreak/>
        <w:drawing>
          <wp:inline distT="0" distB="0" distL="0" distR="0" wp14:anchorId="08FD4ED2" wp14:editId="78C573D3">
            <wp:extent cx="4315260" cy="22311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13">
                      <a:extLst>
                        <a:ext uri="{28A0092B-C50C-407E-A947-70E740481C1C}">
                          <a14:useLocalDpi xmlns:a14="http://schemas.microsoft.com/office/drawing/2010/main" val="0"/>
                        </a:ext>
                      </a:extLst>
                    </a:blip>
                    <a:stretch>
                      <a:fillRect/>
                    </a:stretch>
                  </pic:blipFill>
                  <pic:spPr>
                    <a:xfrm>
                      <a:off x="0" y="0"/>
                      <a:ext cx="4315260" cy="2231136"/>
                    </a:xfrm>
                    <a:prstGeom prst="rect">
                      <a:avLst/>
                    </a:prstGeom>
                  </pic:spPr>
                </pic:pic>
              </a:graphicData>
            </a:graphic>
          </wp:inline>
        </w:drawing>
      </w:r>
    </w:p>
    <w:p w14:paraId="4C8A4DAE" w14:textId="57280601" w:rsidR="008874BD" w:rsidRPr="00541084" w:rsidRDefault="008874BD" w:rsidP="00BF3F9B">
      <w:pPr>
        <w:pStyle w:val="Caption"/>
        <w:rPr>
          <w:rFonts w:ascii="Times New Roman" w:hAnsi="Times New Roman"/>
          <w:szCs w:val="22"/>
        </w:rPr>
      </w:pPr>
      <w:bookmarkStart w:id="34" w:name="_Ref491870432"/>
      <w:bookmarkStart w:id="35" w:name="_Toc495144712"/>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2</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3</w:t>
      </w:r>
      <w:r w:rsidR="00280FFF">
        <w:rPr>
          <w:szCs w:val="22"/>
        </w:rPr>
        <w:fldChar w:fldCharType="end"/>
      </w:r>
      <w:bookmarkEnd w:id="34"/>
      <w:r w:rsidRPr="00541084">
        <w:rPr>
          <w:szCs w:val="22"/>
        </w:rPr>
        <w:t>. At the end of shut in period. Ester reacts with water generating alcohol. Both of ester and alcohol remains stationary.</w:t>
      </w:r>
      <w:bookmarkEnd w:id="35"/>
    </w:p>
    <w:p w14:paraId="70D2E3A6" w14:textId="77777777" w:rsidR="008874BD" w:rsidRPr="00B33055" w:rsidRDefault="008874BD" w:rsidP="008874BD">
      <w:pPr>
        <w:rPr>
          <w:color w:val="000000" w:themeColor="text1"/>
        </w:rPr>
      </w:pPr>
    </w:p>
    <w:p w14:paraId="65745688" w14:textId="77777777" w:rsidR="008874BD" w:rsidRPr="00B33055" w:rsidRDefault="008874BD" w:rsidP="00FA76D3">
      <w:pPr>
        <w:keepNext/>
        <w:ind w:firstLine="0"/>
        <w:jc w:val="center"/>
        <w:rPr>
          <w:color w:val="000000" w:themeColor="text1"/>
        </w:rPr>
      </w:pPr>
      <w:r w:rsidRPr="00B33055">
        <w:rPr>
          <w:noProof/>
          <w:color w:val="000000" w:themeColor="text1"/>
          <w:lang w:eastAsia="zh-CN" w:bidi="ar-SA"/>
        </w:rPr>
        <w:drawing>
          <wp:inline distT="0" distB="0" distL="0" distR="0" wp14:anchorId="49F965EE" wp14:editId="7FC83419">
            <wp:extent cx="4315260" cy="22311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3.png"/>
                    <pic:cNvPicPr/>
                  </pic:nvPicPr>
                  <pic:blipFill>
                    <a:blip r:embed="rId14">
                      <a:extLst>
                        <a:ext uri="{28A0092B-C50C-407E-A947-70E740481C1C}">
                          <a14:useLocalDpi xmlns:a14="http://schemas.microsoft.com/office/drawing/2010/main" val="0"/>
                        </a:ext>
                      </a:extLst>
                    </a:blip>
                    <a:stretch>
                      <a:fillRect/>
                    </a:stretch>
                  </pic:blipFill>
                  <pic:spPr>
                    <a:xfrm>
                      <a:off x="0" y="0"/>
                      <a:ext cx="4315260" cy="2231136"/>
                    </a:xfrm>
                    <a:prstGeom prst="rect">
                      <a:avLst/>
                    </a:prstGeom>
                  </pic:spPr>
                </pic:pic>
              </a:graphicData>
            </a:graphic>
          </wp:inline>
        </w:drawing>
      </w:r>
    </w:p>
    <w:p w14:paraId="3B2889BB" w14:textId="76788A67" w:rsidR="008874BD" w:rsidRPr="00541084" w:rsidRDefault="008874BD" w:rsidP="00BF3F9B">
      <w:pPr>
        <w:pStyle w:val="Caption"/>
        <w:rPr>
          <w:szCs w:val="22"/>
        </w:rPr>
      </w:pPr>
      <w:bookmarkStart w:id="36" w:name="_Ref491870460"/>
      <w:bookmarkStart w:id="37" w:name="_Toc495144713"/>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2</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4</w:t>
      </w:r>
      <w:r w:rsidR="00280FFF">
        <w:rPr>
          <w:szCs w:val="22"/>
        </w:rPr>
        <w:fldChar w:fldCharType="end"/>
      </w:r>
      <w:bookmarkEnd w:id="36"/>
      <w:r w:rsidRPr="00541084">
        <w:rPr>
          <w:szCs w:val="22"/>
        </w:rPr>
        <w:t>. During the production period. Alcohol travels faster than ester and its production will be observed at first.</w:t>
      </w:r>
      <w:bookmarkEnd w:id="37"/>
    </w:p>
    <w:p w14:paraId="1D389B1C" w14:textId="77777777" w:rsidR="008874BD" w:rsidRPr="008874BD" w:rsidRDefault="008874BD" w:rsidP="008874BD"/>
    <w:p w14:paraId="1FA34249" w14:textId="77777777" w:rsidR="008874BD" w:rsidRDefault="008874BD" w:rsidP="00FA76D3">
      <w:pPr>
        <w:keepNext/>
        <w:ind w:firstLine="0"/>
        <w:jc w:val="center"/>
      </w:pPr>
      <w:r w:rsidRPr="00B33055">
        <w:rPr>
          <w:noProof/>
          <w:color w:val="000000" w:themeColor="text1"/>
          <w:lang w:eastAsia="zh-CN" w:bidi="ar-SA"/>
        </w:rPr>
        <w:lastRenderedPageBreak/>
        <w:drawing>
          <wp:inline distT="0" distB="0" distL="0" distR="0" wp14:anchorId="3E839EB7" wp14:editId="5A6CA13B">
            <wp:extent cx="4977130" cy="3669030"/>
            <wp:effectExtent l="0" t="0" r="0" b="0"/>
            <wp:docPr id="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7130" cy="3669030"/>
                    </a:xfrm>
                    <a:prstGeom prst="rect">
                      <a:avLst/>
                    </a:prstGeom>
                    <a:noFill/>
                    <a:ln>
                      <a:noFill/>
                    </a:ln>
                  </pic:spPr>
                </pic:pic>
              </a:graphicData>
            </a:graphic>
          </wp:inline>
        </w:drawing>
      </w:r>
    </w:p>
    <w:p w14:paraId="5532BE70" w14:textId="2660C8F9" w:rsidR="008874BD" w:rsidRPr="00541084" w:rsidRDefault="008874BD" w:rsidP="00BF3F9B">
      <w:pPr>
        <w:pStyle w:val="Caption"/>
        <w:rPr>
          <w:color w:val="000000" w:themeColor="text1"/>
          <w:szCs w:val="22"/>
        </w:rPr>
      </w:pPr>
      <w:bookmarkStart w:id="38" w:name="_Ref491870436"/>
      <w:bookmarkStart w:id="39" w:name="_Toc495144714"/>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2</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5</w:t>
      </w:r>
      <w:r w:rsidR="00280FFF">
        <w:rPr>
          <w:szCs w:val="22"/>
        </w:rPr>
        <w:fldChar w:fldCharType="end"/>
      </w:r>
      <w:bookmarkEnd w:id="38"/>
      <w:r w:rsidRPr="00541084">
        <w:rPr>
          <w:color w:val="000000" w:themeColor="text1"/>
          <w:szCs w:val="22"/>
        </w:rPr>
        <w:t xml:space="preserve">. </w:t>
      </w:r>
      <w:r w:rsidRPr="00541084">
        <w:rPr>
          <w:szCs w:val="22"/>
        </w:rPr>
        <w:t>A schematic illustration of concentration of alcohol and ester in water at the end of shut in. Alcohol concentration peak position collapsed with ester concentration peak.</w:t>
      </w:r>
      <w:bookmarkEnd w:id="39"/>
    </w:p>
    <w:p w14:paraId="16C0B950" w14:textId="77777777" w:rsidR="008874BD" w:rsidRPr="00B33055" w:rsidRDefault="008874BD" w:rsidP="00F52532"/>
    <w:p w14:paraId="7A91F7BE" w14:textId="77777777" w:rsidR="00F52532" w:rsidRDefault="00F52532" w:rsidP="009C12AD">
      <w:pPr>
        <w:pStyle w:val="Heading3"/>
      </w:pPr>
      <w:bookmarkStart w:id="40" w:name="_Toc491875868"/>
      <w:bookmarkStart w:id="41" w:name="_Toc491876427"/>
      <w:bookmarkStart w:id="42" w:name="_Toc494014196"/>
      <w:r>
        <w:t>Modified MoM</w:t>
      </w:r>
      <w:bookmarkEnd w:id="40"/>
      <w:bookmarkEnd w:id="41"/>
      <w:bookmarkEnd w:id="42"/>
    </w:p>
    <w:p w14:paraId="4CDA3161" w14:textId="0618A97E" w:rsidR="00F52532" w:rsidRPr="00B33055" w:rsidRDefault="00F52532" w:rsidP="00F52532">
      <w:r w:rsidRPr="00B33055">
        <w:t>Appendix A presents a detailed derivation of the proposed MoM. Residence time</w:t>
      </w:r>
      <m:oMath>
        <m:r>
          <m:rPr>
            <m:sty m:val="p"/>
          </m:rPr>
          <w:rPr>
            <w:rFonts w:ascii="Cambria Math" w:hAnsi="Cambria Math"/>
          </w:rPr>
          <m:t xml:space="preserve"> </m:t>
        </m:r>
        <m:acc>
          <m:accPr>
            <m:chr m:val="̅"/>
            <m:ctrlPr>
              <w:rPr>
                <w:rFonts w:ascii="Cambria Math" w:hAnsi="Cambria Math"/>
              </w:rPr>
            </m:ctrlPr>
          </m:accPr>
          <m:e>
            <m:r>
              <w:rPr>
                <w:rFonts w:ascii="Cambria Math" w:hAnsi="Cambria Math"/>
              </w:rPr>
              <m:t>t</m:t>
            </m:r>
          </m:e>
        </m:acc>
      </m:oMath>
      <w:r w:rsidRPr="00B33055">
        <w:t>, which is calculated from the first moment, is modified by including two-phase flow:</w:t>
      </w:r>
    </w:p>
    <w:p w14:paraId="69A52BBB" w14:textId="77777777" w:rsidR="00F52532" w:rsidRPr="00B33055" w:rsidRDefault="00A53410" w:rsidP="00F52532">
      <w:pPr>
        <w:rPr>
          <w:rFonts w:ascii="Cambria Math" w:hAnsi="Cambria Math"/>
        </w:rPr>
      </w:pPr>
      <m:oMath>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t</m:t>
                </m:r>
              </m:e>
              <m:sub>
                <m:r>
                  <m:rPr>
                    <m:sty m:val="p"/>
                  </m:rPr>
                  <w:rPr>
                    <w:rFonts w:ascii="Cambria Math" w:hAnsi="Cambria Math"/>
                  </w:rPr>
                  <m:t>k</m:t>
                </m:r>
              </m:sub>
            </m:sSub>
          </m:e>
        </m:acc>
        <m:r>
          <m:rPr>
            <m:sty m:val="p"/>
          </m:rPr>
          <w:rPr>
            <w:rFonts w:ascii="Cambria Math" w:hAnsi="Cambria Math"/>
          </w:rPr>
          <m:t>=</m:t>
        </m:r>
        <m:f>
          <m:fPr>
            <m:ctrlPr>
              <w:rPr>
                <w:rFonts w:ascii="Cambria Math" w:hAnsi="Cambria Math"/>
              </w:rPr>
            </m:ctrlPr>
          </m:fPr>
          <m:num>
            <m:nary>
              <m:naryPr>
                <m:limLoc m:val="undOvr"/>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r>
                  <m:rPr>
                    <m:sty m:val="p"/>
                  </m:rPr>
                  <w:rPr>
                    <w:rFonts w:ascii="Cambria Math" w:hAnsi="Cambria Math"/>
                  </w:rPr>
                  <m:t>t</m:t>
                </m:r>
                <m:d>
                  <m:dPr>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l=w</m:t>
                        </m:r>
                      </m:sub>
                      <m:sup>
                        <m:r>
                          <m:rPr>
                            <m:sty m:val="p"/>
                          </m:rPr>
                          <w:rPr>
                            <w:rFonts w:ascii="Cambria Math" w:hAnsi="Cambria Math"/>
                          </w:rPr>
                          <m:t>o</m:t>
                        </m:r>
                      </m:sup>
                      <m:e>
                        <m:sSub>
                          <m:sSubPr>
                            <m:ctrlPr>
                              <w:rPr>
                                <w:rFonts w:ascii="Cambria Math" w:hAnsi="Cambria Math"/>
                              </w:rPr>
                            </m:ctrlPr>
                          </m:sSubPr>
                          <m:e>
                            <m:r>
                              <m:rPr>
                                <m:sty m:val="p"/>
                              </m:rPr>
                              <w:rPr>
                                <w:rFonts w:ascii="Cambria Math" w:hAnsi="Cambria Math"/>
                              </w:rPr>
                              <m:t>f</m:t>
                            </m:r>
                          </m:e>
                          <m:sub>
                            <m:r>
                              <m:rPr>
                                <m:sty m:val="p"/>
                              </m:rPr>
                              <w:rPr>
                                <w:rFonts w:ascii="Cambria Math" w:hAnsi="Cambria Math"/>
                              </w:rPr>
                              <m:t>l</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kl</m:t>
                            </m:r>
                          </m:sub>
                        </m:sSub>
                      </m:e>
                    </m:nary>
                  </m:e>
                </m:d>
                <m:r>
                  <m:rPr>
                    <m:sty m:val="p"/>
                  </m:rPr>
                  <w:rPr>
                    <w:rFonts w:ascii="Cambria Math" w:hAnsi="Cambria Math"/>
                  </w:rPr>
                  <m:t>dt</m:t>
                </m:r>
              </m:e>
            </m:nary>
          </m:num>
          <m:den>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sSub>
                  <m:sSubPr>
                    <m:ctrlPr>
                      <w:rPr>
                        <w:rFonts w:ascii="Cambria Math" w:hAnsi="Cambria Math"/>
                      </w:rPr>
                    </m:ctrlPr>
                  </m:sSubPr>
                  <m:e>
                    <m:r>
                      <m:rPr>
                        <m:sty m:val="p"/>
                      </m:rPr>
                      <w:rPr>
                        <w:rFonts w:ascii="Cambria Math" w:hAnsi="Cambria Math"/>
                      </w:rPr>
                      <m:t>f</m:t>
                    </m:r>
                  </m:e>
                  <m:sub>
                    <m:r>
                      <m:rPr>
                        <m:sty m:val="p"/>
                      </m:rPr>
                      <w:rPr>
                        <w:rFonts w:ascii="Cambria Math" w:hAnsi="Cambria Math"/>
                      </w:rPr>
                      <m:t>w</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kw</m:t>
                    </m:r>
                  </m:sub>
                </m:sSub>
                <m:r>
                  <m:rPr>
                    <m:sty m:val="p"/>
                  </m:rPr>
                  <w:rPr>
                    <w:rFonts w:ascii="Cambria Math" w:hAnsi="Cambria Math"/>
                  </w:rPr>
                  <m:t>dt</m:t>
                </m:r>
              </m:e>
            </m:nary>
          </m:den>
        </m:f>
      </m:oMath>
      <w:r w:rsidR="00F52532" w:rsidRPr="00B33055">
        <w:rPr>
          <w:rFonts w:ascii="Cambria Math" w:hAnsi="Cambria Math"/>
        </w:rPr>
        <w:tab/>
        <w:t>(</w:t>
      </w:r>
      <w:r w:rsidR="006B074D">
        <w:rPr>
          <w:rFonts w:ascii="Cambria Math" w:hAnsi="Cambria Math"/>
        </w:rPr>
        <w:t>2-</w:t>
      </w:r>
      <w:r w:rsidR="00F52532" w:rsidRPr="00B33055">
        <w:rPr>
          <w:rFonts w:ascii="Cambria Math" w:hAnsi="Cambria Math"/>
        </w:rPr>
        <w:t>5)</w:t>
      </w:r>
    </w:p>
    <w:p w14:paraId="008B8871" w14:textId="7B6B2655" w:rsidR="00F52532" w:rsidRPr="00B33055" w:rsidRDefault="00F52532" w:rsidP="00F52532">
      <w:r w:rsidRPr="00B33055">
        <w:t xml:space="preserve">Where </w:t>
      </w:r>
      <m:oMath>
        <m:r>
          <w:rPr>
            <w:rFonts w:ascii="Cambria Math" w:hAnsi="Cambria Math"/>
          </w:rPr>
          <m:t>C</m:t>
        </m:r>
      </m:oMath>
      <w:r w:rsidRPr="00B33055">
        <w:t xml:space="preserve"> is the concentration of tracer k</w:t>
      </w:r>
      <w:r w:rsidR="000314D1">
        <w:t xml:space="preserve">, </w:t>
      </w:r>
      <m:oMath>
        <m:r>
          <w:rPr>
            <w:rFonts w:ascii="Cambria Math" w:hAnsi="Cambria Math"/>
          </w:rPr>
          <m:t>f</m:t>
        </m:r>
      </m:oMath>
      <w:r w:rsidRPr="00B33055">
        <w:t xml:space="preserve"> is the volumetric fraction of phase w, subscript </w:t>
      </w:r>
      <m:oMath>
        <m:r>
          <w:rPr>
            <w:rFonts w:ascii="Cambria Math" w:hAnsi="Cambria Math"/>
          </w:rPr>
          <m:t>k</m:t>
        </m:r>
      </m:oMath>
      <w:r w:rsidR="000314D1">
        <w:t xml:space="preserve"> represents the tracer k,</w:t>
      </w:r>
      <w:r w:rsidRPr="00B33055">
        <w:t xml:space="preserve"> </w:t>
      </w:r>
      <m:oMath>
        <m:r>
          <w:rPr>
            <w:rFonts w:ascii="Cambria Math" w:hAnsi="Cambria Math"/>
          </w:rPr>
          <m:t>w</m:t>
        </m:r>
      </m:oMath>
      <w:r w:rsidRPr="00B33055">
        <w:t xml:space="preserve"> indicates water and </w:t>
      </w:r>
      <m:oMath>
        <m:r>
          <w:rPr>
            <w:rFonts w:ascii="Cambria Math" w:hAnsi="Cambria Math"/>
          </w:rPr>
          <m:t>o</m:t>
        </m:r>
      </m:oMath>
      <w:r w:rsidRPr="00B33055">
        <w:t xml:space="preserve"> indicates oil. Hence, f</w:t>
      </w:r>
      <w:r w:rsidRPr="00B33055">
        <w:rPr>
          <w:rFonts w:hint="eastAsia"/>
        </w:rPr>
        <w:t xml:space="preserve">or two tracers </w:t>
      </w:r>
      <w:r w:rsidRPr="00B33055">
        <w:t>that</w:t>
      </w:r>
      <w:r w:rsidRPr="00B33055">
        <w:rPr>
          <w:rFonts w:hint="eastAsia"/>
        </w:rPr>
        <w:t xml:space="preserve"> </w:t>
      </w:r>
      <w:r w:rsidRPr="00B33055">
        <w:t>partition coefficients, which</w:t>
      </w:r>
      <w:r w:rsidRPr="00B33055">
        <w:rPr>
          <w:rFonts w:hint="eastAsia"/>
        </w:rPr>
        <w:t xml:space="preserve"> are K</w:t>
      </w:r>
      <w:r w:rsidRPr="00B33055">
        <w:rPr>
          <w:rFonts w:hint="eastAsia"/>
          <w:vertAlign w:val="subscript"/>
        </w:rPr>
        <w:t>1</w:t>
      </w:r>
      <w:r w:rsidRPr="00B33055">
        <w:rPr>
          <w:rFonts w:hint="eastAsia"/>
        </w:rPr>
        <w:t xml:space="preserve"> and K</w:t>
      </w:r>
      <w:r w:rsidRPr="00B33055">
        <w:rPr>
          <w:rFonts w:hint="eastAsia"/>
          <w:vertAlign w:val="subscript"/>
        </w:rPr>
        <w:t>2</w:t>
      </w:r>
      <w:r w:rsidRPr="00B33055">
        <w:t>, their swept volumes are expressed respectively:</w:t>
      </w:r>
    </w:p>
    <w:p w14:paraId="03FE12EC" w14:textId="77777777" w:rsidR="00F52532" w:rsidRPr="00B33055" w:rsidRDefault="00A53410" w:rsidP="00F52532">
      <w:pPr>
        <w:rPr>
          <w:rFonts w:ascii="Cambria Math" w:hAnsi="Cambria Math"/>
        </w:rPr>
      </w:pPr>
      <m:oMath>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w,1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o,1</m:t>
            </m:r>
          </m:sub>
        </m:sSub>
        <m:r>
          <m:rPr>
            <m:sty m:val="p"/>
          </m:rPr>
          <w:rPr>
            <w:rFonts w:ascii="Cambria Math" w:hAnsi="Cambria Math"/>
          </w:rPr>
          <m:t>=q</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1</m:t>
            </m:r>
          </m:sub>
        </m:sSub>
      </m:oMath>
      <w:r w:rsidR="00F52532" w:rsidRPr="00B33055">
        <w:rPr>
          <w:rFonts w:ascii="Cambria Math" w:hAnsi="Cambria Math"/>
        </w:rPr>
        <w:tab/>
        <w:t>(</w:t>
      </w:r>
      <w:r w:rsidR="006B074D">
        <w:rPr>
          <w:rFonts w:ascii="Cambria Math" w:hAnsi="Cambria Math"/>
        </w:rPr>
        <w:t>2-</w:t>
      </w:r>
      <w:r w:rsidR="00F52532" w:rsidRPr="00B33055">
        <w:rPr>
          <w:rFonts w:ascii="Cambria Math" w:hAnsi="Cambria Math"/>
        </w:rPr>
        <w:t>6)</w:t>
      </w:r>
    </w:p>
    <w:p w14:paraId="4528A03B" w14:textId="77777777" w:rsidR="00F52532" w:rsidRPr="00B33055" w:rsidRDefault="00A53410" w:rsidP="00F52532">
      <w:pPr>
        <w:rPr>
          <w:rFonts w:ascii="Cambria Math" w:hAnsi="Cambria Math"/>
        </w:rPr>
      </w:pPr>
      <m:oMath>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w,2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o,2</m:t>
            </m:r>
          </m:sub>
        </m:sSub>
        <m:r>
          <m:rPr>
            <m:sty m:val="p"/>
          </m:rPr>
          <w:rPr>
            <w:rFonts w:ascii="Cambria Math" w:hAnsi="Cambria Math"/>
          </w:rPr>
          <m:t>=q</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2</m:t>
            </m:r>
          </m:sub>
        </m:sSub>
      </m:oMath>
      <w:r w:rsidR="00F52532" w:rsidRPr="00B33055">
        <w:rPr>
          <w:rFonts w:ascii="Cambria Math" w:hAnsi="Cambria Math"/>
        </w:rPr>
        <w:tab/>
        <w:t>(</w:t>
      </w:r>
      <w:r w:rsidR="006B074D">
        <w:rPr>
          <w:rFonts w:ascii="Cambria Math" w:hAnsi="Cambria Math"/>
        </w:rPr>
        <w:t>2-</w:t>
      </w:r>
      <w:r w:rsidR="00F52532" w:rsidRPr="00B33055">
        <w:rPr>
          <w:rFonts w:ascii="Cambria Math" w:hAnsi="Cambria Math"/>
        </w:rPr>
        <w:t>7)</w:t>
      </w:r>
    </w:p>
    <w:p w14:paraId="4297DB1F" w14:textId="77777777" w:rsidR="00F52532" w:rsidRPr="00B33055" w:rsidRDefault="00F52532" w:rsidP="00F52532">
      <w:r w:rsidRPr="00B33055">
        <w:t xml:space="preserve">Where </w:t>
      </w:r>
      <m:oMath>
        <m:r>
          <w:rPr>
            <w:rFonts w:ascii="Cambria Math" w:hAnsi="Cambria Math"/>
          </w:rPr>
          <m:t>q</m:t>
        </m:r>
      </m:oMath>
      <w:r w:rsidRPr="00B33055">
        <w:t xml:space="preserve"> is the constant production rate, </w:t>
      </w:r>
      <m:oMath>
        <m:acc>
          <m:accPr>
            <m:ctrlPr>
              <w:rPr>
                <w:rFonts w:ascii="Cambria Math" w:hAnsi="Cambria Math"/>
                <w:i/>
              </w:rPr>
            </m:ctrlPr>
          </m:accPr>
          <m:e>
            <m:r>
              <w:rPr>
                <w:rFonts w:ascii="Cambria Math" w:hAnsi="Cambria Math"/>
              </w:rPr>
              <m:t>V</m:t>
            </m:r>
          </m:e>
        </m:acc>
      </m:oMath>
      <w:r w:rsidRPr="00B33055">
        <w:t xml:space="preserve"> is the volume swept by the tracer, subscript 1 and 2 stands for two different tracers. </w:t>
      </w:r>
    </w:p>
    <w:p w14:paraId="56BE0D20" w14:textId="21F13304" w:rsidR="00F52532" w:rsidRPr="00B33055" w:rsidRDefault="00F52532" w:rsidP="00F52532">
      <w:r w:rsidRPr="00B33055">
        <w:t>As shown in</w:t>
      </w:r>
      <w:r w:rsidR="008874BD">
        <w:t xml:space="preserve"> </w:t>
      </w:r>
      <w:r w:rsidR="008874BD">
        <w:fldChar w:fldCharType="begin"/>
      </w:r>
      <w:r w:rsidR="008874BD">
        <w:instrText xml:space="preserve"> REF _Ref491870436 \h </w:instrText>
      </w:r>
      <w:r w:rsidR="008874BD">
        <w:fldChar w:fldCharType="separate"/>
      </w:r>
      <w:r w:rsidR="00304B8E" w:rsidRPr="00541084">
        <w:rPr>
          <w:szCs w:val="22"/>
        </w:rPr>
        <w:t xml:space="preserve">Figure </w:t>
      </w:r>
      <w:r w:rsidR="00304B8E">
        <w:rPr>
          <w:noProof/>
          <w:szCs w:val="22"/>
        </w:rPr>
        <w:t>2</w:t>
      </w:r>
      <w:r w:rsidR="00304B8E">
        <w:rPr>
          <w:szCs w:val="22"/>
        </w:rPr>
        <w:noBreakHyphen/>
      </w:r>
      <w:r w:rsidR="00304B8E">
        <w:rPr>
          <w:noProof/>
          <w:szCs w:val="22"/>
        </w:rPr>
        <w:t>5</w:t>
      </w:r>
      <w:r w:rsidR="008874BD">
        <w:fldChar w:fldCharType="end"/>
      </w:r>
      <w:r w:rsidRPr="00B33055">
        <w:t xml:space="preserve">, two tracers with different partitioning preferences might have a different contacted volume of water as well as oil. The contacted volume could be calculated as the area beneath the curve. To get </w:t>
      </w:r>
      <w:r w:rsidR="000314D1" w:rsidRPr="00B33055">
        <w:t>accurate</w:t>
      </w:r>
      <w:r w:rsidRPr="00B33055">
        <w:t xml:space="preserve"> saturation estimation from MoM, such difference needs to be adjusted. Hence, a parameter </w:t>
      </w:r>
      <m:oMath>
        <m:r>
          <w:rPr>
            <w:rFonts w:ascii="Cambria Math" w:hAnsi="Cambria Math"/>
          </w:rPr>
          <m:t>R</m:t>
        </m:r>
      </m:oMath>
      <w:r w:rsidRPr="00B33055">
        <w:t xml:space="preserve"> is introduced as the ratio of contacted volume of tracer 1 to contacted volume of tracer 2 in either water or oil. It can be expressed by:</w:t>
      </w:r>
    </w:p>
    <w:p w14:paraId="540A6ECC" w14:textId="77777777" w:rsidR="00F52532" w:rsidRPr="00B33055" w:rsidRDefault="00F52532" w:rsidP="00F52532">
      <w:pPr>
        <w:rPr>
          <w:rFonts w:ascii="Cambria Math" w:hAnsi="Cambria Math"/>
        </w:rPr>
      </w:pPr>
      <w:r w:rsidRPr="00B33055">
        <w:rPr>
          <w:rFonts w:ascii="Cambria Math" w:hAnsi="Cambria Math"/>
        </w:rPr>
        <w:t xml:space="preserve"> </w:t>
      </w:r>
      <m:oMath>
        <m:r>
          <m:rPr>
            <m:sty m:val="p"/>
          </m:rPr>
          <w:rPr>
            <w:rFonts w:ascii="Cambria Math" w:hAnsi="Cambria Math"/>
          </w:rPr>
          <m:t>R=</m:t>
        </m:r>
        <m:f>
          <m:fPr>
            <m:ctrlPr>
              <w:rPr>
                <w:rFonts w:ascii="Cambria Math" w:hAnsi="Cambria Math"/>
              </w:rPr>
            </m:ctrlPr>
          </m:fPr>
          <m:num>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w,1</m:t>
                </m:r>
              </m:sub>
            </m:sSub>
          </m:num>
          <m:den>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w,2</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o,1</m:t>
                </m:r>
              </m:sub>
            </m:sSub>
          </m:num>
          <m:den>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o,2</m:t>
                </m:r>
              </m:sub>
            </m:sSub>
          </m:den>
        </m:f>
      </m:oMath>
      <w:r w:rsidRPr="00B33055">
        <w:rPr>
          <w:rFonts w:ascii="Cambria Math" w:hAnsi="Cambria Math"/>
        </w:rPr>
        <w:tab/>
        <w:t>(</w:t>
      </w:r>
      <w:r w:rsidR="006B074D">
        <w:rPr>
          <w:rFonts w:ascii="Cambria Math" w:hAnsi="Cambria Math"/>
        </w:rPr>
        <w:t>2-</w:t>
      </w:r>
      <w:r w:rsidRPr="00B33055">
        <w:rPr>
          <w:rFonts w:ascii="Cambria Math" w:hAnsi="Cambria Math"/>
        </w:rPr>
        <w:t>8)</w:t>
      </w:r>
    </w:p>
    <w:p w14:paraId="2F4970B6" w14:textId="77777777" w:rsidR="00F52532" w:rsidRPr="00B33055" w:rsidRDefault="00F52532" w:rsidP="00F52532">
      <w:r w:rsidRPr="00B33055">
        <w:t xml:space="preserve">Eq. </w:t>
      </w:r>
      <w:r w:rsidR="006B074D">
        <w:t>2-</w:t>
      </w:r>
      <w:r w:rsidRPr="00B33055">
        <w:t xml:space="preserve">6 can be rewritten by substituting Eq. </w:t>
      </w:r>
      <w:r w:rsidR="006B074D">
        <w:t>2-</w:t>
      </w:r>
      <w:r w:rsidRPr="00B33055">
        <w:t>8:</w:t>
      </w:r>
    </w:p>
    <w:p w14:paraId="2F75BF79" w14:textId="77777777" w:rsidR="00F52532" w:rsidRPr="00B33055" w:rsidRDefault="00F52532" w:rsidP="00F52532">
      <w:pPr>
        <w:rPr>
          <w:rFonts w:ascii="Cambria Math" w:hAnsi="Cambria Math"/>
        </w:rPr>
      </w:pPr>
      <w:r w:rsidRPr="00B33055">
        <w:rPr>
          <w:rFonts w:ascii="Cambria Math" w:hAnsi="Cambria Math"/>
        </w:rPr>
        <w:t xml:space="preserve"> </w:t>
      </w:r>
      <m:oMath>
        <m:sSub>
          <m:sSubPr>
            <m:ctrlPr>
              <w:rPr>
                <w:rFonts w:ascii="Cambria Math" w:hAnsi="Cambria Math"/>
              </w:rPr>
            </m:ctrlPr>
          </m:sSubPr>
          <m:e>
            <m:r>
              <m:rPr>
                <m:sty m:val="p"/>
              </m:rPr>
              <w:rPr>
                <w:rFonts w:ascii="Cambria Math" w:hAnsi="Cambria Math"/>
              </w:rPr>
              <m:t>R∙</m:t>
            </m:r>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w,2</m:t>
            </m:r>
          </m:sub>
        </m:sSub>
        <m:r>
          <m:rPr>
            <m:sty m:val="p"/>
          </m:rPr>
          <w:rPr>
            <w:rFonts w:ascii="Cambria Math" w:hAnsi="Cambria Math"/>
          </w:rPr>
          <m:t>+R∙</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o,2</m:t>
            </m:r>
          </m:sub>
        </m:sSub>
        <m:r>
          <m:rPr>
            <m:sty m:val="p"/>
          </m:rPr>
          <w:rPr>
            <w:rFonts w:ascii="Cambria Math" w:hAnsi="Cambria Math"/>
          </w:rPr>
          <m:t>=q</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1</m:t>
            </m:r>
          </m:sub>
        </m:sSub>
      </m:oMath>
      <w:r w:rsidRPr="00B33055">
        <w:rPr>
          <w:rFonts w:ascii="Cambria Math" w:hAnsi="Cambria Math"/>
        </w:rPr>
        <w:tab/>
        <w:t>(</w:t>
      </w:r>
      <w:r w:rsidR="006B074D">
        <w:rPr>
          <w:rFonts w:ascii="Cambria Math" w:hAnsi="Cambria Math"/>
        </w:rPr>
        <w:t>2-</w:t>
      </w:r>
      <w:r w:rsidRPr="00B33055">
        <w:rPr>
          <w:rFonts w:ascii="Cambria Math" w:hAnsi="Cambria Math"/>
        </w:rPr>
        <w:t>9)</w:t>
      </w:r>
    </w:p>
    <w:p w14:paraId="533F5820" w14:textId="72F438B3" w:rsidR="00F52532" w:rsidRPr="00B33055" w:rsidRDefault="00F52532" w:rsidP="00F52532">
      <w:r w:rsidRPr="00B33055">
        <w:t xml:space="preserve">Solving Eq. </w:t>
      </w:r>
      <w:r>
        <w:t>2</w:t>
      </w:r>
      <w:r w:rsidR="006B074D">
        <w:t>-</w:t>
      </w:r>
      <w:r w:rsidRPr="00B33055">
        <w:t xml:space="preserve">9 and Eq. </w:t>
      </w:r>
      <w:r>
        <w:t>2</w:t>
      </w:r>
      <w:r w:rsidR="006B074D">
        <w:t>-</w:t>
      </w:r>
      <w:r w:rsidRPr="00B33055">
        <w:t>7 together, the average oil saturation</w:t>
      </w:r>
      <w:r w:rsidR="00B721FC">
        <w:t xml:space="preserve"> is</w:t>
      </w:r>
      <w:r w:rsidRPr="00B33055">
        <w:t>:</w:t>
      </w:r>
    </w:p>
    <w:p w14:paraId="4024B54B" w14:textId="77777777" w:rsidR="00F52532" w:rsidRPr="00B33055" w:rsidRDefault="00A53410" w:rsidP="00F52532">
      <w:pPr>
        <w:rPr>
          <w:rFonts w:ascii="Cambria Math" w:hAnsi="Cambria Math"/>
        </w:rPr>
      </w:pP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o</m:t>
            </m:r>
          </m:sub>
        </m:sSub>
        <m:r>
          <m:rPr>
            <m:sty m:val="p"/>
          </m:rPr>
          <w:rPr>
            <w:rFonts w:ascii="Cambria Math" w:hAnsi="Cambria Math"/>
          </w:rPr>
          <m:t>=</m:t>
        </m:r>
        <m:f>
          <m:fPr>
            <m:ctrlPr>
              <w:rPr>
                <w:rFonts w:ascii="Cambria Math" w:hAnsi="Cambria Math"/>
              </w:rPr>
            </m:ctrlPr>
          </m:fPr>
          <m:num>
            <m:r>
              <m:rPr>
                <m:sty m:val="p"/>
              </m:rPr>
              <w:rPr>
                <w:rFonts w:ascii="Cambria Math" w:hAnsi="Cambria Math"/>
              </w:rPr>
              <m:t>R∙</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1</m:t>
                </m:r>
              </m:sub>
            </m:sSub>
          </m:num>
          <m:den>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-1)</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sSub>
                  <m:sSubPr>
                    <m:ctrlPr>
                      <w:rPr>
                        <w:rFonts w:ascii="Cambria Math" w:hAnsi="Cambria Math"/>
                      </w:rPr>
                    </m:ctrlPr>
                  </m:sSubPr>
                  <m:e>
                    <m:r>
                      <m:rPr>
                        <m:sty m:val="p"/>
                      </m:rPr>
                      <w:rPr>
                        <w:rFonts w:ascii="Cambria Math" w:hAnsi="Cambria Math"/>
                      </w:rPr>
                      <m:t>R∙(K</m:t>
                    </m:r>
                  </m:e>
                  <m:sub>
                    <m:r>
                      <m:rPr>
                        <m:sty m:val="p"/>
                      </m:rPr>
                      <w:rPr>
                        <w:rFonts w:ascii="Cambria Math" w:hAnsi="Cambria Math"/>
                      </w:rPr>
                      <m:t>1</m:t>
                    </m:r>
                  </m:sub>
                </m:sSub>
                <m:r>
                  <m:rPr>
                    <m:sty m:val="p"/>
                  </m:rPr>
                  <w:rPr>
                    <w:rFonts w:ascii="Cambria Math" w:hAnsi="Cambria Math"/>
                  </w:rPr>
                  <m:t>-1)</m:t>
                </m:r>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2</m:t>
                </m:r>
              </m:sub>
            </m:sSub>
          </m:den>
        </m:f>
      </m:oMath>
      <w:r w:rsidR="00F52532" w:rsidRPr="00B33055">
        <w:rPr>
          <w:rFonts w:ascii="Cambria Math" w:hAnsi="Cambria Math"/>
        </w:rPr>
        <w:tab/>
        <w:t>(</w:t>
      </w:r>
      <w:r w:rsidR="00F52532">
        <w:rPr>
          <w:rFonts w:ascii="Cambria Math" w:hAnsi="Cambria Math"/>
        </w:rPr>
        <w:t>2</w:t>
      </w:r>
      <w:r w:rsidR="006B074D">
        <w:rPr>
          <w:rFonts w:ascii="Cambria Math" w:hAnsi="Cambria Math"/>
        </w:rPr>
        <w:t>-</w:t>
      </w:r>
      <w:r w:rsidR="00F52532" w:rsidRPr="00B33055">
        <w:rPr>
          <w:rFonts w:ascii="Cambria Math" w:hAnsi="Cambria Math"/>
        </w:rPr>
        <w:t>10)</w:t>
      </w:r>
    </w:p>
    <w:p w14:paraId="5B4BC6C6" w14:textId="494DA639" w:rsidR="00F52532" w:rsidRPr="00B33055" w:rsidRDefault="00304B8E" w:rsidP="00F52532">
      <w:r>
        <w:t>For the</w:t>
      </w:r>
      <w:r w:rsidR="00F52532" w:rsidRPr="00B33055">
        <w:t xml:space="preserve"> modified SWCTT, the partition coefficient of tracer 1 in the above equation is zero. Thus, Eq. </w:t>
      </w:r>
      <w:r w:rsidR="006B074D">
        <w:t>2-</w:t>
      </w:r>
      <w:r w:rsidR="00F52532" w:rsidRPr="00B33055">
        <w:t>10 can be simplified for the specific case:</w:t>
      </w:r>
    </w:p>
    <w:p w14:paraId="0515938B" w14:textId="77777777" w:rsidR="00F52532" w:rsidRDefault="00A53410" w:rsidP="00F52532">
      <w:pPr>
        <w:rPr>
          <w:rFonts w:ascii="Cambria Math" w:hAnsi="Cambria Math"/>
        </w:rPr>
      </w:pP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o</m:t>
            </m:r>
          </m:sub>
        </m:sSub>
        <m:r>
          <m:rPr>
            <m:sty m:val="p"/>
          </m:rPr>
          <w:rPr>
            <w:rFonts w:ascii="Cambria Math" w:hAnsi="Cambria Math"/>
          </w:rPr>
          <m:t>=</m:t>
        </m:r>
        <m:f>
          <m:fPr>
            <m:ctrlPr>
              <w:rPr>
                <w:rFonts w:ascii="Cambria Math" w:hAnsi="Cambria Math"/>
              </w:rPr>
            </m:ctrlPr>
          </m:fPr>
          <m:num>
            <m:r>
              <m:rPr>
                <m:sty m:val="p"/>
              </m:rPr>
              <w:rPr>
                <w:rFonts w:ascii="Cambria Math" w:hAnsi="Cambria Math"/>
              </w:rPr>
              <m:t>R∙</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ester</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alcohol</m:t>
                </m:r>
              </m:sub>
            </m:sSub>
          </m:num>
          <m:den>
            <m:sSub>
              <m:sSubPr>
                <m:ctrlPr>
                  <w:rPr>
                    <w:rFonts w:ascii="Cambria Math" w:hAnsi="Cambria Math"/>
                  </w:rPr>
                </m:ctrlPr>
              </m:sSubPr>
              <m:e>
                <m:r>
                  <m:rPr>
                    <m:sty m:val="p"/>
                  </m:rPr>
                  <w:rPr>
                    <w:rFonts w:ascii="Cambria Math" w:hAnsi="Cambria Math"/>
                  </w:rPr>
                  <m:t>(K</m:t>
                </m:r>
              </m:e>
              <m:sub>
                <m:r>
                  <m:rPr>
                    <m:sty m:val="p"/>
                  </m:rPr>
                  <w:rPr>
                    <w:rFonts w:ascii="Cambria Math" w:hAnsi="Cambria Math"/>
                  </w:rPr>
                  <m:t>ester</m:t>
                </m:r>
              </m:sub>
            </m:sSub>
            <m:r>
              <m:rPr>
                <m:sty m:val="p"/>
              </m:rPr>
              <w:rPr>
                <w:rFonts w:ascii="Cambria Math" w:hAnsi="Cambria Math"/>
              </w:rPr>
              <m:t>-1)</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alcohol</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R∙</m:t>
                </m:r>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ester</m:t>
                </m:r>
              </m:sub>
            </m:sSub>
          </m:den>
        </m:f>
      </m:oMath>
      <w:r w:rsidR="00F52532" w:rsidRPr="00B33055">
        <w:rPr>
          <w:rFonts w:ascii="Cambria Math" w:hAnsi="Cambria Math"/>
        </w:rPr>
        <w:tab/>
        <w:t>(</w:t>
      </w:r>
      <w:r w:rsidR="006B074D">
        <w:rPr>
          <w:rFonts w:ascii="Cambria Math" w:hAnsi="Cambria Math"/>
        </w:rPr>
        <w:t>2-</w:t>
      </w:r>
      <w:r w:rsidR="00F52532" w:rsidRPr="00B33055">
        <w:rPr>
          <w:rFonts w:ascii="Cambria Math" w:hAnsi="Cambria Math"/>
        </w:rPr>
        <w:t>11)</w:t>
      </w:r>
    </w:p>
    <w:p w14:paraId="27C9E768" w14:textId="77777777" w:rsidR="00F242D4" w:rsidRPr="00B33055" w:rsidRDefault="00F242D4" w:rsidP="00F52532">
      <w:pPr>
        <w:rPr>
          <w:rFonts w:ascii="Cambria Math" w:hAnsi="Cambria Math"/>
        </w:rPr>
      </w:pPr>
    </w:p>
    <w:p w14:paraId="07BF4532" w14:textId="77777777" w:rsidR="00F52532" w:rsidRDefault="001B588B" w:rsidP="001B588B">
      <w:pPr>
        <w:pStyle w:val="Heading2"/>
      </w:pPr>
      <w:bookmarkStart w:id="43" w:name="_Toc491875869"/>
      <w:bookmarkStart w:id="44" w:name="_Toc491876428"/>
      <w:bookmarkStart w:id="45" w:name="_Toc494014197"/>
      <w:r>
        <w:lastRenderedPageBreak/>
        <w:t>Method Validation and Comparison</w:t>
      </w:r>
      <w:bookmarkEnd w:id="43"/>
      <w:bookmarkEnd w:id="44"/>
      <w:bookmarkEnd w:id="45"/>
    </w:p>
    <w:p w14:paraId="4FCE3C6C" w14:textId="77777777" w:rsidR="001B588B" w:rsidRDefault="001B588B" w:rsidP="009C12AD">
      <w:pPr>
        <w:pStyle w:val="Heading3"/>
      </w:pPr>
      <w:bookmarkStart w:id="46" w:name="_Toc491875870"/>
      <w:bookmarkStart w:id="47" w:name="_Toc491876429"/>
      <w:bookmarkStart w:id="48" w:name="_Toc494014198"/>
      <w:r>
        <w:t>Model Description</w:t>
      </w:r>
      <w:bookmarkEnd w:id="46"/>
      <w:bookmarkEnd w:id="47"/>
      <w:bookmarkEnd w:id="48"/>
    </w:p>
    <w:p w14:paraId="35F0C9FC" w14:textId="68A2815F" w:rsidR="001B588B" w:rsidRDefault="001B588B" w:rsidP="001B588B">
      <w:r w:rsidRPr="00B33055">
        <w:t>The proposed method was validated through numerical simulation on synthetic cases with known input parameters.</w:t>
      </w:r>
      <w:r w:rsidRPr="00B33055">
        <w:rPr>
          <w:rFonts w:hint="eastAsia"/>
        </w:rPr>
        <w:t xml:space="preserve"> </w:t>
      </w:r>
      <w:r w:rsidRPr="00B33055">
        <w:t xml:space="preserve">Numerical simulation was carried out using Stars software from the Computer Modeling Group (CMG). </w:t>
      </w:r>
      <w:r w:rsidRPr="00B33055">
        <w:rPr>
          <w:rFonts w:hint="eastAsia"/>
        </w:rPr>
        <w:t>The model</w:t>
      </w:r>
      <w:r w:rsidRPr="00B33055">
        <w:t xml:space="preserve"> was a cylindrical domain </w:t>
      </w:r>
      <w:r w:rsidRPr="00B33055">
        <w:rPr>
          <w:rFonts w:hint="eastAsia"/>
        </w:rPr>
        <w:t xml:space="preserve">with a single vertical well in the center </w:t>
      </w:r>
      <w:r w:rsidRPr="00B33055">
        <w:t>(</w:t>
      </w:r>
      <w:r w:rsidR="008874BD">
        <w:fldChar w:fldCharType="begin"/>
      </w:r>
      <w:r w:rsidR="008874BD">
        <w:instrText xml:space="preserve"> REF _Ref491870584 \h </w:instrText>
      </w:r>
      <w:r w:rsidR="008874BD">
        <w:fldChar w:fldCharType="separate"/>
      </w:r>
      <w:r w:rsidR="00304B8E" w:rsidRPr="00541084">
        <w:rPr>
          <w:szCs w:val="22"/>
        </w:rPr>
        <w:t xml:space="preserve">Figure </w:t>
      </w:r>
      <w:r w:rsidR="00304B8E">
        <w:rPr>
          <w:noProof/>
          <w:szCs w:val="22"/>
        </w:rPr>
        <w:t>2</w:t>
      </w:r>
      <w:r w:rsidR="00304B8E">
        <w:rPr>
          <w:szCs w:val="22"/>
        </w:rPr>
        <w:noBreakHyphen/>
      </w:r>
      <w:r w:rsidR="00304B8E">
        <w:rPr>
          <w:noProof/>
          <w:szCs w:val="22"/>
        </w:rPr>
        <w:t>6</w:t>
      </w:r>
      <w:r w:rsidR="008874BD">
        <w:fldChar w:fldCharType="end"/>
      </w:r>
      <w:r w:rsidRPr="00B33055">
        <w:t xml:space="preserve">), </w:t>
      </w:r>
      <w:r w:rsidRPr="00B33055">
        <w:rPr>
          <w:rFonts w:hint="eastAsia"/>
        </w:rPr>
        <w:t>and the reservoir ha</w:t>
      </w:r>
      <w:r w:rsidRPr="00B33055">
        <w:t>d</w:t>
      </w:r>
      <w:r w:rsidRPr="00B33055">
        <w:rPr>
          <w:rFonts w:hint="eastAsia"/>
        </w:rPr>
        <w:t xml:space="preserve"> homogeneous and isotropic </w:t>
      </w:r>
      <w:r w:rsidRPr="00024183">
        <w:rPr>
          <w:rFonts w:hint="eastAsia"/>
          <w:color w:val="0D0D0D" w:themeColor="text1" w:themeTint="F2"/>
        </w:rPr>
        <w:t xml:space="preserve">petrophysical parameters. </w:t>
      </w:r>
      <w:r w:rsidRPr="00024183">
        <w:rPr>
          <w:color w:val="0D0D0D" w:themeColor="text1" w:themeTint="F2"/>
        </w:rPr>
        <w:t>T</w:t>
      </w:r>
      <w:r w:rsidRPr="00024183">
        <w:rPr>
          <w:rFonts w:hint="eastAsia"/>
          <w:color w:val="0D0D0D" w:themeColor="text1" w:themeTint="F2"/>
        </w:rPr>
        <w:t>wo mobile phases exist</w:t>
      </w:r>
      <w:r w:rsidRPr="00024183">
        <w:rPr>
          <w:color w:val="0D0D0D" w:themeColor="text1" w:themeTint="F2"/>
        </w:rPr>
        <w:t>ed</w:t>
      </w:r>
      <w:r w:rsidRPr="00024183">
        <w:rPr>
          <w:rFonts w:hint="eastAsia"/>
          <w:color w:val="0D0D0D" w:themeColor="text1" w:themeTint="F2"/>
        </w:rPr>
        <w:t xml:space="preserve"> and their saturations </w:t>
      </w:r>
      <w:r w:rsidRPr="00024183">
        <w:rPr>
          <w:color w:val="0D0D0D" w:themeColor="text1" w:themeTint="F2"/>
        </w:rPr>
        <w:t>we</w:t>
      </w:r>
      <w:r w:rsidRPr="00024183">
        <w:rPr>
          <w:rFonts w:hint="eastAsia"/>
          <w:color w:val="0D0D0D" w:themeColor="text1" w:themeTint="F2"/>
        </w:rPr>
        <w:t xml:space="preserve">re </w:t>
      </w:r>
      <w:r w:rsidRPr="00024183">
        <w:rPr>
          <w:color w:val="0D0D0D" w:themeColor="text1" w:themeTint="F2"/>
        </w:rPr>
        <w:t>uniform spatially</w:t>
      </w:r>
      <w:r w:rsidRPr="00024183">
        <w:rPr>
          <w:rFonts w:hint="eastAsia"/>
          <w:color w:val="0D0D0D" w:themeColor="text1" w:themeTint="F2"/>
        </w:rPr>
        <w:t xml:space="preserve">. </w:t>
      </w:r>
      <w:r w:rsidR="008C67CE" w:rsidRPr="00024183">
        <w:rPr>
          <w:color w:val="0D0D0D" w:themeColor="text1" w:themeTint="F2"/>
        </w:rPr>
        <w:t>Grid size could affect the simulation output</w:t>
      </w:r>
      <w:r w:rsidR="00F1614E" w:rsidRPr="00024183">
        <w:rPr>
          <w:color w:val="0D0D0D" w:themeColor="text1" w:themeTint="F2"/>
        </w:rPr>
        <w:t xml:space="preserve">. </w:t>
      </w:r>
      <w:r w:rsidRPr="00024183">
        <w:rPr>
          <w:color w:val="0D0D0D" w:themeColor="text1" w:themeTint="F2"/>
        </w:rPr>
        <w:t xml:space="preserve">To </w:t>
      </w:r>
      <w:r w:rsidR="00FE2002" w:rsidRPr="00024183">
        <w:rPr>
          <w:color w:val="0D0D0D" w:themeColor="text1" w:themeTint="F2"/>
        </w:rPr>
        <w:t>minimize</w:t>
      </w:r>
      <w:r w:rsidRPr="00024183">
        <w:rPr>
          <w:color w:val="0D0D0D" w:themeColor="text1" w:themeTint="F2"/>
        </w:rPr>
        <w:t xml:space="preserve"> the numerical dispersion, the grids near the wellbore were 0.1 ft. </w:t>
      </w:r>
      <w:r w:rsidR="00F1614E" w:rsidRPr="00024183">
        <w:rPr>
          <w:color w:val="0D0D0D" w:themeColor="text1" w:themeTint="F2"/>
        </w:rPr>
        <w:t xml:space="preserve">This selection of grid size is justified in section 2.4.4. </w:t>
      </w:r>
      <w:r w:rsidRPr="00024183">
        <w:rPr>
          <w:color w:val="0D0D0D" w:themeColor="text1" w:themeTint="F2"/>
        </w:rPr>
        <w:t xml:space="preserve">The relative permeability curve is given in </w:t>
      </w:r>
      <w:r w:rsidR="008874BD" w:rsidRPr="00024183">
        <w:rPr>
          <w:color w:val="0D0D0D" w:themeColor="text1" w:themeTint="F2"/>
        </w:rPr>
        <w:fldChar w:fldCharType="begin"/>
      </w:r>
      <w:r w:rsidR="008874BD" w:rsidRPr="00024183">
        <w:rPr>
          <w:color w:val="0D0D0D" w:themeColor="text1" w:themeTint="F2"/>
        </w:rPr>
        <w:instrText xml:space="preserve"> REF _Ref491870593 \h </w:instrText>
      </w:r>
      <w:r w:rsidR="008874BD" w:rsidRPr="00024183">
        <w:rPr>
          <w:color w:val="0D0D0D" w:themeColor="text1" w:themeTint="F2"/>
        </w:rPr>
      </w:r>
      <w:r w:rsidR="008874BD" w:rsidRPr="00024183">
        <w:rPr>
          <w:color w:val="0D0D0D" w:themeColor="text1" w:themeTint="F2"/>
        </w:rPr>
        <w:fldChar w:fldCharType="separate"/>
      </w:r>
      <w:r w:rsidR="00304B8E" w:rsidRPr="00024183">
        <w:rPr>
          <w:color w:val="0D0D0D" w:themeColor="text1" w:themeTint="F2"/>
          <w:szCs w:val="22"/>
        </w:rPr>
        <w:t xml:space="preserve">Figure </w:t>
      </w:r>
      <w:r w:rsidR="00304B8E" w:rsidRPr="00024183">
        <w:rPr>
          <w:noProof/>
          <w:color w:val="0D0D0D" w:themeColor="text1" w:themeTint="F2"/>
          <w:szCs w:val="22"/>
        </w:rPr>
        <w:t>2</w:t>
      </w:r>
      <w:r w:rsidR="00304B8E" w:rsidRPr="00024183">
        <w:rPr>
          <w:color w:val="0D0D0D" w:themeColor="text1" w:themeTint="F2"/>
          <w:szCs w:val="22"/>
        </w:rPr>
        <w:noBreakHyphen/>
      </w:r>
      <w:r w:rsidR="00304B8E" w:rsidRPr="00024183">
        <w:rPr>
          <w:noProof/>
          <w:color w:val="0D0D0D" w:themeColor="text1" w:themeTint="F2"/>
          <w:szCs w:val="22"/>
        </w:rPr>
        <w:t>7</w:t>
      </w:r>
      <w:r w:rsidR="008874BD" w:rsidRPr="00024183">
        <w:rPr>
          <w:color w:val="0D0D0D" w:themeColor="text1" w:themeTint="F2"/>
        </w:rPr>
        <w:fldChar w:fldCharType="end"/>
      </w:r>
      <w:r w:rsidR="008874BD" w:rsidRPr="00024183">
        <w:rPr>
          <w:color w:val="0D0D0D" w:themeColor="text1" w:themeTint="F2"/>
        </w:rPr>
        <w:t xml:space="preserve"> </w:t>
      </w:r>
      <w:r w:rsidRPr="00024183">
        <w:rPr>
          <w:color w:val="0D0D0D" w:themeColor="text1" w:themeTint="F2"/>
        </w:rPr>
        <w:t xml:space="preserve">and residual oil saturation was 0.87. In </w:t>
      </w:r>
      <w:r w:rsidR="006715E5">
        <w:t>the simulated</w:t>
      </w:r>
      <w:r w:rsidR="006715E5" w:rsidRPr="00B33055">
        <w:t xml:space="preserve"> </w:t>
      </w:r>
      <w:r w:rsidRPr="00B33055">
        <w:t>models, ethyl formate is injected as the primary tracer (ester). Its partition coefficient was assumed as 1.5. The model included the fir</w:t>
      </w:r>
      <w:r w:rsidR="001A0C35">
        <w:t>st order hydrolysis reaction. Appendix B shows one input file for the simulation with initial oil saturation of 0.9.</w:t>
      </w:r>
    </w:p>
    <w:p w14:paraId="71819EB6" w14:textId="77777777" w:rsidR="008874BD" w:rsidRDefault="008874BD" w:rsidP="00923C92">
      <w:pPr>
        <w:keepNext/>
        <w:ind w:firstLine="0"/>
        <w:jc w:val="center"/>
      </w:pPr>
      <w:r w:rsidRPr="00B33055">
        <w:rPr>
          <w:noProof/>
          <w:color w:val="000000" w:themeColor="text1"/>
          <w:lang w:eastAsia="zh-CN" w:bidi="ar-SA"/>
        </w:rPr>
        <w:lastRenderedPageBreak/>
        <w:drawing>
          <wp:inline distT="0" distB="0" distL="0" distR="0" wp14:anchorId="14722A9B" wp14:editId="7AD92B6F">
            <wp:extent cx="4807166" cy="3771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 Profile.jpg"/>
                    <pic:cNvPicPr/>
                  </pic:nvPicPr>
                  <pic:blipFill rotWithShape="1">
                    <a:blip r:embed="rId16">
                      <a:extLst>
                        <a:ext uri="{28A0092B-C50C-407E-A947-70E740481C1C}">
                          <a14:useLocalDpi xmlns:a14="http://schemas.microsoft.com/office/drawing/2010/main" val="0"/>
                        </a:ext>
                      </a:extLst>
                    </a:blip>
                    <a:srcRect t="7481" r="14482"/>
                    <a:stretch/>
                  </pic:blipFill>
                  <pic:spPr bwMode="auto">
                    <a:xfrm>
                      <a:off x="0" y="0"/>
                      <a:ext cx="4813920" cy="3777200"/>
                    </a:xfrm>
                    <a:prstGeom prst="rect">
                      <a:avLst/>
                    </a:prstGeom>
                    <a:ln>
                      <a:noFill/>
                    </a:ln>
                    <a:extLst>
                      <a:ext uri="{53640926-AAD7-44D8-BBD7-CCE9431645EC}">
                        <a14:shadowObscured xmlns:a14="http://schemas.microsoft.com/office/drawing/2010/main"/>
                      </a:ext>
                    </a:extLst>
                  </pic:spPr>
                </pic:pic>
              </a:graphicData>
            </a:graphic>
          </wp:inline>
        </w:drawing>
      </w:r>
    </w:p>
    <w:p w14:paraId="14B2A7FA" w14:textId="140F7E45" w:rsidR="008874BD" w:rsidRPr="00541084" w:rsidRDefault="008874BD" w:rsidP="00BF3F9B">
      <w:pPr>
        <w:pStyle w:val="Caption"/>
        <w:rPr>
          <w:szCs w:val="22"/>
        </w:rPr>
      </w:pPr>
      <w:bookmarkStart w:id="49" w:name="_Ref491870584"/>
      <w:bookmarkStart w:id="50" w:name="_Toc495144715"/>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2</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6</w:t>
      </w:r>
      <w:r w:rsidR="00280FFF">
        <w:rPr>
          <w:szCs w:val="22"/>
        </w:rPr>
        <w:fldChar w:fldCharType="end"/>
      </w:r>
      <w:bookmarkEnd w:id="49"/>
      <w:r w:rsidRPr="00541084">
        <w:rPr>
          <w:szCs w:val="22"/>
        </w:rPr>
        <w:t>. Cylindrical domain of reservoir. Injector and producer are located at the center. Saturation is spatially constant.</w:t>
      </w:r>
      <w:bookmarkEnd w:id="50"/>
    </w:p>
    <w:p w14:paraId="24E2DF0A" w14:textId="77777777" w:rsidR="008874BD" w:rsidRPr="00B33055" w:rsidRDefault="008874BD" w:rsidP="00923C92">
      <w:pPr>
        <w:keepNext/>
        <w:ind w:firstLine="0"/>
        <w:jc w:val="center"/>
        <w:rPr>
          <w:color w:val="000000" w:themeColor="text1"/>
        </w:rPr>
      </w:pPr>
      <w:r w:rsidRPr="00B33055">
        <w:rPr>
          <w:noProof/>
          <w:color w:val="000000" w:themeColor="text1"/>
          <w:lang w:eastAsia="zh-CN" w:bidi="ar-SA"/>
        </w:rPr>
        <w:drawing>
          <wp:inline distT="0" distB="0" distL="0" distR="0" wp14:anchorId="78644B30" wp14:editId="3AA57908">
            <wp:extent cx="4594860" cy="3425825"/>
            <wp:effectExtent l="0" t="0" r="0" b="0"/>
            <wp:docPr id="2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94860" cy="3425825"/>
                    </a:xfrm>
                    <a:prstGeom prst="rect">
                      <a:avLst/>
                    </a:prstGeom>
                    <a:noFill/>
                    <a:ln>
                      <a:noFill/>
                    </a:ln>
                  </pic:spPr>
                </pic:pic>
              </a:graphicData>
            </a:graphic>
          </wp:inline>
        </w:drawing>
      </w:r>
    </w:p>
    <w:p w14:paraId="2E934578" w14:textId="3338210F" w:rsidR="008874BD" w:rsidRPr="00541084" w:rsidRDefault="008874BD" w:rsidP="00BF3F9B">
      <w:pPr>
        <w:pStyle w:val="Caption"/>
        <w:rPr>
          <w:rFonts w:ascii="Times New Roman" w:hAnsi="Times New Roman"/>
          <w:szCs w:val="22"/>
        </w:rPr>
      </w:pPr>
      <w:bookmarkStart w:id="51" w:name="_Ref491870593"/>
      <w:bookmarkStart w:id="52" w:name="_Toc495144716"/>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2</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7</w:t>
      </w:r>
      <w:r w:rsidR="00280FFF">
        <w:rPr>
          <w:szCs w:val="22"/>
        </w:rPr>
        <w:fldChar w:fldCharType="end"/>
      </w:r>
      <w:bookmarkEnd w:id="51"/>
      <w:r w:rsidRPr="00541084">
        <w:rPr>
          <w:szCs w:val="22"/>
        </w:rPr>
        <w:t>. Relative Permeability Curve</w:t>
      </w:r>
      <w:bookmarkEnd w:id="52"/>
    </w:p>
    <w:p w14:paraId="62DCE755" w14:textId="77777777" w:rsidR="008874BD" w:rsidRPr="00B33055" w:rsidRDefault="008874BD" w:rsidP="001B588B"/>
    <w:p w14:paraId="4FA38072" w14:textId="06F2BC8F" w:rsidR="001B588B" w:rsidRDefault="001B588B" w:rsidP="001B588B">
      <w:r w:rsidRPr="00B33055">
        <w:rPr>
          <w:rFonts w:hint="eastAsia"/>
        </w:rPr>
        <w:lastRenderedPageBreak/>
        <w:t>The well inject</w:t>
      </w:r>
      <w:r w:rsidRPr="00B33055">
        <w:t>ed a</w:t>
      </w:r>
      <w:r w:rsidRPr="00B33055">
        <w:rPr>
          <w:rFonts w:hint="eastAsia"/>
        </w:rPr>
        <w:t xml:space="preserve"> </w:t>
      </w:r>
      <w:r w:rsidRPr="00B33055">
        <w:t xml:space="preserve">mixture of </w:t>
      </w:r>
      <w:r w:rsidRPr="00B33055">
        <w:rPr>
          <w:rFonts w:hint="eastAsia"/>
        </w:rPr>
        <w:t xml:space="preserve">oil and water with </w:t>
      </w:r>
      <w:r w:rsidRPr="00B33055">
        <w:t xml:space="preserve">the </w:t>
      </w:r>
      <w:r w:rsidRPr="00B33055">
        <w:rPr>
          <w:rFonts w:hint="eastAsia"/>
        </w:rPr>
        <w:t>partitioning tracer for 0.</w:t>
      </w:r>
      <w:r w:rsidRPr="00B33055">
        <w:t>08</w:t>
      </w:r>
      <w:r w:rsidRPr="00B33055">
        <w:rPr>
          <w:rFonts w:hint="eastAsia"/>
        </w:rPr>
        <w:t xml:space="preserve"> day</w:t>
      </w:r>
      <w:r w:rsidRPr="00B33055">
        <w:t>s</w:t>
      </w:r>
      <w:r w:rsidRPr="00B33055">
        <w:rPr>
          <w:rFonts w:hint="eastAsia"/>
        </w:rPr>
        <w:t xml:space="preserve"> </w:t>
      </w:r>
      <w:r w:rsidRPr="00B33055">
        <w:t xml:space="preserve">at a low concentration – the mole fraction of ethyl formate was 0.0025. The constant injection rate was 550 bbl/day (no constraints on bottom-hole pressure (BHP)). The well continued to inject the pusher without the partitioning tracer until 0.5 days. </w:t>
      </w:r>
      <w:r w:rsidR="00B8472C">
        <w:t>The next step was to shut in the</w:t>
      </w:r>
      <w:r w:rsidRPr="00B33055">
        <w:t xml:space="preserve"> well </w:t>
      </w:r>
      <w:r w:rsidRPr="00B33055">
        <w:rPr>
          <w:rFonts w:hint="eastAsia"/>
        </w:rPr>
        <w:t>for 1 day to allow the tracer</w:t>
      </w:r>
      <w:r w:rsidRPr="00B33055">
        <w:t xml:space="preserve"> to</w:t>
      </w:r>
      <w:r w:rsidRPr="00B33055">
        <w:rPr>
          <w:rFonts w:hint="eastAsia"/>
        </w:rPr>
        <w:t xml:space="preserve"> react and generate a conservative tracer</w:t>
      </w:r>
      <w:r w:rsidRPr="00B33055">
        <w:t xml:space="preserve"> - alcohol</w:t>
      </w:r>
      <w:r w:rsidRPr="00B33055">
        <w:rPr>
          <w:rFonts w:hint="eastAsia"/>
        </w:rPr>
        <w:t xml:space="preserve">. </w:t>
      </w:r>
      <w:r w:rsidR="00B8472C">
        <w:t>The</w:t>
      </w:r>
      <w:r w:rsidRPr="00B33055">
        <w:rPr>
          <w:rFonts w:hint="eastAsia"/>
        </w:rPr>
        <w:t xml:space="preserve"> well </w:t>
      </w:r>
      <w:r w:rsidRPr="00B33055">
        <w:t>was</w:t>
      </w:r>
      <w:r w:rsidRPr="00B33055">
        <w:rPr>
          <w:rFonts w:hint="eastAsia"/>
        </w:rPr>
        <w:t xml:space="preserve"> open </w:t>
      </w:r>
      <w:r w:rsidRPr="00B33055">
        <w:t xml:space="preserve">to produce back </w:t>
      </w:r>
      <w:r w:rsidR="00B8472C">
        <w:t xml:space="preserve">after shut-in </w:t>
      </w:r>
      <w:r w:rsidRPr="00B33055">
        <w:t>at a constant production rate of 820 bbl/day. More input</w:t>
      </w:r>
      <w:r w:rsidR="004D285B">
        <w:t xml:space="preserve"> parameters are listed in </w:t>
      </w:r>
      <w:r w:rsidR="004D285B">
        <w:fldChar w:fldCharType="begin"/>
      </w:r>
      <w:r w:rsidR="004D285B">
        <w:instrText xml:space="preserve"> REF _Ref491873295 \h </w:instrText>
      </w:r>
      <w:r w:rsidR="004D285B">
        <w:fldChar w:fldCharType="separate"/>
      </w:r>
      <w:r w:rsidR="004D285B">
        <w:t xml:space="preserve">Table </w:t>
      </w:r>
      <w:r w:rsidR="004D285B">
        <w:rPr>
          <w:noProof/>
        </w:rPr>
        <w:t>2</w:t>
      </w:r>
      <w:r w:rsidR="004D285B">
        <w:noBreakHyphen/>
      </w:r>
      <w:r w:rsidR="004D285B">
        <w:rPr>
          <w:noProof/>
        </w:rPr>
        <w:t>1</w:t>
      </w:r>
      <w:r w:rsidR="004D285B">
        <w:fldChar w:fldCharType="end"/>
      </w:r>
      <w:r w:rsidRPr="00B33055">
        <w:t>.</w:t>
      </w:r>
    </w:p>
    <w:p w14:paraId="4E8363B7" w14:textId="77777777" w:rsidR="0013560F" w:rsidRDefault="0013560F" w:rsidP="001B588B"/>
    <w:p w14:paraId="21953634" w14:textId="77777777" w:rsidR="0013560F" w:rsidRDefault="0013560F" w:rsidP="001B588B"/>
    <w:p w14:paraId="744D30BE" w14:textId="77777777" w:rsidR="0013560F" w:rsidRDefault="0013560F" w:rsidP="001B588B"/>
    <w:p w14:paraId="5053F0A5" w14:textId="77777777" w:rsidR="0013560F" w:rsidRDefault="0013560F" w:rsidP="001B588B"/>
    <w:p w14:paraId="3F43BB17" w14:textId="77777777" w:rsidR="0013560F" w:rsidRDefault="0013560F" w:rsidP="001B588B"/>
    <w:p w14:paraId="246D3055" w14:textId="77777777" w:rsidR="0013560F" w:rsidRDefault="0013560F" w:rsidP="001B588B"/>
    <w:p w14:paraId="0BE3F197" w14:textId="77777777" w:rsidR="0013560F" w:rsidRDefault="0013560F" w:rsidP="001B588B"/>
    <w:p w14:paraId="42B7F6FC" w14:textId="77777777" w:rsidR="0013560F" w:rsidRDefault="0013560F" w:rsidP="001B588B"/>
    <w:p w14:paraId="268B062D" w14:textId="77777777" w:rsidR="0013560F" w:rsidRDefault="0013560F" w:rsidP="001B588B"/>
    <w:p w14:paraId="3E78C404" w14:textId="77777777" w:rsidR="0013560F" w:rsidRDefault="0013560F" w:rsidP="001B588B"/>
    <w:p w14:paraId="3A0494DC" w14:textId="77777777" w:rsidR="0013560F" w:rsidRDefault="0013560F" w:rsidP="001B588B"/>
    <w:p w14:paraId="5CCF99BB" w14:textId="77777777" w:rsidR="0013560F" w:rsidRDefault="0013560F" w:rsidP="001B588B"/>
    <w:p w14:paraId="234984A9" w14:textId="77777777" w:rsidR="0013560F" w:rsidRDefault="0013560F" w:rsidP="001B588B"/>
    <w:p w14:paraId="5673062F" w14:textId="77777777" w:rsidR="0013560F" w:rsidRDefault="0013560F" w:rsidP="001B588B"/>
    <w:p w14:paraId="15C11B29" w14:textId="77777777" w:rsidR="0013560F" w:rsidRDefault="0013560F" w:rsidP="001B588B"/>
    <w:p w14:paraId="2C3B9E75" w14:textId="77777777" w:rsidR="0013560F" w:rsidRDefault="0013560F" w:rsidP="001B588B"/>
    <w:p w14:paraId="063AA894" w14:textId="77777777" w:rsidR="004D285B" w:rsidRPr="00541084" w:rsidRDefault="004D285B" w:rsidP="00BF3F9B">
      <w:pPr>
        <w:pStyle w:val="Caption"/>
        <w:rPr>
          <w:szCs w:val="22"/>
        </w:rPr>
      </w:pPr>
    </w:p>
    <w:tbl>
      <w:tblPr>
        <w:tblStyle w:val="LightShading"/>
        <w:tblW w:w="0" w:type="auto"/>
        <w:tblLook w:val="04A0" w:firstRow="1" w:lastRow="0" w:firstColumn="1" w:lastColumn="0" w:noHBand="0" w:noVBand="1"/>
      </w:tblPr>
      <w:tblGrid>
        <w:gridCol w:w="4102"/>
        <w:gridCol w:w="2317"/>
        <w:gridCol w:w="2293"/>
      </w:tblGrid>
      <w:tr w:rsidR="004D285B" w:rsidRPr="00B33055" w14:paraId="2CED7054" w14:textId="77777777" w:rsidTr="0078249D">
        <w:trPr>
          <w:cnfStyle w:val="100000000000" w:firstRow="1" w:lastRow="0" w:firstColumn="0" w:lastColumn="0" w:oddVBand="0" w:evenVBand="0" w:oddHBand="0"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871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361E07A" w14:textId="77777777" w:rsidR="004D285B" w:rsidRPr="00B33055" w:rsidRDefault="0078249D" w:rsidP="0078249D">
            <w:pPr>
              <w:jc w:val="center"/>
              <w:rPr>
                <w:rFonts w:ascii="Times New Roman" w:hAnsi="Times New Roman"/>
                <w:color w:val="000000" w:themeColor="text1"/>
              </w:rPr>
            </w:pPr>
            <w:bookmarkStart w:id="53" w:name="_Ref491873295"/>
            <w:bookmarkStart w:id="54" w:name="_Toc491876552"/>
            <w:bookmarkStart w:id="55" w:name="_Toc494014256"/>
            <w:r>
              <w:lastRenderedPageBreak/>
              <w:t xml:space="preserve">Table </w:t>
            </w:r>
            <w:fldSimple w:instr=" STYLEREF 1 \s ">
              <w:r w:rsidR="00A67B82">
                <w:rPr>
                  <w:noProof/>
                </w:rPr>
                <w:t>2</w:t>
              </w:r>
            </w:fldSimple>
            <w:r w:rsidR="00A67B82">
              <w:noBreakHyphen/>
            </w:r>
            <w:fldSimple w:instr=" SEQ Table \* ARABIC \s 1 ">
              <w:r w:rsidR="00A67B82">
                <w:rPr>
                  <w:noProof/>
                </w:rPr>
                <w:t>1</w:t>
              </w:r>
            </w:fldSimple>
            <w:bookmarkEnd w:id="53"/>
            <w:r>
              <w:t>. Input parameters in the numerical simulation</w:t>
            </w:r>
            <w:bookmarkEnd w:id="54"/>
            <w:bookmarkEnd w:id="55"/>
          </w:p>
        </w:tc>
      </w:tr>
      <w:tr w:rsidR="0078249D" w:rsidRPr="00B33055" w14:paraId="59889216" w14:textId="77777777" w:rsidTr="0013560F">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871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BFB0F59" w14:textId="77777777" w:rsidR="0078249D" w:rsidRPr="00B33055" w:rsidRDefault="0078249D" w:rsidP="00923C92">
            <w:pPr>
              <w:pStyle w:val="TableNormal1"/>
            </w:pPr>
            <w:r w:rsidRPr="00B33055">
              <w:t>Reservoir and Fluid Properties</w:t>
            </w:r>
          </w:p>
        </w:tc>
      </w:tr>
      <w:tr w:rsidR="004D285B" w:rsidRPr="00B33055" w14:paraId="66C8697D" w14:textId="77777777" w:rsidTr="0013560F">
        <w:tc>
          <w:tcPr>
            <w:cnfStyle w:val="001000000000" w:firstRow="0" w:lastRow="0" w:firstColumn="1" w:lastColumn="0" w:oddVBand="0" w:evenVBand="0" w:oddHBand="0" w:evenHBand="0" w:firstRowFirstColumn="0" w:firstRowLastColumn="0" w:lastRowFirstColumn="0" w:lastRowLastColumn="0"/>
            <w:tcW w:w="4102" w:type="dxa"/>
            <w:tcBorders>
              <w:top w:val="single" w:sz="4" w:space="0" w:color="auto"/>
              <w:left w:val="single" w:sz="4" w:space="0" w:color="auto"/>
              <w:bottom w:val="single" w:sz="4" w:space="0" w:color="auto"/>
            </w:tcBorders>
            <w:shd w:val="clear" w:color="auto" w:fill="FFFFFF" w:themeFill="background1"/>
          </w:tcPr>
          <w:p w14:paraId="67593E24" w14:textId="77777777" w:rsidR="004D285B" w:rsidRPr="00B33055" w:rsidRDefault="004D285B" w:rsidP="00923C92">
            <w:pPr>
              <w:pStyle w:val="TableNormal1"/>
            </w:pPr>
            <w:r w:rsidRPr="00B33055">
              <w:t>Parameter</w:t>
            </w:r>
          </w:p>
        </w:tc>
        <w:tc>
          <w:tcPr>
            <w:tcW w:w="2317" w:type="dxa"/>
            <w:tcBorders>
              <w:top w:val="single" w:sz="4" w:space="0" w:color="auto"/>
              <w:bottom w:val="single" w:sz="4" w:space="0" w:color="auto"/>
            </w:tcBorders>
            <w:shd w:val="clear" w:color="auto" w:fill="FFFFFF" w:themeFill="background1"/>
          </w:tcPr>
          <w:p w14:paraId="65B1D759" w14:textId="77777777" w:rsidR="004D285B" w:rsidRPr="00B33055" w:rsidRDefault="004D285B" w:rsidP="00923C92">
            <w:pPr>
              <w:pStyle w:val="TableNormal1"/>
              <w:cnfStyle w:val="000000000000" w:firstRow="0" w:lastRow="0" w:firstColumn="0" w:lastColumn="0" w:oddVBand="0" w:evenVBand="0" w:oddHBand="0" w:evenHBand="0" w:firstRowFirstColumn="0" w:firstRowLastColumn="0" w:lastRowFirstColumn="0" w:lastRowLastColumn="0"/>
            </w:pPr>
            <w:r w:rsidRPr="00B33055">
              <w:t>Value</w:t>
            </w:r>
          </w:p>
        </w:tc>
        <w:tc>
          <w:tcPr>
            <w:tcW w:w="2293" w:type="dxa"/>
            <w:tcBorders>
              <w:top w:val="single" w:sz="4" w:space="0" w:color="auto"/>
              <w:bottom w:val="single" w:sz="4" w:space="0" w:color="auto"/>
              <w:right w:val="single" w:sz="4" w:space="0" w:color="auto"/>
            </w:tcBorders>
            <w:shd w:val="clear" w:color="auto" w:fill="FFFFFF" w:themeFill="background1"/>
          </w:tcPr>
          <w:p w14:paraId="729F5D3A" w14:textId="77777777" w:rsidR="004D285B" w:rsidRPr="00B33055" w:rsidRDefault="004D285B" w:rsidP="00923C92">
            <w:pPr>
              <w:pStyle w:val="TableNormal1"/>
              <w:cnfStyle w:val="000000000000" w:firstRow="0" w:lastRow="0" w:firstColumn="0" w:lastColumn="0" w:oddVBand="0" w:evenVBand="0" w:oddHBand="0" w:evenHBand="0" w:firstRowFirstColumn="0" w:firstRowLastColumn="0" w:lastRowFirstColumn="0" w:lastRowLastColumn="0"/>
            </w:pPr>
            <w:r w:rsidRPr="00B33055">
              <w:t>Unit</w:t>
            </w:r>
          </w:p>
        </w:tc>
      </w:tr>
      <w:tr w:rsidR="004D285B" w:rsidRPr="00B33055" w14:paraId="65822964" w14:textId="77777777" w:rsidTr="00135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2" w:type="dxa"/>
            <w:tcBorders>
              <w:top w:val="single" w:sz="4" w:space="0" w:color="auto"/>
              <w:left w:val="single" w:sz="4" w:space="0" w:color="auto"/>
            </w:tcBorders>
            <w:shd w:val="clear" w:color="auto" w:fill="FFFFFF" w:themeFill="background1"/>
          </w:tcPr>
          <w:p w14:paraId="3183BE26" w14:textId="77777777" w:rsidR="004D285B" w:rsidRPr="00B33055" w:rsidRDefault="004D285B" w:rsidP="00923C92">
            <w:pPr>
              <w:pStyle w:val="TableNormal1"/>
            </w:pPr>
            <w:r w:rsidRPr="00B33055">
              <w:t>Number of Reservoir Girds</w:t>
            </w:r>
          </w:p>
        </w:tc>
        <w:tc>
          <w:tcPr>
            <w:tcW w:w="2317" w:type="dxa"/>
            <w:tcBorders>
              <w:top w:val="single" w:sz="4" w:space="0" w:color="auto"/>
            </w:tcBorders>
            <w:shd w:val="clear" w:color="auto" w:fill="FFFFFF" w:themeFill="background1"/>
          </w:tcPr>
          <w:p w14:paraId="26227433" w14:textId="77777777" w:rsidR="004D285B" w:rsidRPr="00B33055" w:rsidRDefault="004D285B" w:rsidP="00923C92">
            <w:pPr>
              <w:pStyle w:val="TableNormal1"/>
              <w:cnfStyle w:val="000000100000" w:firstRow="0" w:lastRow="0" w:firstColumn="0" w:lastColumn="0" w:oddVBand="0" w:evenVBand="0" w:oddHBand="1" w:evenHBand="0" w:firstRowFirstColumn="0" w:firstRowLastColumn="0" w:lastRowFirstColumn="0" w:lastRowLastColumn="0"/>
            </w:pPr>
            <w:r w:rsidRPr="00B33055">
              <w:t>(737,10,1)</w:t>
            </w:r>
          </w:p>
        </w:tc>
        <w:tc>
          <w:tcPr>
            <w:tcW w:w="2293" w:type="dxa"/>
            <w:tcBorders>
              <w:top w:val="single" w:sz="4" w:space="0" w:color="auto"/>
              <w:right w:val="single" w:sz="4" w:space="0" w:color="auto"/>
            </w:tcBorders>
            <w:shd w:val="clear" w:color="auto" w:fill="FFFFFF" w:themeFill="background1"/>
          </w:tcPr>
          <w:p w14:paraId="12D08B71" w14:textId="77777777" w:rsidR="004D285B" w:rsidRPr="00B33055" w:rsidRDefault="004D285B" w:rsidP="00923C92">
            <w:pPr>
              <w:pStyle w:val="TableNormal1"/>
              <w:cnfStyle w:val="000000100000" w:firstRow="0" w:lastRow="0" w:firstColumn="0" w:lastColumn="0" w:oddVBand="0" w:evenVBand="0" w:oddHBand="1" w:evenHBand="0" w:firstRowFirstColumn="0" w:firstRowLastColumn="0" w:lastRowFirstColumn="0" w:lastRowLastColumn="0"/>
            </w:pPr>
            <w:r w:rsidRPr="00B33055">
              <w:t>(r,θ,z)</w:t>
            </w:r>
          </w:p>
        </w:tc>
      </w:tr>
      <w:tr w:rsidR="004D285B" w:rsidRPr="00B33055" w14:paraId="2F6754BC" w14:textId="77777777" w:rsidTr="0013560F">
        <w:tc>
          <w:tcPr>
            <w:cnfStyle w:val="001000000000" w:firstRow="0" w:lastRow="0" w:firstColumn="1" w:lastColumn="0" w:oddVBand="0" w:evenVBand="0" w:oddHBand="0" w:evenHBand="0" w:firstRowFirstColumn="0" w:firstRowLastColumn="0" w:lastRowFirstColumn="0" w:lastRowLastColumn="0"/>
            <w:tcW w:w="4102" w:type="dxa"/>
            <w:tcBorders>
              <w:left w:val="single" w:sz="4" w:space="0" w:color="auto"/>
            </w:tcBorders>
            <w:shd w:val="clear" w:color="auto" w:fill="FFFFFF" w:themeFill="background1"/>
          </w:tcPr>
          <w:p w14:paraId="4D7ADC23" w14:textId="77777777" w:rsidR="004D285B" w:rsidRPr="00B33055" w:rsidRDefault="004D285B" w:rsidP="00923C92">
            <w:pPr>
              <w:pStyle w:val="TableNormal1"/>
            </w:pPr>
            <w:r w:rsidRPr="00B33055">
              <w:t>Reservoir Radius</w:t>
            </w:r>
          </w:p>
        </w:tc>
        <w:tc>
          <w:tcPr>
            <w:tcW w:w="2317" w:type="dxa"/>
            <w:shd w:val="clear" w:color="auto" w:fill="FFFFFF" w:themeFill="background1"/>
          </w:tcPr>
          <w:p w14:paraId="7D5BF963" w14:textId="77777777" w:rsidR="004D285B" w:rsidRPr="00B33055" w:rsidRDefault="004D285B" w:rsidP="00923C92">
            <w:pPr>
              <w:pStyle w:val="TableNormal1"/>
              <w:cnfStyle w:val="000000000000" w:firstRow="0" w:lastRow="0" w:firstColumn="0" w:lastColumn="0" w:oddVBand="0" w:evenVBand="0" w:oddHBand="0" w:evenHBand="0" w:firstRowFirstColumn="0" w:firstRowLastColumn="0" w:lastRowFirstColumn="0" w:lastRowLastColumn="0"/>
            </w:pPr>
            <w:r w:rsidRPr="00B33055">
              <w:t>21624</w:t>
            </w:r>
          </w:p>
        </w:tc>
        <w:tc>
          <w:tcPr>
            <w:tcW w:w="2293" w:type="dxa"/>
            <w:tcBorders>
              <w:right w:val="single" w:sz="4" w:space="0" w:color="auto"/>
            </w:tcBorders>
            <w:shd w:val="clear" w:color="auto" w:fill="FFFFFF" w:themeFill="background1"/>
          </w:tcPr>
          <w:p w14:paraId="4C7B4087" w14:textId="77777777" w:rsidR="004D285B" w:rsidRPr="00B33055" w:rsidRDefault="004D285B" w:rsidP="00923C92">
            <w:pPr>
              <w:pStyle w:val="TableNormal1"/>
              <w:cnfStyle w:val="000000000000" w:firstRow="0" w:lastRow="0" w:firstColumn="0" w:lastColumn="0" w:oddVBand="0" w:evenVBand="0" w:oddHBand="0" w:evenHBand="0" w:firstRowFirstColumn="0" w:firstRowLastColumn="0" w:lastRowFirstColumn="0" w:lastRowLastColumn="0"/>
            </w:pPr>
            <w:r w:rsidRPr="00B33055">
              <w:t>ft</w:t>
            </w:r>
          </w:p>
        </w:tc>
      </w:tr>
      <w:tr w:rsidR="004D285B" w:rsidRPr="00B33055" w14:paraId="16D5DA78" w14:textId="77777777" w:rsidTr="00135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2" w:type="dxa"/>
            <w:tcBorders>
              <w:left w:val="single" w:sz="4" w:space="0" w:color="auto"/>
            </w:tcBorders>
            <w:shd w:val="clear" w:color="auto" w:fill="FFFFFF" w:themeFill="background1"/>
          </w:tcPr>
          <w:p w14:paraId="2A2A7409" w14:textId="77777777" w:rsidR="004D285B" w:rsidRPr="00B33055" w:rsidRDefault="004D285B" w:rsidP="00923C92">
            <w:pPr>
              <w:pStyle w:val="TableNormal1"/>
            </w:pPr>
            <w:r w:rsidRPr="00B33055">
              <w:t>Reservoir Thickness</w:t>
            </w:r>
          </w:p>
        </w:tc>
        <w:tc>
          <w:tcPr>
            <w:tcW w:w="2317" w:type="dxa"/>
            <w:shd w:val="clear" w:color="auto" w:fill="FFFFFF" w:themeFill="background1"/>
          </w:tcPr>
          <w:p w14:paraId="39B2388A" w14:textId="77777777" w:rsidR="004D285B" w:rsidRPr="00B33055" w:rsidRDefault="004D285B" w:rsidP="00923C92">
            <w:pPr>
              <w:pStyle w:val="TableNormal1"/>
              <w:cnfStyle w:val="000000100000" w:firstRow="0" w:lastRow="0" w:firstColumn="0" w:lastColumn="0" w:oddVBand="0" w:evenVBand="0" w:oddHBand="1" w:evenHBand="0" w:firstRowFirstColumn="0" w:firstRowLastColumn="0" w:lastRowFirstColumn="0" w:lastRowLastColumn="0"/>
            </w:pPr>
            <w:r w:rsidRPr="00B33055">
              <w:t>16</w:t>
            </w:r>
          </w:p>
        </w:tc>
        <w:tc>
          <w:tcPr>
            <w:tcW w:w="2293" w:type="dxa"/>
            <w:tcBorders>
              <w:right w:val="single" w:sz="4" w:space="0" w:color="auto"/>
            </w:tcBorders>
            <w:shd w:val="clear" w:color="auto" w:fill="FFFFFF" w:themeFill="background1"/>
          </w:tcPr>
          <w:p w14:paraId="052FD39D" w14:textId="77777777" w:rsidR="004D285B" w:rsidRPr="00B33055" w:rsidRDefault="004D285B" w:rsidP="00923C92">
            <w:pPr>
              <w:pStyle w:val="TableNormal1"/>
              <w:cnfStyle w:val="000000100000" w:firstRow="0" w:lastRow="0" w:firstColumn="0" w:lastColumn="0" w:oddVBand="0" w:evenVBand="0" w:oddHBand="1" w:evenHBand="0" w:firstRowFirstColumn="0" w:firstRowLastColumn="0" w:lastRowFirstColumn="0" w:lastRowLastColumn="0"/>
            </w:pPr>
            <w:r w:rsidRPr="00B33055">
              <w:t>ft</w:t>
            </w:r>
          </w:p>
        </w:tc>
      </w:tr>
      <w:tr w:rsidR="004D285B" w:rsidRPr="00B33055" w14:paraId="1D7E0B1D" w14:textId="77777777" w:rsidTr="0013560F">
        <w:tc>
          <w:tcPr>
            <w:cnfStyle w:val="001000000000" w:firstRow="0" w:lastRow="0" w:firstColumn="1" w:lastColumn="0" w:oddVBand="0" w:evenVBand="0" w:oddHBand="0" w:evenHBand="0" w:firstRowFirstColumn="0" w:firstRowLastColumn="0" w:lastRowFirstColumn="0" w:lastRowLastColumn="0"/>
            <w:tcW w:w="4102" w:type="dxa"/>
            <w:tcBorders>
              <w:left w:val="single" w:sz="4" w:space="0" w:color="auto"/>
            </w:tcBorders>
            <w:shd w:val="clear" w:color="auto" w:fill="FFFFFF" w:themeFill="background1"/>
          </w:tcPr>
          <w:p w14:paraId="252AFC6C" w14:textId="77777777" w:rsidR="004D285B" w:rsidRPr="00B33055" w:rsidRDefault="004D285B" w:rsidP="00923C92">
            <w:pPr>
              <w:pStyle w:val="TableNormal1"/>
            </w:pPr>
            <w:r w:rsidRPr="00B33055">
              <w:t>Porosity</w:t>
            </w:r>
          </w:p>
        </w:tc>
        <w:tc>
          <w:tcPr>
            <w:tcW w:w="2317" w:type="dxa"/>
            <w:shd w:val="clear" w:color="auto" w:fill="FFFFFF" w:themeFill="background1"/>
          </w:tcPr>
          <w:p w14:paraId="7D227201" w14:textId="77777777" w:rsidR="004D285B" w:rsidRPr="00B33055" w:rsidRDefault="004D285B" w:rsidP="00923C92">
            <w:pPr>
              <w:pStyle w:val="TableNormal1"/>
              <w:cnfStyle w:val="000000000000" w:firstRow="0" w:lastRow="0" w:firstColumn="0" w:lastColumn="0" w:oddVBand="0" w:evenVBand="0" w:oddHBand="0" w:evenHBand="0" w:firstRowFirstColumn="0" w:firstRowLastColumn="0" w:lastRowFirstColumn="0" w:lastRowLastColumn="0"/>
            </w:pPr>
            <w:r w:rsidRPr="00B33055">
              <w:t>0.19</w:t>
            </w:r>
          </w:p>
        </w:tc>
        <w:tc>
          <w:tcPr>
            <w:tcW w:w="2293" w:type="dxa"/>
            <w:tcBorders>
              <w:right w:val="single" w:sz="4" w:space="0" w:color="auto"/>
            </w:tcBorders>
            <w:shd w:val="clear" w:color="auto" w:fill="FFFFFF" w:themeFill="background1"/>
          </w:tcPr>
          <w:p w14:paraId="2D7C881A" w14:textId="77777777" w:rsidR="004D285B" w:rsidRPr="00B33055" w:rsidRDefault="004D285B" w:rsidP="00923C92">
            <w:pPr>
              <w:pStyle w:val="TableNormal1"/>
              <w:cnfStyle w:val="000000000000" w:firstRow="0" w:lastRow="0" w:firstColumn="0" w:lastColumn="0" w:oddVBand="0" w:evenVBand="0" w:oddHBand="0" w:evenHBand="0" w:firstRowFirstColumn="0" w:firstRowLastColumn="0" w:lastRowFirstColumn="0" w:lastRowLastColumn="0"/>
            </w:pPr>
            <w:r w:rsidRPr="00B33055">
              <w:t>fraction</w:t>
            </w:r>
          </w:p>
        </w:tc>
      </w:tr>
      <w:tr w:rsidR="004D285B" w:rsidRPr="00B33055" w14:paraId="1F846D8E" w14:textId="77777777" w:rsidTr="00135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2" w:type="dxa"/>
            <w:tcBorders>
              <w:left w:val="single" w:sz="4" w:space="0" w:color="auto"/>
            </w:tcBorders>
            <w:shd w:val="clear" w:color="auto" w:fill="FFFFFF" w:themeFill="background1"/>
          </w:tcPr>
          <w:p w14:paraId="077D1DD2" w14:textId="77777777" w:rsidR="004D285B" w:rsidRPr="00B33055" w:rsidRDefault="004D285B" w:rsidP="00923C92">
            <w:pPr>
              <w:pStyle w:val="TableNormal1"/>
            </w:pPr>
            <w:r w:rsidRPr="00B33055">
              <w:t>Permeability</w:t>
            </w:r>
          </w:p>
        </w:tc>
        <w:tc>
          <w:tcPr>
            <w:tcW w:w="2317" w:type="dxa"/>
            <w:shd w:val="clear" w:color="auto" w:fill="FFFFFF" w:themeFill="background1"/>
          </w:tcPr>
          <w:p w14:paraId="65EDC34D" w14:textId="77777777" w:rsidR="004D285B" w:rsidRPr="00B33055" w:rsidRDefault="004D285B" w:rsidP="00923C92">
            <w:pPr>
              <w:pStyle w:val="TableNormal1"/>
              <w:cnfStyle w:val="000000100000" w:firstRow="0" w:lastRow="0" w:firstColumn="0" w:lastColumn="0" w:oddVBand="0" w:evenVBand="0" w:oddHBand="1" w:evenHBand="0" w:firstRowFirstColumn="0" w:firstRowLastColumn="0" w:lastRowFirstColumn="0" w:lastRowLastColumn="0"/>
            </w:pPr>
            <w:r w:rsidRPr="00B33055">
              <w:t>1000</w:t>
            </w:r>
          </w:p>
        </w:tc>
        <w:tc>
          <w:tcPr>
            <w:tcW w:w="2293" w:type="dxa"/>
            <w:tcBorders>
              <w:right w:val="single" w:sz="4" w:space="0" w:color="auto"/>
            </w:tcBorders>
            <w:shd w:val="clear" w:color="auto" w:fill="FFFFFF" w:themeFill="background1"/>
          </w:tcPr>
          <w:p w14:paraId="6D6A3BC9" w14:textId="77777777" w:rsidR="004D285B" w:rsidRPr="00B33055" w:rsidRDefault="004D285B" w:rsidP="00923C92">
            <w:pPr>
              <w:pStyle w:val="TableNormal1"/>
              <w:cnfStyle w:val="000000100000" w:firstRow="0" w:lastRow="0" w:firstColumn="0" w:lastColumn="0" w:oddVBand="0" w:evenVBand="0" w:oddHBand="1" w:evenHBand="0" w:firstRowFirstColumn="0" w:firstRowLastColumn="0" w:lastRowFirstColumn="0" w:lastRowLastColumn="0"/>
            </w:pPr>
            <w:r w:rsidRPr="00B33055">
              <w:t>md</w:t>
            </w:r>
          </w:p>
        </w:tc>
      </w:tr>
      <w:tr w:rsidR="004D285B" w:rsidRPr="00B33055" w14:paraId="25C2DD8E" w14:textId="77777777" w:rsidTr="0013560F">
        <w:tc>
          <w:tcPr>
            <w:cnfStyle w:val="001000000000" w:firstRow="0" w:lastRow="0" w:firstColumn="1" w:lastColumn="0" w:oddVBand="0" w:evenVBand="0" w:oddHBand="0" w:evenHBand="0" w:firstRowFirstColumn="0" w:firstRowLastColumn="0" w:lastRowFirstColumn="0" w:lastRowLastColumn="0"/>
            <w:tcW w:w="4102" w:type="dxa"/>
            <w:tcBorders>
              <w:left w:val="single" w:sz="4" w:space="0" w:color="auto"/>
            </w:tcBorders>
            <w:shd w:val="clear" w:color="auto" w:fill="FFFFFF" w:themeFill="background1"/>
          </w:tcPr>
          <w:p w14:paraId="366BAAD7" w14:textId="77777777" w:rsidR="004D285B" w:rsidRPr="00B33055" w:rsidRDefault="004D285B" w:rsidP="00923C92">
            <w:pPr>
              <w:pStyle w:val="TableNormal1"/>
            </w:pPr>
            <w:r w:rsidRPr="00B33055">
              <w:t>Temperature</w:t>
            </w:r>
          </w:p>
        </w:tc>
        <w:tc>
          <w:tcPr>
            <w:tcW w:w="2317" w:type="dxa"/>
            <w:tcBorders>
              <w:bottom w:val="nil"/>
            </w:tcBorders>
            <w:shd w:val="clear" w:color="auto" w:fill="FFFFFF" w:themeFill="background1"/>
          </w:tcPr>
          <w:p w14:paraId="5B85D42B" w14:textId="77777777" w:rsidR="004D285B" w:rsidRPr="00B33055" w:rsidRDefault="004D285B" w:rsidP="00923C92">
            <w:pPr>
              <w:pStyle w:val="TableNormal1"/>
              <w:cnfStyle w:val="000000000000" w:firstRow="0" w:lastRow="0" w:firstColumn="0" w:lastColumn="0" w:oddVBand="0" w:evenVBand="0" w:oddHBand="0" w:evenHBand="0" w:firstRowFirstColumn="0" w:firstRowLastColumn="0" w:lastRowFirstColumn="0" w:lastRowLastColumn="0"/>
            </w:pPr>
            <w:r w:rsidRPr="00B33055">
              <w:t>219</w:t>
            </w:r>
          </w:p>
        </w:tc>
        <w:tc>
          <w:tcPr>
            <w:tcW w:w="2293" w:type="dxa"/>
            <w:tcBorders>
              <w:right w:val="single" w:sz="4" w:space="0" w:color="auto"/>
            </w:tcBorders>
            <w:shd w:val="clear" w:color="auto" w:fill="FFFFFF" w:themeFill="background1"/>
          </w:tcPr>
          <w:p w14:paraId="38295C33" w14:textId="77777777" w:rsidR="004D285B" w:rsidRPr="00B33055" w:rsidRDefault="004D285B" w:rsidP="00923C92">
            <w:pPr>
              <w:pStyle w:val="TableNormal1"/>
              <w:cnfStyle w:val="000000000000" w:firstRow="0" w:lastRow="0" w:firstColumn="0" w:lastColumn="0" w:oddVBand="0" w:evenVBand="0" w:oddHBand="0" w:evenHBand="0" w:firstRowFirstColumn="0" w:firstRowLastColumn="0" w:lastRowFirstColumn="0" w:lastRowLastColumn="0"/>
              <w:rPr>
                <w:rFonts w:ascii="Arial" w:hAnsi="Arial" w:cs="Arial"/>
                <w:sz w:val="33"/>
                <w:szCs w:val="33"/>
              </w:rPr>
            </w:pPr>
            <w:r w:rsidRPr="00B33055">
              <w:t>ºF</w:t>
            </w:r>
          </w:p>
        </w:tc>
      </w:tr>
      <w:tr w:rsidR="004D285B" w:rsidRPr="00B33055" w14:paraId="3E119B6B" w14:textId="77777777" w:rsidTr="00135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2" w:type="dxa"/>
            <w:tcBorders>
              <w:top w:val="nil"/>
              <w:left w:val="single" w:sz="4" w:space="0" w:color="auto"/>
            </w:tcBorders>
            <w:shd w:val="clear" w:color="auto" w:fill="FFFFFF" w:themeFill="background1"/>
          </w:tcPr>
          <w:p w14:paraId="3FBA5FEF" w14:textId="77777777" w:rsidR="004D285B" w:rsidRPr="00B33055" w:rsidRDefault="004D285B" w:rsidP="00923C92">
            <w:pPr>
              <w:pStyle w:val="TableNormal1"/>
            </w:pPr>
            <w:r w:rsidRPr="00B33055">
              <w:t>Initial Reservoir Pressure</w:t>
            </w:r>
          </w:p>
        </w:tc>
        <w:tc>
          <w:tcPr>
            <w:tcW w:w="2317" w:type="dxa"/>
            <w:tcBorders>
              <w:top w:val="nil"/>
              <w:bottom w:val="nil"/>
            </w:tcBorders>
            <w:shd w:val="clear" w:color="auto" w:fill="FFFFFF" w:themeFill="background1"/>
          </w:tcPr>
          <w:p w14:paraId="6BFF3B5F" w14:textId="77777777" w:rsidR="004D285B" w:rsidRPr="00B33055" w:rsidRDefault="004D285B" w:rsidP="00923C92">
            <w:pPr>
              <w:pStyle w:val="TableNormal1"/>
              <w:cnfStyle w:val="000000100000" w:firstRow="0" w:lastRow="0" w:firstColumn="0" w:lastColumn="0" w:oddVBand="0" w:evenVBand="0" w:oddHBand="1" w:evenHBand="0" w:firstRowFirstColumn="0" w:firstRowLastColumn="0" w:lastRowFirstColumn="0" w:lastRowLastColumn="0"/>
            </w:pPr>
            <w:r w:rsidRPr="00B33055">
              <w:t>4925</w:t>
            </w:r>
          </w:p>
        </w:tc>
        <w:tc>
          <w:tcPr>
            <w:tcW w:w="2293" w:type="dxa"/>
            <w:tcBorders>
              <w:top w:val="nil"/>
              <w:right w:val="single" w:sz="4" w:space="0" w:color="auto"/>
            </w:tcBorders>
            <w:shd w:val="clear" w:color="auto" w:fill="FFFFFF" w:themeFill="background1"/>
          </w:tcPr>
          <w:p w14:paraId="3995ACC4" w14:textId="77777777" w:rsidR="004D285B" w:rsidRPr="00B33055" w:rsidRDefault="004D285B" w:rsidP="00923C92">
            <w:pPr>
              <w:pStyle w:val="TableNormal1"/>
              <w:cnfStyle w:val="000000100000" w:firstRow="0" w:lastRow="0" w:firstColumn="0" w:lastColumn="0" w:oddVBand="0" w:evenVBand="0" w:oddHBand="1" w:evenHBand="0" w:firstRowFirstColumn="0" w:firstRowLastColumn="0" w:lastRowFirstColumn="0" w:lastRowLastColumn="0"/>
            </w:pPr>
            <w:r w:rsidRPr="00B33055">
              <w:t>psi</w:t>
            </w:r>
          </w:p>
        </w:tc>
      </w:tr>
      <w:tr w:rsidR="004D285B" w:rsidRPr="00B33055" w14:paraId="40A0D17B" w14:textId="77777777" w:rsidTr="0013560F">
        <w:tc>
          <w:tcPr>
            <w:cnfStyle w:val="001000000000" w:firstRow="0" w:lastRow="0" w:firstColumn="1" w:lastColumn="0" w:oddVBand="0" w:evenVBand="0" w:oddHBand="0" w:evenHBand="0" w:firstRowFirstColumn="0" w:firstRowLastColumn="0" w:lastRowFirstColumn="0" w:lastRowLastColumn="0"/>
            <w:tcW w:w="4102" w:type="dxa"/>
            <w:tcBorders>
              <w:top w:val="nil"/>
              <w:left w:val="single" w:sz="4" w:space="0" w:color="auto"/>
            </w:tcBorders>
            <w:shd w:val="clear" w:color="auto" w:fill="FFFFFF" w:themeFill="background1"/>
          </w:tcPr>
          <w:p w14:paraId="448424E6" w14:textId="77777777" w:rsidR="004D285B" w:rsidRPr="00B33055" w:rsidRDefault="004D285B" w:rsidP="00923C92">
            <w:pPr>
              <w:pStyle w:val="TableNormal1"/>
            </w:pPr>
            <w:r w:rsidRPr="00B33055">
              <w:t>Water Compressibility</w:t>
            </w:r>
          </w:p>
        </w:tc>
        <w:tc>
          <w:tcPr>
            <w:tcW w:w="2317" w:type="dxa"/>
            <w:tcBorders>
              <w:top w:val="nil"/>
              <w:bottom w:val="nil"/>
            </w:tcBorders>
            <w:shd w:val="clear" w:color="auto" w:fill="FFFFFF" w:themeFill="background1"/>
          </w:tcPr>
          <w:p w14:paraId="1C885AE8" w14:textId="77777777" w:rsidR="004D285B" w:rsidRPr="00B33055" w:rsidRDefault="004D285B" w:rsidP="00923C92">
            <w:pPr>
              <w:pStyle w:val="TableNormal1"/>
              <w:cnfStyle w:val="000000000000" w:firstRow="0" w:lastRow="0" w:firstColumn="0" w:lastColumn="0" w:oddVBand="0" w:evenVBand="0" w:oddHBand="0" w:evenHBand="0" w:firstRowFirstColumn="0" w:firstRowLastColumn="0" w:lastRowFirstColumn="0" w:lastRowLastColumn="0"/>
            </w:pPr>
            <w:r w:rsidRPr="00B33055">
              <w:t>2.9E-6</w:t>
            </w:r>
          </w:p>
        </w:tc>
        <w:tc>
          <w:tcPr>
            <w:tcW w:w="2293" w:type="dxa"/>
            <w:tcBorders>
              <w:top w:val="nil"/>
              <w:right w:val="single" w:sz="4" w:space="0" w:color="auto"/>
            </w:tcBorders>
            <w:shd w:val="clear" w:color="auto" w:fill="FFFFFF" w:themeFill="background1"/>
          </w:tcPr>
          <w:p w14:paraId="36143778" w14:textId="77777777" w:rsidR="004D285B" w:rsidRPr="00B33055" w:rsidRDefault="004D285B" w:rsidP="00923C92">
            <w:pPr>
              <w:pStyle w:val="TableNormal1"/>
              <w:cnfStyle w:val="000000000000" w:firstRow="0" w:lastRow="0" w:firstColumn="0" w:lastColumn="0" w:oddVBand="0" w:evenVBand="0" w:oddHBand="0" w:evenHBand="0" w:firstRowFirstColumn="0" w:firstRowLastColumn="0" w:lastRowFirstColumn="0" w:lastRowLastColumn="0"/>
            </w:pPr>
            <w:r w:rsidRPr="00B33055">
              <w:t>psi</w:t>
            </w:r>
            <w:r w:rsidRPr="00B33055">
              <w:rPr>
                <w:vertAlign w:val="superscript"/>
              </w:rPr>
              <w:t>-1</w:t>
            </w:r>
          </w:p>
        </w:tc>
      </w:tr>
      <w:tr w:rsidR="004D285B" w:rsidRPr="00B33055" w14:paraId="21A9C95C" w14:textId="77777777" w:rsidTr="00135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2" w:type="dxa"/>
            <w:tcBorders>
              <w:top w:val="nil"/>
              <w:left w:val="single" w:sz="4" w:space="0" w:color="auto"/>
            </w:tcBorders>
            <w:shd w:val="clear" w:color="auto" w:fill="FFFFFF" w:themeFill="background1"/>
          </w:tcPr>
          <w:p w14:paraId="7491422F" w14:textId="77777777" w:rsidR="004D285B" w:rsidRPr="00B33055" w:rsidRDefault="004D285B" w:rsidP="00923C92">
            <w:pPr>
              <w:pStyle w:val="TableNormal1"/>
            </w:pPr>
            <w:r w:rsidRPr="00B33055">
              <w:t>Oil Compressibility</w:t>
            </w:r>
          </w:p>
        </w:tc>
        <w:tc>
          <w:tcPr>
            <w:tcW w:w="2317" w:type="dxa"/>
            <w:tcBorders>
              <w:top w:val="nil"/>
              <w:bottom w:val="nil"/>
            </w:tcBorders>
            <w:shd w:val="clear" w:color="auto" w:fill="FFFFFF" w:themeFill="background1"/>
          </w:tcPr>
          <w:p w14:paraId="03A4F180" w14:textId="77777777" w:rsidR="004D285B" w:rsidRPr="00B33055" w:rsidRDefault="004D285B" w:rsidP="00923C92">
            <w:pPr>
              <w:pStyle w:val="TableNormal1"/>
              <w:cnfStyle w:val="000000100000" w:firstRow="0" w:lastRow="0" w:firstColumn="0" w:lastColumn="0" w:oddVBand="0" w:evenVBand="0" w:oddHBand="1" w:evenHBand="0" w:firstRowFirstColumn="0" w:firstRowLastColumn="0" w:lastRowFirstColumn="0" w:lastRowLastColumn="0"/>
            </w:pPr>
            <w:r w:rsidRPr="00B33055">
              <w:t>3.5E-6</w:t>
            </w:r>
          </w:p>
        </w:tc>
        <w:tc>
          <w:tcPr>
            <w:tcW w:w="2293" w:type="dxa"/>
            <w:tcBorders>
              <w:top w:val="nil"/>
              <w:right w:val="single" w:sz="4" w:space="0" w:color="auto"/>
            </w:tcBorders>
            <w:shd w:val="clear" w:color="auto" w:fill="FFFFFF" w:themeFill="background1"/>
          </w:tcPr>
          <w:p w14:paraId="69D168AE" w14:textId="77777777" w:rsidR="004D285B" w:rsidRPr="00B33055" w:rsidRDefault="004D285B" w:rsidP="00923C92">
            <w:pPr>
              <w:pStyle w:val="TableNormal1"/>
              <w:cnfStyle w:val="000000100000" w:firstRow="0" w:lastRow="0" w:firstColumn="0" w:lastColumn="0" w:oddVBand="0" w:evenVBand="0" w:oddHBand="1" w:evenHBand="0" w:firstRowFirstColumn="0" w:firstRowLastColumn="0" w:lastRowFirstColumn="0" w:lastRowLastColumn="0"/>
            </w:pPr>
            <w:r w:rsidRPr="00B33055">
              <w:t>psi</w:t>
            </w:r>
            <w:r w:rsidRPr="00B33055">
              <w:rPr>
                <w:vertAlign w:val="superscript"/>
              </w:rPr>
              <w:t>-1</w:t>
            </w:r>
          </w:p>
        </w:tc>
      </w:tr>
      <w:tr w:rsidR="004D285B" w:rsidRPr="00B33055" w14:paraId="481D564F" w14:textId="77777777" w:rsidTr="0013560F">
        <w:tc>
          <w:tcPr>
            <w:cnfStyle w:val="001000000000" w:firstRow="0" w:lastRow="0" w:firstColumn="1" w:lastColumn="0" w:oddVBand="0" w:evenVBand="0" w:oddHBand="0" w:evenHBand="0" w:firstRowFirstColumn="0" w:firstRowLastColumn="0" w:lastRowFirstColumn="0" w:lastRowLastColumn="0"/>
            <w:tcW w:w="4102" w:type="dxa"/>
            <w:tcBorders>
              <w:top w:val="nil"/>
              <w:left w:val="single" w:sz="4" w:space="0" w:color="auto"/>
            </w:tcBorders>
            <w:shd w:val="clear" w:color="auto" w:fill="FFFFFF" w:themeFill="background1"/>
          </w:tcPr>
          <w:p w14:paraId="099E825A" w14:textId="77777777" w:rsidR="004D285B" w:rsidRPr="00B33055" w:rsidRDefault="004D285B" w:rsidP="00923C92">
            <w:pPr>
              <w:pStyle w:val="TableNormal1"/>
            </w:pPr>
            <w:r w:rsidRPr="00B33055">
              <w:t>Partition Coefficient</w:t>
            </w:r>
          </w:p>
        </w:tc>
        <w:tc>
          <w:tcPr>
            <w:tcW w:w="2317" w:type="dxa"/>
            <w:tcBorders>
              <w:top w:val="nil"/>
              <w:bottom w:val="nil"/>
            </w:tcBorders>
            <w:shd w:val="clear" w:color="auto" w:fill="FFFFFF" w:themeFill="background1"/>
          </w:tcPr>
          <w:p w14:paraId="20FB6574" w14:textId="77777777" w:rsidR="004D285B" w:rsidRPr="00B33055" w:rsidRDefault="004D285B" w:rsidP="00923C92">
            <w:pPr>
              <w:pStyle w:val="TableNormal1"/>
              <w:cnfStyle w:val="000000000000" w:firstRow="0" w:lastRow="0" w:firstColumn="0" w:lastColumn="0" w:oddVBand="0" w:evenVBand="0" w:oddHBand="0" w:evenHBand="0" w:firstRowFirstColumn="0" w:firstRowLastColumn="0" w:lastRowFirstColumn="0" w:lastRowLastColumn="0"/>
            </w:pPr>
            <w:r w:rsidRPr="00B33055">
              <w:t>1.5</w:t>
            </w:r>
          </w:p>
        </w:tc>
        <w:tc>
          <w:tcPr>
            <w:tcW w:w="2293" w:type="dxa"/>
            <w:tcBorders>
              <w:top w:val="nil"/>
              <w:right w:val="single" w:sz="4" w:space="0" w:color="auto"/>
            </w:tcBorders>
            <w:shd w:val="clear" w:color="auto" w:fill="FFFFFF" w:themeFill="background1"/>
          </w:tcPr>
          <w:p w14:paraId="676FD3CD" w14:textId="77777777" w:rsidR="004D285B" w:rsidRPr="00B33055" w:rsidRDefault="004D285B" w:rsidP="00923C92">
            <w:pPr>
              <w:pStyle w:val="TableNormal1"/>
              <w:cnfStyle w:val="000000000000" w:firstRow="0" w:lastRow="0" w:firstColumn="0" w:lastColumn="0" w:oddVBand="0" w:evenVBand="0" w:oddHBand="0" w:evenHBand="0" w:firstRowFirstColumn="0" w:firstRowLastColumn="0" w:lastRowFirstColumn="0" w:lastRowLastColumn="0"/>
            </w:pPr>
            <w:r w:rsidRPr="00B33055">
              <w:t>-</w:t>
            </w:r>
          </w:p>
        </w:tc>
      </w:tr>
      <w:tr w:rsidR="004D285B" w:rsidRPr="00B33055" w14:paraId="0F38B060" w14:textId="77777777" w:rsidTr="00135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884F1B0" w14:textId="77777777" w:rsidR="004D285B" w:rsidRPr="00B33055" w:rsidRDefault="004D285B" w:rsidP="000314D1">
            <w:pPr>
              <w:pStyle w:val="TableNormal1"/>
              <w:tabs>
                <w:tab w:val="clear" w:pos="7632"/>
                <w:tab w:val="left" w:pos="8460"/>
              </w:tabs>
            </w:pPr>
            <w:r w:rsidRPr="00B33055">
              <w:t>Well Constraints (No constrains on BHP)</w:t>
            </w:r>
          </w:p>
        </w:tc>
      </w:tr>
      <w:tr w:rsidR="004D285B" w:rsidRPr="00B33055" w14:paraId="0C2D1CD6" w14:textId="77777777" w:rsidTr="0013560F">
        <w:tc>
          <w:tcPr>
            <w:cnfStyle w:val="001000000000" w:firstRow="0" w:lastRow="0" w:firstColumn="1" w:lastColumn="0" w:oddVBand="0" w:evenVBand="0" w:oddHBand="0" w:evenHBand="0" w:firstRowFirstColumn="0" w:firstRowLastColumn="0" w:lastRowFirstColumn="0" w:lastRowLastColumn="0"/>
            <w:tcW w:w="4102" w:type="dxa"/>
            <w:tcBorders>
              <w:top w:val="single" w:sz="4" w:space="0" w:color="auto"/>
              <w:left w:val="single" w:sz="4" w:space="0" w:color="auto"/>
              <w:bottom w:val="single" w:sz="4" w:space="0" w:color="auto"/>
            </w:tcBorders>
            <w:shd w:val="clear" w:color="auto" w:fill="FFFFFF" w:themeFill="background1"/>
          </w:tcPr>
          <w:p w14:paraId="0CD318A3" w14:textId="77777777" w:rsidR="004D285B" w:rsidRPr="00B33055" w:rsidRDefault="004D285B" w:rsidP="00923C92">
            <w:pPr>
              <w:pStyle w:val="TableNormal1"/>
            </w:pPr>
            <w:r w:rsidRPr="00B33055">
              <w:t>Well Controls</w:t>
            </w:r>
          </w:p>
        </w:tc>
        <w:tc>
          <w:tcPr>
            <w:tcW w:w="2317" w:type="dxa"/>
            <w:tcBorders>
              <w:top w:val="single" w:sz="4" w:space="0" w:color="auto"/>
              <w:bottom w:val="single" w:sz="4" w:space="0" w:color="auto"/>
            </w:tcBorders>
            <w:shd w:val="clear" w:color="auto" w:fill="FFFFFF" w:themeFill="background1"/>
          </w:tcPr>
          <w:p w14:paraId="1964DCD0" w14:textId="77777777" w:rsidR="004D285B" w:rsidRPr="00B33055" w:rsidRDefault="004D285B" w:rsidP="00923C92">
            <w:pPr>
              <w:pStyle w:val="TableNormal1"/>
              <w:cnfStyle w:val="000000000000" w:firstRow="0" w:lastRow="0" w:firstColumn="0" w:lastColumn="0" w:oddVBand="0" w:evenVBand="0" w:oddHBand="0" w:evenHBand="0" w:firstRowFirstColumn="0" w:firstRowLastColumn="0" w:lastRowFirstColumn="0" w:lastRowLastColumn="0"/>
            </w:pPr>
            <w:r w:rsidRPr="00B33055">
              <w:t>Value</w:t>
            </w:r>
          </w:p>
        </w:tc>
        <w:tc>
          <w:tcPr>
            <w:tcW w:w="2293" w:type="dxa"/>
            <w:tcBorders>
              <w:top w:val="single" w:sz="4" w:space="0" w:color="auto"/>
              <w:bottom w:val="single" w:sz="4" w:space="0" w:color="auto"/>
              <w:right w:val="single" w:sz="4" w:space="0" w:color="auto"/>
            </w:tcBorders>
            <w:shd w:val="clear" w:color="auto" w:fill="FFFFFF" w:themeFill="background1"/>
          </w:tcPr>
          <w:p w14:paraId="4D77E8DC" w14:textId="77777777" w:rsidR="004D285B" w:rsidRPr="00B33055" w:rsidRDefault="004D285B" w:rsidP="00923C92">
            <w:pPr>
              <w:pStyle w:val="TableNormal1"/>
              <w:cnfStyle w:val="000000000000" w:firstRow="0" w:lastRow="0" w:firstColumn="0" w:lastColumn="0" w:oddVBand="0" w:evenVBand="0" w:oddHBand="0" w:evenHBand="0" w:firstRowFirstColumn="0" w:firstRowLastColumn="0" w:lastRowFirstColumn="0" w:lastRowLastColumn="0"/>
            </w:pPr>
            <w:r w:rsidRPr="00B33055">
              <w:t>Unit</w:t>
            </w:r>
          </w:p>
        </w:tc>
      </w:tr>
      <w:tr w:rsidR="004D285B" w:rsidRPr="00B33055" w14:paraId="28264A07" w14:textId="77777777" w:rsidTr="00135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2" w:type="dxa"/>
            <w:tcBorders>
              <w:left w:val="single" w:sz="4" w:space="0" w:color="auto"/>
            </w:tcBorders>
            <w:shd w:val="clear" w:color="auto" w:fill="FFFFFF" w:themeFill="background1"/>
          </w:tcPr>
          <w:p w14:paraId="39B7FA36" w14:textId="77777777" w:rsidR="004D285B" w:rsidRPr="00B33055" w:rsidRDefault="004D285B" w:rsidP="00923C92">
            <w:pPr>
              <w:pStyle w:val="TableNormal1"/>
            </w:pPr>
            <w:r w:rsidRPr="00B33055">
              <w:t>Injection Rate</w:t>
            </w:r>
          </w:p>
        </w:tc>
        <w:tc>
          <w:tcPr>
            <w:tcW w:w="2317" w:type="dxa"/>
            <w:shd w:val="clear" w:color="auto" w:fill="FFFFFF" w:themeFill="background1"/>
          </w:tcPr>
          <w:p w14:paraId="6206B37F" w14:textId="77777777" w:rsidR="004D285B" w:rsidRPr="00B33055" w:rsidRDefault="004D285B" w:rsidP="00923C92">
            <w:pPr>
              <w:pStyle w:val="TableNormal1"/>
              <w:cnfStyle w:val="000000100000" w:firstRow="0" w:lastRow="0" w:firstColumn="0" w:lastColumn="0" w:oddVBand="0" w:evenVBand="0" w:oddHBand="1" w:evenHBand="0" w:firstRowFirstColumn="0" w:firstRowLastColumn="0" w:lastRowFirstColumn="0" w:lastRowLastColumn="0"/>
            </w:pPr>
            <w:r w:rsidRPr="00B33055">
              <w:t>550</w:t>
            </w:r>
          </w:p>
        </w:tc>
        <w:tc>
          <w:tcPr>
            <w:tcW w:w="2293" w:type="dxa"/>
            <w:tcBorders>
              <w:right w:val="single" w:sz="4" w:space="0" w:color="auto"/>
            </w:tcBorders>
            <w:shd w:val="clear" w:color="auto" w:fill="FFFFFF" w:themeFill="background1"/>
          </w:tcPr>
          <w:p w14:paraId="3620ECB9" w14:textId="77777777" w:rsidR="004D285B" w:rsidRPr="00B33055" w:rsidRDefault="004D285B" w:rsidP="00923C92">
            <w:pPr>
              <w:pStyle w:val="TableNormal1"/>
              <w:cnfStyle w:val="000000100000" w:firstRow="0" w:lastRow="0" w:firstColumn="0" w:lastColumn="0" w:oddVBand="0" w:evenVBand="0" w:oddHBand="1" w:evenHBand="0" w:firstRowFirstColumn="0" w:firstRowLastColumn="0" w:lastRowFirstColumn="0" w:lastRowLastColumn="0"/>
            </w:pPr>
            <w:r w:rsidRPr="00B33055">
              <w:t>bbl/day</w:t>
            </w:r>
          </w:p>
        </w:tc>
      </w:tr>
      <w:tr w:rsidR="004D285B" w:rsidRPr="00B33055" w14:paraId="1CD04DD9" w14:textId="77777777" w:rsidTr="0078249D">
        <w:tc>
          <w:tcPr>
            <w:cnfStyle w:val="001000000000" w:firstRow="0" w:lastRow="0" w:firstColumn="1" w:lastColumn="0" w:oddVBand="0" w:evenVBand="0" w:oddHBand="0" w:evenHBand="0" w:firstRowFirstColumn="0" w:firstRowLastColumn="0" w:lastRowFirstColumn="0" w:lastRowLastColumn="0"/>
            <w:tcW w:w="4102" w:type="dxa"/>
            <w:tcBorders>
              <w:left w:val="single" w:sz="4" w:space="0" w:color="auto"/>
              <w:bottom w:val="single" w:sz="4" w:space="0" w:color="auto"/>
            </w:tcBorders>
            <w:shd w:val="clear" w:color="auto" w:fill="FFFFFF"/>
          </w:tcPr>
          <w:p w14:paraId="5FF2B9B2" w14:textId="77777777" w:rsidR="004D285B" w:rsidRPr="00B33055" w:rsidRDefault="004D285B" w:rsidP="00923C92">
            <w:pPr>
              <w:pStyle w:val="TableNormal1"/>
            </w:pPr>
            <w:r w:rsidRPr="00B33055">
              <w:t>Production Rate</w:t>
            </w:r>
          </w:p>
        </w:tc>
        <w:tc>
          <w:tcPr>
            <w:tcW w:w="2317" w:type="dxa"/>
            <w:tcBorders>
              <w:bottom w:val="single" w:sz="4" w:space="0" w:color="auto"/>
            </w:tcBorders>
            <w:shd w:val="clear" w:color="auto" w:fill="FFFFFF"/>
          </w:tcPr>
          <w:p w14:paraId="7DCAC29E" w14:textId="77777777" w:rsidR="004D285B" w:rsidRPr="00B33055" w:rsidRDefault="004D285B" w:rsidP="00923C92">
            <w:pPr>
              <w:pStyle w:val="TableNormal1"/>
              <w:cnfStyle w:val="000000000000" w:firstRow="0" w:lastRow="0" w:firstColumn="0" w:lastColumn="0" w:oddVBand="0" w:evenVBand="0" w:oddHBand="0" w:evenHBand="0" w:firstRowFirstColumn="0" w:firstRowLastColumn="0" w:lastRowFirstColumn="0" w:lastRowLastColumn="0"/>
            </w:pPr>
            <w:r w:rsidRPr="00B33055">
              <w:t>820</w:t>
            </w:r>
          </w:p>
        </w:tc>
        <w:tc>
          <w:tcPr>
            <w:tcW w:w="2293" w:type="dxa"/>
            <w:tcBorders>
              <w:bottom w:val="single" w:sz="4" w:space="0" w:color="auto"/>
              <w:right w:val="single" w:sz="4" w:space="0" w:color="auto"/>
            </w:tcBorders>
            <w:shd w:val="clear" w:color="auto" w:fill="FFFFFF"/>
          </w:tcPr>
          <w:p w14:paraId="6699293F" w14:textId="77777777" w:rsidR="004D285B" w:rsidRPr="00B33055" w:rsidRDefault="004D285B" w:rsidP="00923C92">
            <w:pPr>
              <w:pStyle w:val="TableNormal1"/>
              <w:cnfStyle w:val="000000000000" w:firstRow="0" w:lastRow="0" w:firstColumn="0" w:lastColumn="0" w:oddVBand="0" w:evenVBand="0" w:oddHBand="0" w:evenHBand="0" w:firstRowFirstColumn="0" w:firstRowLastColumn="0" w:lastRowFirstColumn="0" w:lastRowLastColumn="0"/>
            </w:pPr>
            <w:r w:rsidRPr="00B33055">
              <w:t>bbl/day</w:t>
            </w:r>
          </w:p>
        </w:tc>
      </w:tr>
    </w:tbl>
    <w:p w14:paraId="7E475040" w14:textId="77777777" w:rsidR="00F242D4" w:rsidRDefault="00F242D4" w:rsidP="001B588B"/>
    <w:p w14:paraId="10DE9FF6" w14:textId="77777777" w:rsidR="0078249D" w:rsidRDefault="0078249D" w:rsidP="001B588B"/>
    <w:p w14:paraId="47AB6BD2" w14:textId="77777777" w:rsidR="0078249D" w:rsidRDefault="0078249D" w:rsidP="001B588B"/>
    <w:p w14:paraId="16542DC2" w14:textId="77777777" w:rsidR="0078249D" w:rsidRDefault="0078249D" w:rsidP="001B588B"/>
    <w:p w14:paraId="366C367B" w14:textId="77777777" w:rsidR="0078249D" w:rsidRPr="00B33055" w:rsidRDefault="0078249D" w:rsidP="001B588B"/>
    <w:p w14:paraId="7072DFB4" w14:textId="77777777" w:rsidR="001B588B" w:rsidRDefault="001B588B" w:rsidP="009C12AD">
      <w:pPr>
        <w:pStyle w:val="Heading3"/>
      </w:pPr>
      <w:bookmarkStart w:id="56" w:name="_Toc491875871"/>
      <w:bookmarkStart w:id="57" w:name="_Toc491876430"/>
      <w:bookmarkStart w:id="58" w:name="_Toc494014199"/>
      <w:r>
        <w:lastRenderedPageBreak/>
        <w:t>Analysis Procedure</w:t>
      </w:r>
      <w:bookmarkEnd w:id="56"/>
      <w:bookmarkEnd w:id="57"/>
      <w:bookmarkEnd w:id="58"/>
    </w:p>
    <w:p w14:paraId="01FCE020" w14:textId="36477DA4" w:rsidR="001B588B" w:rsidRPr="00B33055" w:rsidRDefault="001B588B" w:rsidP="001B588B">
      <w:r w:rsidRPr="00B33055">
        <w:t xml:space="preserve">In this section, </w:t>
      </w:r>
      <w:r w:rsidR="000314D1">
        <w:t xml:space="preserve">a </w:t>
      </w:r>
      <w:r w:rsidR="000314D1" w:rsidRPr="00B33055">
        <w:t>systematic</w:t>
      </w:r>
      <w:r w:rsidRPr="00B33055">
        <w:t xml:space="preserve"> analysis is demonstrated as an example to illustrate the calculation procedure using the modified method. The case with an initial oil saturation of 0.9 is used.</w:t>
      </w:r>
    </w:p>
    <w:p w14:paraId="5D2ED61C" w14:textId="22264237" w:rsidR="001B588B" w:rsidRDefault="001B588B" w:rsidP="00295701">
      <w:pPr>
        <w:pStyle w:val="ListParagraph"/>
        <w:numPr>
          <w:ilvl w:val="0"/>
          <w:numId w:val="4"/>
        </w:numPr>
      </w:pPr>
      <w:r w:rsidRPr="00E01163">
        <w:t xml:space="preserve">Plot the tracer production history, i.e., tracer concentration vs. time as shown in </w:t>
      </w:r>
      <w:r w:rsidR="00F169EB">
        <w:fldChar w:fldCharType="begin"/>
      </w:r>
      <w:r w:rsidR="00F169EB">
        <w:instrText xml:space="preserve"> REF _Ref491870712 \h </w:instrText>
      </w:r>
      <w:r w:rsidR="00F169EB">
        <w:fldChar w:fldCharType="separate"/>
      </w:r>
      <w:r w:rsidR="00304B8E" w:rsidRPr="00541084">
        <w:rPr>
          <w:szCs w:val="22"/>
        </w:rPr>
        <w:t xml:space="preserve">Figure </w:t>
      </w:r>
      <w:r w:rsidR="00304B8E">
        <w:rPr>
          <w:noProof/>
          <w:szCs w:val="22"/>
        </w:rPr>
        <w:t>2</w:t>
      </w:r>
      <w:r w:rsidR="00304B8E">
        <w:rPr>
          <w:szCs w:val="22"/>
        </w:rPr>
        <w:noBreakHyphen/>
      </w:r>
      <w:r w:rsidR="00304B8E">
        <w:rPr>
          <w:noProof/>
          <w:szCs w:val="22"/>
        </w:rPr>
        <w:t>8</w:t>
      </w:r>
      <w:r w:rsidR="00F169EB">
        <w:fldChar w:fldCharType="end"/>
      </w:r>
      <w:r w:rsidRPr="00E01163">
        <w:t xml:space="preserve">. This graph should contain the primary tracer (ester) in both oil and water and the secondary tracer (alcohol) in water. </w:t>
      </w:r>
    </w:p>
    <w:p w14:paraId="68D8C9A3" w14:textId="77777777" w:rsidR="008874BD" w:rsidRDefault="008874BD" w:rsidP="00923C92">
      <w:pPr>
        <w:keepNext/>
        <w:ind w:firstLine="0"/>
      </w:pPr>
      <w:r w:rsidRPr="00B33055">
        <w:rPr>
          <w:noProof/>
          <w:lang w:eastAsia="zh-CN" w:bidi="ar-SA"/>
        </w:rPr>
        <w:drawing>
          <wp:inline distT="0" distB="0" distL="0" distR="0" wp14:anchorId="792106D6" wp14:editId="03104545">
            <wp:extent cx="5589767" cy="3681454"/>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FBC5E69" w14:textId="4C9FAF2A" w:rsidR="008874BD" w:rsidRPr="00541084" w:rsidRDefault="008874BD" w:rsidP="00BF3F9B">
      <w:pPr>
        <w:pStyle w:val="Caption"/>
        <w:rPr>
          <w:color w:val="000000" w:themeColor="text1"/>
          <w:szCs w:val="22"/>
        </w:rPr>
      </w:pPr>
      <w:bookmarkStart w:id="59" w:name="_Ref491870712"/>
      <w:bookmarkStart w:id="60" w:name="_Toc495144717"/>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2</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8</w:t>
      </w:r>
      <w:r w:rsidR="00280FFF">
        <w:rPr>
          <w:szCs w:val="22"/>
        </w:rPr>
        <w:fldChar w:fldCharType="end"/>
      </w:r>
      <w:bookmarkEnd w:id="59"/>
      <w:r w:rsidRPr="00541084">
        <w:rPr>
          <w:szCs w:val="22"/>
        </w:rPr>
        <w:t>. Production history of tracers for Case 1.</w:t>
      </w:r>
      <w:bookmarkEnd w:id="60"/>
    </w:p>
    <w:p w14:paraId="587EC712" w14:textId="77777777" w:rsidR="008874BD" w:rsidRPr="00E01163" w:rsidRDefault="008874BD" w:rsidP="008874BD"/>
    <w:p w14:paraId="12A7F115" w14:textId="5C7AFF83" w:rsidR="001B588B" w:rsidRPr="00E01163" w:rsidRDefault="001B588B" w:rsidP="00295701">
      <w:pPr>
        <w:pStyle w:val="ListParagraph"/>
        <w:numPr>
          <w:ilvl w:val="0"/>
          <w:numId w:val="4"/>
        </w:numPr>
      </w:pPr>
      <w:r w:rsidRPr="00E01163">
        <w:t>Find the time of the concentration peak as the poi</w:t>
      </w:r>
      <w:r w:rsidR="00F169EB">
        <w:t xml:space="preserve">nts A, B &amp; C indicated in </w:t>
      </w:r>
      <w:r w:rsidR="00F169EB">
        <w:fldChar w:fldCharType="begin"/>
      </w:r>
      <w:r w:rsidR="00F169EB">
        <w:instrText xml:space="preserve"> REF _Ref491870712 \h </w:instrText>
      </w:r>
      <w:r w:rsidR="00F169EB">
        <w:fldChar w:fldCharType="separate"/>
      </w:r>
      <w:r w:rsidR="00304B8E" w:rsidRPr="00541084">
        <w:rPr>
          <w:szCs w:val="22"/>
        </w:rPr>
        <w:t xml:space="preserve">Figure </w:t>
      </w:r>
      <w:r w:rsidR="00304B8E">
        <w:rPr>
          <w:noProof/>
          <w:szCs w:val="22"/>
        </w:rPr>
        <w:t>2</w:t>
      </w:r>
      <w:r w:rsidR="00304B8E">
        <w:rPr>
          <w:szCs w:val="22"/>
        </w:rPr>
        <w:noBreakHyphen/>
      </w:r>
      <w:r w:rsidR="00304B8E">
        <w:rPr>
          <w:noProof/>
          <w:szCs w:val="22"/>
        </w:rPr>
        <w:t>8</w:t>
      </w:r>
      <w:r w:rsidR="00F169EB">
        <w:fldChar w:fldCharType="end"/>
      </w:r>
      <w:r w:rsidRPr="00E01163">
        <w:t>.</w:t>
      </w:r>
    </w:p>
    <w:p w14:paraId="4FD8698D" w14:textId="77777777" w:rsidR="001B588B" w:rsidRPr="00E01163" w:rsidRDefault="00A53410" w:rsidP="00E01163">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ester</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A/B</m:t>
            </m:r>
          </m:sub>
        </m:sSub>
        <m:r>
          <m:rPr>
            <m:sty m:val="p"/>
          </m:rPr>
          <w:rPr>
            <w:rFonts w:ascii="Cambria Math" w:hAnsi="Cambria Math"/>
          </w:rPr>
          <m:t>=0.17 day</m:t>
        </m:r>
      </m:oMath>
      <w:r w:rsidR="00E01163" w:rsidRPr="00E01163">
        <w:t xml:space="preserve"> </w:t>
      </w:r>
    </w:p>
    <w:p w14:paraId="3C562588" w14:textId="77777777" w:rsidR="001B588B" w:rsidRPr="00E01163" w:rsidRDefault="00A53410" w:rsidP="00E01163">
      <m:oMath>
        <m:sSub>
          <m:sSubPr>
            <m:ctrlPr>
              <w:rPr>
                <w:rFonts w:ascii="Cambria Math" w:hAnsi="Cambria Math"/>
              </w:rPr>
            </m:ctrlPr>
          </m:sSubPr>
          <m:e>
            <m:sSub>
              <m:sSubPr>
                <m:ctrlPr>
                  <w:rPr>
                    <w:rFonts w:ascii="Cambria Math" w:hAnsi="Cambria Math"/>
                  </w:rPr>
                </m:ctrlPr>
              </m:sSubPr>
              <m:e>
                <m:r>
                  <m:rPr>
                    <m:sty m:val="p"/>
                  </m:rPr>
                  <w:rPr>
                    <w:rFonts w:ascii="Cambria Math" w:hAnsi="Cambria Math"/>
                  </w:rPr>
                  <m:t>t</m:t>
                </m:r>
              </m:e>
              <m:sub>
                <m:r>
                  <m:rPr>
                    <m:sty m:val="p"/>
                  </m:rPr>
                  <w:rPr>
                    <w:rFonts w:ascii="Cambria Math" w:hAnsi="Cambria Math"/>
                  </w:rPr>
                  <m:t>alcohol</m:t>
                </m:r>
              </m:sub>
            </m:sSub>
            <m:r>
              <m:rPr>
                <m:sty m:val="p"/>
              </m:rPr>
              <w:rPr>
                <w:rFonts w:ascii="Cambria Math" w:hAnsi="Cambria Math"/>
              </w:rPr>
              <m:t>=t</m:t>
            </m:r>
          </m:e>
          <m:sub>
            <m:r>
              <m:rPr>
                <m:sty m:val="p"/>
              </m:rPr>
              <w:rPr>
                <w:rFonts w:ascii="Cambria Math" w:hAnsi="Cambria Math"/>
              </w:rPr>
              <m:t>C</m:t>
            </m:r>
          </m:sub>
        </m:sSub>
        <m:r>
          <m:rPr>
            <m:sty m:val="p"/>
          </m:rPr>
          <w:rPr>
            <w:rFonts w:ascii="Cambria Math" w:hAnsi="Cambria Math"/>
          </w:rPr>
          <m:t>=0.52 day</m:t>
        </m:r>
      </m:oMath>
      <w:r w:rsidR="00E01163" w:rsidRPr="00E01163">
        <w:t xml:space="preserve"> </w:t>
      </w:r>
    </w:p>
    <w:p w14:paraId="4FEAAE0B" w14:textId="77777777" w:rsidR="001B588B" w:rsidRPr="00E01163" w:rsidRDefault="001B588B" w:rsidP="00E01163">
      <w:pPr>
        <w:pStyle w:val="ListParagraph"/>
        <w:ind w:left="720"/>
      </w:pPr>
      <w:r w:rsidRPr="00E01163">
        <w:lastRenderedPageBreak/>
        <w:t>Ester in water and oil has the same residence time, but different concentrations. This is because of its partitioning behavior in the oil and water.  The peak time of alcohol is different from that of ester because the travel velocity is different. Alcohol is conservative in water, therefore its velocity is water velocity</w:t>
      </w:r>
      <m:oMath>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w</m:t>
            </m:r>
          </m:sub>
        </m:sSub>
      </m:oMath>
      <w:r w:rsidRPr="00E01163">
        <w:t xml:space="preserve">, and ester velocity </w:t>
      </w: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ester</m:t>
            </m:r>
          </m:sub>
        </m:sSub>
      </m:oMath>
      <w:r w:rsidRPr="00E01163">
        <w:t xml:space="preserve"> is expressed in Eq. </w:t>
      </w:r>
      <w:r w:rsidR="00E01163" w:rsidRPr="00E01163">
        <w:t>2-</w:t>
      </w:r>
      <w:r w:rsidRPr="00E01163">
        <w:t xml:space="preserve">2. </w:t>
      </w:r>
    </w:p>
    <w:p w14:paraId="7923BB74" w14:textId="22AD6C81" w:rsidR="001B588B" w:rsidRPr="00E01163" w:rsidRDefault="006715E5" w:rsidP="00295701">
      <w:pPr>
        <w:pStyle w:val="ListParagraph"/>
        <w:numPr>
          <w:ilvl w:val="0"/>
          <w:numId w:val="4"/>
        </w:numPr>
      </w:pPr>
      <w:r>
        <w:t>F</w:t>
      </w:r>
      <w:r w:rsidR="00B721FC">
        <w:t xml:space="preserve">rom the peak time, </w:t>
      </w:r>
      <w:r w:rsidR="001B588B" w:rsidRPr="00E01163">
        <w:t>the velocity ratio</w:t>
      </w:r>
      <w:r w:rsidR="00B721FC">
        <w:t xml:space="preserve"> can be estimated</w:t>
      </w:r>
      <w:r w:rsidR="001B588B" w:rsidRPr="00E01163">
        <w:t xml:space="preserve"> because the peaks are located at the same distance from the wellbore after shut in. </w:t>
      </w:r>
    </w:p>
    <w:p w14:paraId="6ADB3AB6" w14:textId="77777777" w:rsidR="00E01163" w:rsidRPr="00E01163" w:rsidRDefault="00A53410" w:rsidP="00E01163">
      <m:oMath>
        <m:f>
          <m:fPr>
            <m:ctrlPr>
              <w:rPr>
                <w:rFonts w:ascii="Cambria Math" w:hAnsi="Cambria Math"/>
              </w:rPr>
            </m:ctrlPr>
          </m:fPr>
          <m:num>
            <m:sSub>
              <m:sSubPr>
                <m:ctrlPr>
                  <w:rPr>
                    <w:rFonts w:ascii="Cambria Math" w:hAnsi="Cambria Math"/>
                  </w:rPr>
                </m:ctrlPr>
              </m:sSubPr>
              <m:e>
                <m:r>
                  <m:rPr>
                    <m:sty m:val="p"/>
                  </m:rPr>
                  <w:rPr>
                    <w:rFonts w:ascii="Cambria Math" w:hAnsi="Cambria Math"/>
                  </w:rPr>
                  <m:t>V</m:t>
                </m:r>
              </m:e>
              <m:sub>
                <m:r>
                  <m:rPr>
                    <m:sty m:val="p"/>
                  </m:rPr>
                  <w:rPr>
                    <w:rFonts w:ascii="Cambria Math" w:hAnsi="Cambria Math"/>
                  </w:rPr>
                  <m:t>w</m:t>
                </m:r>
              </m:sub>
            </m:sSub>
          </m:num>
          <m:den>
            <m:sSub>
              <m:sSubPr>
                <m:ctrlPr>
                  <w:rPr>
                    <w:rFonts w:ascii="Cambria Math" w:hAnsi="Cambria Math"/>
                  </w:rPr>
                </m:ctrlPr>
              </m:sSubPr>
              <m:e>
                <m:r>
                  <m:rPr>
                    <m:sty m:val="p"/>
                  </m:rPr>
                  <w:rPr>
                    <w:rFonts w:ascii="Cambria Math" w:hAnsi="Cambria Math"/>
                  </w:rPr>
                  <m:t>V</m:t>
                </m:r>
              </m:e>
              <m:sub>
                <m:r>
                  <m:rPr>
                    <m:sty m:val="p"/>
                  </m:rPr>
                  <w:rPr>
                    <w:rFonts w:ascii="Cambria Math" w:hAnsi="Cambria Math"/>
                  </w:rPr>
                  <m:t>ester</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t</m:t>
                </m:r>
              </m:e>
              <m:sub>
                <m:r>
                  <m:rPr>
                    <m:sty m:val="p"/>
                  </m:rPr>
                  <w:rPr>
                    <w:rFonts w:ascii="Cambria Math" w:hAnsi="Cambria Math"/>
                  </w:rPr>
                  <m:t>ester</m:t>
                </m:r>
              </m:sub>
            </m:sSub>
          </m:num>
          <m:den>
            <m:sSub>
              <m:sSubPr>
                <m:ctrlPr>
                  <w:rPr>
                    <w:rFonts w:ascii="Cambria Math" w:hAnsi="Cambria Math"/>
                  </w:rPr>
                </m:ctrlPr>
              </m:sSubPr>
              <m:e>
                <m:r>
                  <m:rPr>
                    <m:sty m:val="p"/>
                  </m:rPr>
                  <w:rPr>
                    <w:rFonts w:ascii="Cambria Math" w:hAnsi="Cambria Math"/>
                  </w:rPr>
                  <m:t>t</m:t>
                </m:r>
              </m:e>
              <m:sub>
                <m:r>
                  <m:rPr>
                    <m:sty m:val="p"/>
                  </m:rPr>
                  <w:rPr>
                    <w:rFonts w:ascii="Cambria Math" w:hAnsi="Cambria Math"/>
                  </w:rPr>
                  <m:t>alcohol</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0.17</m:t>
            </m:r>
          </m:num>
          <m:den>
            <m:r>
              <m:rPr>
                <m:sty m:val="p"/>
              </m:rPr>
              <w:rPr>
                <w:rFonts w:ascii="Cambria Math" w:hAnsi="Cambria Math"/>
              </w:rPr>
              <m:t>0.52</m:t>
            </m:r>
          </m:den>
        </m:f>
        <m:r>
          <m:rPr>
            <m:sty m:val="p"/>
          </m:rPr>
          <w:rPr>
            <w:rFonts w:ascii="Cambria Math" w:hAnsi="Cambria Math"/>
          </w:rPr>
          <m:t>=0.33</m:t>
        </m:r>
      </m:oMath>
      <w:r w:rsidR="00E01163" w:rsidRPr="00E01163">
        <w:t xml:space="preserve"> </w:t>
      </w:r>
    </w:p>
    <w:p w14:paraId="776855C5" w14:textId="77777777" w:rsidR="001B588B" w:rsidRPr="00E01163" w:rsidRDefault="001B588B" w:rsidP="00295701">
      <w:pPr>
        <w:pStyle w:val="ListParagraph"/>
        <w:numPr>
          <w:ilvl w:val="0"/>
          <w:numId w:val="4"/>
        </w:numPr>
      </w:pPr>
      <w:r w:rsidRPr="00E01163">
        <w:t>Calculate the residence time of ester and alcohol only in water according to the following equation:</w:t>
      </w:r>
    </w:p>
    <w:p w14:paraId="78AF57EE" w14:textId="77777777" w:rsidR="001B588B" w:rsidRPr="00E01163" w:rsidRDefault="00A53410" w:rsidP="001B588B">
      <w:pPr>
        <w:rPr>
          <w:rFonts w:ascii="Cambria Math" w:hAnsi="Cambria Math"/>
        </w:rPr>
      </w:pP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k,w</m:t>
            </m:r>
          </m:sub>
        </m:sSub>
        <m:r>
          <m:rPr>
            <m:sty m:val="p"/>
          </m:rPr>
          <w:rPr>
            <w:rFonts w:ascii="Cambria Math" w:hAnsi="Cambria Math"/>
          </w:rPr>
          <m:t>=</m:t>
        </m:r>
        <m:f>
          <m:fPr>
            <m:ctrlPr>
              <w:rPr>
                <w:rFonts w:ascii="Cambria Math" w:hAnsi="Cambria Math"/>
              </w:rPr>
            </m:ctrlPr>
          </m:fPr>
          <m:num>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r>
                  <m:rPr>
                    <m:sty m:val="p"/>
                  </m:rPr>
                  <w:rPr>
                    <w:rFonts w:ascii="Cambria Math" w:hAnsi="Cambria Math"/>
                  </w:rPr>
                  <m:t>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kw</m:t>
                    </m:r>
                  </m:sub>
                </m:sSub>
                <m:r>
                  <m:rPr>
                    <m:sty m:val="p"/>
                  </m:rPr>
                  <w:rPr>
                    <w:rFonts w:ascii="Cambria Math" w:hAnsi="Cambria Math"/>
                  </w:rPr>
                  <m:t>dt</m:t>
                </m:r>
              </m:e>
            </m:nary>
          </m:num>
          <m:den>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kw</m:t>
                    </m:r>
                  </m:sub>
                </m:sSub>
                <m:r>
                  <m:rPr>
                    <m:sty m:val="p"/>
                  </m:rPr>
                  <w:rPr>
                    <w:rFonts w:ascii="Cambria Math" w:hAnsi="Cambria Math"/>
                  </w:rPr>
                  <m:t>dt</m:t>
                </m:r>
              </m:e>
            </m:nary>
          </m:den>
        </m:f>
      </m:oMath>
      <w:r w:rsidR="001B588B" w:rsidRPr="00E01163">
        <w:rPr>
          <w:rFonts w:ascii="Cambria Math" w:hAnsi="Cambria Math"/>
        </w:rPr>
        <w:tab/>
        <w:t>(</w:t>
      </w:r>
      <w:r w:rsidR="00923C92">
        <w:rPr>
          <w:rFonts w:ascii="Cambria Math" w:hAnsi="Cambria Math" w:hint="eastAsia"/>
          <w:lang w:eastAsia="zh-CN"/>
        </w:rPr>
        <w:t>2-</w:t>
      </w:r>
      <w:r w:rsidR="001B588B" w:rsidRPr="00E01163">
        <w:rPr>
          <w:rFonts w:ascii="Cambria Math" w:hAnsi="Cambria Math"/>
        </w:rPr>
        <w:t>12)</w:t>
      </w:r>
    </w:p>
    <w:p w14:paraId="79CD3EEB" w14:textId="77777777" w:rsidR="001B588B" w:rsidRPr="00E01163" w:rsidRDefault="001B588B" w:rsidP="001B588B">
      <w:r w:rsidRPr="00E01163">
        <w:t>In this specific case:</w:t>
      </w:r>
    </w:p>
    <w:p w14:paraId="51F3A825" w14:textId="77777777" w:rsidR="001B588B" w:rsidRPr="00E01163" w:rsidRDefault="00A53410" w:rsidP="00E01163">
      <w:pPr>
        <w:pStyle w:val="ListParagraph"/>
        <w:ind w:left="720"/>
      </w:pPr>
      <m:oMathPara>
        <m:oMathParaPr>
          <m:jc m:val="left"/>
        </m:oMathParaP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ester,w</m:t>
              </m:r>
            </m:sub>
          </m:sSub>
          <m:r>
            <m:rPr>
              <m:sty m:val="p"/>
            </m:rPr>
            <w:rPr>
              <w:rFonts w:ascii="Cambria Math" w:hAnsi="Cambria Math"/>
            </w:rPr>
            <m:t xml:space="preserve">=0.2 day     and      </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alcohol,w</m:t>
              </m:r>
            </m:sub>
          </m:sSub>
          <m:r>
            <m:rPr>
              <m:sty m:val="p"/>
            </m:rPr>
            <w:rPr>
              <w:rFonts w:ascii="Cambria Math" w:hAnsi="Cambria Math"/>
            </w:rPr>
            <m:t xml:space="preserve">=0.53 </m:t>
          </m:r>
          <m:r>
            <m:rPr>
              <m:sty m:val="p"/>
            </m:rPr>
            <w:rPr>
              <w:rFonts w:ascii="Cambria Math" w:hAnsi="Cambria Math" w:cs="Cambria Math"/>
            </w:rPr>
            <m:t>d</m:t>
          </m:r>
          <m:r>
            <m:rPr>
              <m:sty m:val="p"/>
            </m:rPr>
            <w:rPr>
              <w:rFonts w:ascii="Cambria Math" w:hAnsi="Cambria Math"/>
            </w:rPr>
            <m:t>ay</m:t>
          </m:r>
        </m:oMath>
      </m:oMathPara>
    </w:p>
    <w:p w14:paraId="0B866724" w14:textId="77777777" w:rsidR="001B588B" w:rsidRPr="00E01163" w:rsidRDefault="001B588B" w:rsidP="00295701">
      <w:pPr>
        <w:pStyle w:val="ListParagraph"/>
        <w:numPr>
          <w:ilvl w:val="0"/>
          <w:numId w:val="4"/>
        </w:numPr>
      </w:pPr>
      <w:r w:rsidRPr="00E01163">
        <w:t xml:space="preserve">From above parameters (velocity ratio and residence times), the ratio parameter </w:t>
      </w:r>
      <m:oMath>
        <m:r>
          <m:rPr>
            <m:sty m:val="p"/>
          </m:rPr>
          <w:rPr>
            <w:rFonts w:ascii="Cambria Math" w:hAnsi="Cambria Math" w:cs="Arial"/>
          </w:rPr>
          <m:t>R</m:t>
        </m:r>
      </m:oMath>
      <w:r w:rsidRPr="00E01163">
        <w:t xml:space="preserve"> is calculated.</w:t>
      </w:r>
    </w:p>
    <w:p w14:paraId="3E2F7F6F" w14:textId="77777777" w:rsidR="001B588B" w:rsidRPr="00E01163" w:rsidRDefault="00E01163" w:rsidP="00E01163">
      <w:pPr>
        <w:pStyle w:val="ListParagraph"/>
        <w:ind w:left="720"/>
      </w:pPr>
      <m:oMathPara>
        <m:oMathParaPr>
          <m:jc m:val="left"/>
        </m:oMathParaPr>
        <m:oMath>
          <m:r>
            <m:rPr>
              <m:sty m:val="p"/>
            </m:rPr>
            <w:rPr>
              <w:rFonts w:ascii="Cambria Math" w:hAnsi="Cambria Math" w:cs="Cambria Math"/>
            </w:rPr>
            <m:t>R</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alcohol,w</m:t>
                  </m:r>
                </m:sub>
              </m:sSub>
            </m:num>
            <m:den>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ester,w</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V</m:t>
                  </m:r>
                </m:e>
                <m:sub>
                  <m:r>
                    <m:rPr>
                      <m:sty m:val="p"/>
                    </m:rPr>
                    <w:rPr>
                      <w:rFonts w:ascii="Cambria Math" w:hAnsi="Cambria Math"/>
                    </w:rPr>
                    <m:t>w</m:t>
                  </m:r>
                </m:sub>
              </m:sSub>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alcohol,w</m:t>
                  </m:r>
                </m:sub>
              </m:sSub>
            </m:num>
            <m:den>
              <m:sSub>
                <m:sSubPr>
                  <m:ctrlPr>
                    <w:rPr>
                      <w:rFonts w:ascii="Cambria Math" w:hAnsi="Cambria Math"/>
                    </w:rPr>
                  </m:ctrlPr>
                </m:sSubPr>
                <m:e>
                  <m:r>
                    <m:rPr>
                      <m:sty m:val="p"/>
                    </m:rPr>
                    <w:rPr>
                      <w:rFonts w:ascii="Cambria Math" w:hAnsi="Cambria Math"/>
                    </w:rPr>
                    <m:t>V</m:t>
                  </m:r>
                </m:e>
                <m:sub>
                  <m:r>
                    <m:rPr>
                      <m:sty m:val="p"/>
                    </m:rPr>
                    <w:rPr>
                      <w:rFonts w:ascii="Cambria Math" w:hAnsi="Cambria Math"/>
                    </w:rPr>
                    <m:t>ester</m:t>
                  </m:r>
                </m:sub>
              </m:sSub>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ester,w</m:t>
                  </m:r>
                </m:sub>
              </m:sSub>
            </m:den>
          </m:f>
          <m:r>
            <m:rPr>
              <m:sty m:val="p"/>
            </m:rPr>
            <w:rPr>
              <w:rFonts w:ascii="Cambria Math" w:hAnsi="Cambria Math"/>
            </w:rPr>
            <m:t>=0.33*</m:t>
          </m:r>
          <m:f>
            <m:fPr>
              <m:ctrlPr>
                <w:rPr>
                  <w:rFonts w:ascii="Cambria Math" w:hAnsi="Cambria Math"/>
                </w:rPr>
              </m:ctrlPr>
            </m:fPr>
            <m:num>
              <m:r>
                <m:rPr>
                  <m:sty m:val="p"/>
                </m:rPr>
                <w:rPr>
                  <w:rFonts w:ascii="Cambria Math" w:hAnsi="Cambria Math"/>
                </w:rPr>
                <m:t>0.53</m:t>
              </m:r>
            </m:num>
            <m:den>
              <m:r>
                <m:rPr>
                  <m:sty m:val="p"/>
                </m:rPr>
                <w:rPr>
                  <w:rFonts w:ascii="Cambria Math" w:hAnsi="Cambria Math"/>
                </w:rPr>
                <m:t>0.2</m:t>
              </m:r>
            </m:den>
          </m:f>
          <m:r>
            <m:rPr>
              <m:sty m:val="p"/>
            </m:rPr>
            <w:rPr>
              <w:rFonts w:ascii="Cambria Math" w:hAnsi="Cambria Math"/>
            </w:rPr>
            <m:t>=0.86</m:t>
          </m:r>
        </m:oMath>
      </m:oMathPara>
    </w:p>
    <w:p w14:paraId="3F38975F" w14:textId="77777777" w:rsidR="001B588B" w:rsidRPr="00E01163" w:rsidRDefault="001B588B" w:rsidP="00295701">
      <w:pPr>
        <w:pStyle w:val="ListParagraph"/>
        <w:numPr>
          <w:ilvl w:val="0"/>
          <w:numId w:val="4"/>
        </w:numPr>
      </w:pPr>
      <w:r w:rsidRPr="00E01163">
        <w:t>Obtain the flow fraction from the production data:</w:t>
      </w:r>
    </w:p>
    <w:p w14:paraId="7913ED60" w14:textId="77777777" w:rsidR="001B588B" w:rsidRPr="00E01163" w:rsidRDefault="00A53410" w:rsidP="001B588B">
      <m:oMath>
        <m:sSub>
          <m:sSubPr>
            <m:ctrlPr>
              <w:rPr>
                <w:rFonts w:ascii="Cambria Math" w:hAnsi="Cambria Math"/>
              </w:rPr>
            </m:ctrlPr>
          </m:sSubPr>
          <m:e>
            <m:r>
              <m:rPr>
                <m:sty m:val="p"/>
              </m:rPr>
              <w:rPr>
                <w:rFonts w:ascii="Cambria Math" w:hAnsi="Cambria Math"/>
              </w:rPr>
              <m:t>f</m:t>
            </m:r>
          </m:e>
          <m:sub>
            <m:r>
              <m:rPr>
                <m:sty m:val="p"/>
              </m:rPr>
              <w:rPr>
                <w:rFonts w:ascii="Cambria Math" w:hAnsi="Cambria Math"/>
              </w:rPr>
              <m:t>w</m:t>
            </m:r>
          </m:sub>
        </m:sSub>
        <m:r>
          <m:rPr>
            <m:sty m:val="p"/>
          </m:rPr>
          <w:rPr>
            <w:rFonts w:ascii="Cambria Math" w:hAnsi="Cambria Math"/>
          </w:rPr>
          <m:t>=4%</m:t>
        </m:r>
      </m:oMath>
      <w:r w:rsidR="001B588B" w:rsidRPr="00E01163">
        <w:rPr>
          <w:rFonts w:ascii="Cambria Math" w:hAnsi="Cambria Math"/>
        </w:rPr>
        <w:t xml:space="preserve"> and</w:t>
      </w:r>
      <m:oMath>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o</m:t>
            </m:r>
          </m:sub>
        </m:sSub>
        <m:r>
          <m:rPr>
            <m:sty m:val="p"/>
          </m:rPr>
          <w:rPr>
            <w:rFonts w:ascii="Cambria Math" w:hAnsi="Cambria Math"/>
          </w:rPr>
          <m:t>=96%</m:t>
        </m:r>
      </m:oMath>
    </w:p>
    <w:p w14:paraId="0C86823A" w14:textId="77777777" w:rsidR="001B588B" w:rsidRPr="00E01163" w:rsidRDefault="001B588B" w:rsidP="00295701">
      <w:pPr>
        <w:pStyle w:val="ListParagraph"/>
        <w:numPr>
          <w:ilvl w:val="0"/>
          <w:numId w:val="4"/>
        </w:numPr>
      </w:pPr>
      <w:r w:rsidRPr="00E01163">
        <w:t xml:space="preserve">Use Eq. </w:t>
      </w:r>
      <w:r w:rsidR="00E01163" w:rsidRPr="00E01163">
        <w:t>2-</w:t>
      </w:r>
      <w:r w:rsidRPr="00E01163">
        <w:t>5 to calculate the residence time of ester and alcohol:</w:t>
      </w:r>
    </w:p>
    <w:p w14:paraId="1F3E9269" w14:textId="77777777" w:rsidR="001B588B" w:rsidRPr="00E01163" w:rsidRDefault="00A53410" w:rsidP="001B588B">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alcohol</m:t>
            </m:r>
          </m:sub>
        </m:sSub>
        <m:r>
          <m:rPr>
            <m:sty m:val="p"/>
          </m:rPr>
          <w:rPr>
            <w:rFonts w:ascii="Cambria Math" w:hAnsi="Cambria Math"/>
          </w:rPr>
          <m:t>=0.53 day</m:t>
        </m:r>
      </m:oMath>
      <w:r w:rsidR="001B588B" w:rsidRPr="00E01163">
        <w:rPr>
          <w:rFonts w:ascii="Cambria Math" w:hAnsi="Cambria Math"/>
        </w:rPr>
        <w:t xml:space="preserve"> and</w:t>
      </w:r>
      <m:oMath>
        <m:r>
          <m:rPr>
            <m:sty m:val="p"/>
          </m:rPr>
          <w:rPr>
            <w:rFonts w:ascii="Cambria Math" w:hAnsi="Cambria Math"/>
          </w:rPr>
          <m:t xml:space="preserve"> </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ester</m:t>
            </m:r>
          </m:sub>
        </m:sSub>
        <m:r>
          <m:rPr>
            <m:sty m:val="p"/>
          </m:rPr>
          <w:rPr>
            <w:rFonts w:ascii="Cambria Math" w:hAnsi="Cambria Math"/>
          </w:rPr>
          <m:t>=8.8 days</m:t>
        </m:r>
      </m:oMath>
    </w:p>
    <w:p w14:paraId="3E83877B" w14:textId="77777777" w:rsidR="001B588B" w:rsidRPr="00E01163" w:rsidRDefault="001B588B" w:rsidP="00295701">
      <w:pPr>
        <w:pStyle w:val="ListParagraph"/>
        <w:numPr>
          <w:ilvl w:val="0"/>
          <w:numId w:val="4"/>
        </w:numPr>
      </w:pPr>
      <w:r w:rsidRPr="00E01163">
        <w:t xml:space="preserve">Substitute all the parameters into Eq. </w:t>
      </w:r>
      <w:r w:rsidR="00E01163" w:rsidRPr="00E01163">
        <w:t>2-</w:t>
      </w:r>
      <w:r w:rsidRPr="00E01163">
        <w:t>11, the oil saturation is:</w:t>
      </w:r>
    </w:p>
    <w:p w14:paraId="56F16282" w14:textId="77777777" w:rsidR="001B588B" w:rsidRPr="00E01163" w:rsidRDefault="00A53410" w:rsidP="001B588B">
      <w:pPr>
        <w:rPr>
          <w:rFonts w:ascii="Cambria Math" w:hAnsi="Cambria Math"/>
        </w:rPr>
      </w:pP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o</m:t>
            </m:r>
          </m:sub>
        </m:sSub>
        <m:r>
          <m:rPr>
            <m:sty m:val="p"/>
          </m:rPr>
          <w:rPr>
            <w:rFonts w:ascii="Cambria Math" w:hAnsi="Cambria Math"/>
          </w:rPr>
          <m:t>=0.9</m:t>
        </m:r>
      </m:oMath>
      <w:r w:rsidR="001B588B" w:rsidRPr="00E01163">
        <w:rPr>
          <w:rFonts w:ascii="Cambria Math" w:hAnsi="Cambria Math"/>
        </w:rPr>
        <w:t xml:space="preserve"> </w:t>
      </w:r>
    </w:p>
    <w:p w14:paraId="055CF37E" w14:textId="26922903" w:rsidR="001B588B" w:rsidRDefault="001B588B" w:rsidP="001B588B">
      <w:pPr>
        <w:rPr>
          <w:rFonts w:ascii="Cambria Math" w:hAnsi="Cambria Math"/>
        </w:rPr>
      </w:pPr>
      <w:r w:rsidRPr="00E01163">
        <w:rPr>
          <w:rFonts w:ascii="Cambria Math" w:hAnsi="Cambria Math"/>
        </w:rPr>
        <w:lastRenderedPageBreak/>
        <w:t xml:space="preserve">And subsequently,  </w:t>
      </w: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w</m:t>
            </m:r>
          </m:sub>
        </m:sSub>
        <m:r>
          <m:rPr>
            <m:sty m:val="p"/>
          </m:rPr>
          <w:rPr>
            <w:rFonts w:ascii="Cambria Math" w:hAnsi="Cambria Math"/>
          </w:rPr>
          <m:t>=1-</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o</m:t>
            </m:r>
          </m:sub>
        </m:sSub>
        <m:r>
          <m:rPr>
            <m:sty m:val="p"/>
          </m:rPr>
          <w:rPr>
            <w:rFonts w:ascii="Cambria Math" w:hAnsi="Cambria Math"/>
          </w:rPr>
          <m:t>= 0.1</m:t>
        </m:r>
      </m:oMath>
      <w:r w:rsidRPr="00B33055">
        <w:rPr>
          <w:rFonts w:ascii="Cambria Math" w:hAnsi="Cambria Math"/>
        </w:rPr>
        <w:t>.</w:t>
      </w:r>
    </w:p>
    <w:p w14:paraId="59F5C937" w14:textId="77777777" w:rsidR="003732EF" w:rsidRPr="00B33055" w:rsidRDefault="003732EF" w:rsidP="001B588B">
      <w:pPr>
        <w:rPr>
          <w:rFonts w:ascii="Cambria Math" w:hAnsi="Cambria Math"/>
        </w:rPr>
      </w:pPr>
    </w:p>
    <w:p w14:paraId="453535C5" w14:textId="77777777" w:rsidR="001B588B" w:rsidRDefault="00E01163" w:rsidP="009C12AD">
      <w:pPr>
        <w:pStyle w:val="Heading3"/>
      </w:pPr>
      <w:bookmarkStart w:id="61" w:name="_Toc491875872"/>
      <w:bookmarkStart w:id="62" w:name="_Toc491876431"/>
      <w:bookmarkStart w:id="63" w:name="_Toc494014200"/>
      <w:r>
        <w:t>Saturation Estimation</w:t>
      </w:r>
      <w:bookmarkEnd w:id="61"/>
      <w:bookmarkEnd w:id="62"/>
      <w:bookmarkEnd w:id="63"/>
    </w:p>
    <w:p w14:paraId="255CAAE6" w14:textId="0D1A5B81" w:rsidR="00E01163" w:rsidRDefault="00A34ED2" w:rsidP="00E01163">
      <w:r>
        <w:t>Previous section</w:t>
      </w:r>
      <w:r w:rsidR="006715E5" w:rsidRPr="00B33055">
        <w:t xml:space="preserve"> </w:t>
      </w:r>
      <w:r w:rsidR="002F5155">
        <w:t xml:space="preserve">used one case as an example to </w:t>
      </w:r>
      <w:r w:rsidR="00E01163" w:rsidRPr="00B33055">
        <w:t xml:space="preserve">demonstrate the procedure of modified SWCTT and </w:t>
      </w:r>
      <w:r w:rsidR="005E322C">
        <w:t>interpretation of</w:t>
      </w:r>
      <w:r w:rsidR="00E01163" w:rsidRPr="00B33055">
        <w:t xml:space="preserve"> tracer production data </w:t>
      </w:r>
      <w:r w:rsidR="005E322C">
        <w:t>using</w:t>
      </w:r>
      <w:r w:rsidR="00E01163" w:rsidRPr="00B33055">
        <w:t xml:space="preserve"> the proposed formulas. Five more cases with different initial in-situ oil saturations were carried out. Their water flow fractions were calculated as shown in the last row in </w:t>
      </w:r>
      <w:r w:rsidR="004D285B">
        <w:fldChar w:fldCharType="begin"/>
      </w:r>
      <w:r w:rsidR="004D285B">
        <w:instrText xml:space="preserve"> REF _Ref491873640 \h </w:instrText>
      </w:r>
      <w:r w:rsidR="004D285B">
        <w:fldChar w:fldCharType="separate"/>
      </w:r>
      <w:r w:rsidR="0078249D">
        <w:t xml:space="preserve">Table </w:t>
      </w:r>
      <w:r w:rsidR="0078249D">
        <w:rPr>
          <w:noProof/>
        </w:rPr>
        <w:t>2</w:t>
      </w:r>
      <w:r w:rsidR="0078249D">
        <w:noBreakHyphen/>
      </w:r>
      <w:r w:rsidR="0078249D">
        <w:rPr>
          <w:noProof/>
        </w:rPr>
        <w:t>2</w:t>
      </w:r>
      <w:r w:rsidR="004D285B">
        <w:fldChar w:fldCharType="end"/>
      </w:r>
      <w:r w:rsidR="00E01163" w:rsidRPr="00B33055">
        <w:t xml:space="preserve">. Saturations estimated based on tracer production history following proposed approach are shown in </w:t>
      </w:r>
      <w:r w:rsidR="004D285B">
        <w:fldChar w:fldCharType="begin"/>
      </w:r>
      <w:r w:rsidR="004D285B">
        <w:instrText xml:space="preserve"> REF _Ref491873640 \h </w:instrText>
      </w:r>
      <w:r w:rsidR="004D285B">
        <w:fldChar w:fldCharType="separate"/>
      </w:r>
      <w:r w:rsidR="004D285B">
        <w:t xml:space="preserve">Table </w:t>
      </w:r>
      <w:r w:rsidR="004D285B">
        <w:rPr>
          <w:noProof/>
        </w:rPr>
        <w:t>2</w:t>
      </w:r>
      <w:r w:rsidR="004D285B">
        <w:noBreakHyphen/>
      </w:r>
      <w:r w:rsidR="004D285B">
        <w:rPr>
          <w:noProof/>
        </w:rPr>
        <w:t>2</w:t>
      </w:r>
      <w:r w:rsidR="004D285B">
        <w:fldChar w:fldCharType="end"/>
      </w:r>
      <w:r w:rsidR="00E01163" w:rsidRPr="00B33055">
        <w:t xml:space="preserve"> as well. From the results, </w:t>
      </w:r>
      <w:r w:rsidR="00B721FC">
        <w:t>it is</w:t>
      </w:r>
      <w:r w:rsidR="00E01163" w:rsidRPr="00B33055">
        <w:t xml:space="preserve"> see</w:t>
      </w:r>
      <w:r w:rsidR="00B721FC">
        <w:t>n</w:t>
      </w:r>
      <w:r w:rsidR="00E01163" w:rsidRPr="00B33055">
        <w:t xml:space="preserve"> that the analysis from modified SWCTT matched the input values very well. </w:t>
      </w:r>
    </w:p>
    <w:p w14:paraId="6F14F558" w14:textId="77777777" w:rsidR="004D285B" w:rsidRPr="00B33055" w:rsidRDefault="004D285B" w:rsidP="004D285B">
      <w:pPr>
        <w:pStyle w:val="StyleFigCaptionBold"/>
        <w:rPr>
          <w:b/>
          <w:color w:val="000000" w:themeColor="text1"/>
        </w:rPr>
      </w:pPr>
    </w:p>
    <w:p w14:paraId="12152F3A" w14:textId="77777777" w:rsidR="004D285B" w:rsidRPr="00541084" w:rsidRDefault="004D285B" w:rsidP="00BF3F9B">
      <w:pPr>
        <w:pStyle w:val="Caption"/>
        <w:rPr>
          <w:szCs w:val="22"/>
        </w:rPr>
      </w:pPr>
    </w:p>
    <w:tbl>
      <w:tblPr>
        <w:tblW w:w="8416" w:type="dxa"/>
        <w:jc w:val="center"/>
        <w:tblLook w:val="04A0" w:firstRow="1" w:lastRow="0" w:firstColumn="1" w:lastColumn="0" w:noHBand="0" w:noVBand="1"/>
      </w:tblPr>
      <w:tblGrid>
        <w:gridCol w:w="2028"/>
        <w:gridCol w:w="1064"/>
        <w:gridCol w:w="1065"/>
        <w:gridCol w:w="1065"/>
        <w:gridCol w:w="1064"/>
        <w:gridCol w:w="1065"/>
        <w:gridCol w:w="1065"/>
      </w:tblGrid>
      <w:tr w:rsidR="0078249D" w:rsidRPr="00B33055" w14:paraId="0675C323" w14:textId="77777777" w:rsidTr="0078249D">
        <w:trPr>
          <w:trHeight w:val="229"/>
          <w:jc w:val="center"/>
        </w:trPr>
        <w:tc>
          <w:tcPr>
            <w:tcW w:w="841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C17A18" w14:textId="77777777" w:rsidR="0078249D" w:rsidRPr="00541084" w:rsidRDefault="0078249D" w:rsidP="00BF3F9B">
            <w:pPr>
              <w:pStyle w:val="Caption"/>
              <w:rPr>
                <w:rFonts w:ascii="Calibri" w:hAnsi="Calibri"/>
                <w:szCs w:val="22"/>
                <w:lang w:eastAsia="zh-CN"/>
              </w:rPr>
            </w:pPr>
            <w:bookmarkStart w:id="64" w:name="_Ref491873640"/>
            <w:bookmarkStart w:id="65" w:name="_Toc491876553"/>
            <w:bookmarkStart w:id="66" w:name="_Toc494014257"/>
            <w:r w:rsidRPr="00541084">
              <w:rPr>
                <w:szCs w:val="22"/>
              </w:rPr>
              <w:t xml:space="preserve">Table </w:t>
            </w:r>
            <w:r w:rsidR="00A63F01" w:rsidRPr="00541084">
              <w:rPr>
                <w:szCs w:val="22"/>
              </w:rPr>
              <w:fldChar w:fldCharType="begin"/>
            </w:r>
            <w:r w:rsidR="00A63F01" w:rsidRPr="00541084">
              <w:rPr>
                <w:szCs w:val="22"/>
              </w:rPr>
              <w:instrText xml:space="preserve"> STYLEREF 1 \s </w:instrText>
            </w:r>
            <w:r w:rsidR="00A63F01" w:rsidRPr="00541084">
              <w:rPr>
                <w:szCs w:val="22"/>
              </w:rPr>
              <w:fldChar w:fldCharType="separate"/>
            </w:r>
            <w:r w:rsidR="00A67B82" w:rsidRPr="00541084">
              <w:rPr>
                <w:noProof/>
                <w:szCs w:val="22"/>
              </w:rPr>
              <w:t>2</w:t>
            </w:r>
            <w:r w:rsidR="00A63F01" w:rsidRPr="00541084">
              <w:rPr>
                <w:noProof/>
                <w:szCs w:val="22"/>
              </w:rPr>
              <w:fldChar w:fldCharType="end"/>
            </w:r>
            <w:r w:rsidR="00A67B82" w:rsidRPr="00541084">
              <w:rPr>
                <w:szCs w:val="22"/>
              </w:rPr>
              <w:noBreakHyphen/>
            </w:r>
            <w:r w:rsidR="00A63F01" w:rsidRPr="00541084">
              <w:rPr>
                <w:szCs w:val="22"/>
              </w:rPr>
              <w:fldChar w:fldCharType="begin"/>
            </w:r>
            <w:r w:rsidR="00A63F01" w:rsidRPr="00541084">
              <w:rPr>
                <w:szCs w:val="22"/>
              </w:rPr>
              <w:instrText xml:space="preserve"> SEQ Table \* ARABIC \s 1 </w:instrText>
            </w:r>
            <w:r w:rsidR="00A63F01" w:rsidRPr="00541084">
              <w:rPr>
                <w:szCs w:val="22"/>
              </w:rPr>
              <w:fldChar w:fldCharType="separate"/>
            </w:r>
            <w:r w:rsidR="00A67B82" w:rsidRPr="00541084">
              <w:rPr>
                <w:noProof/>
                <w:szCs w:val="22"/>
              </w:rPr>
              <w:t>2</w:t>
            </w:r>
            <w:r w:rsidR="00A63F01" w:rsidRPr="00541084">
              <w:rPr>
                <w:noProof/>
                <w:szCs w:val="22"/>
              </w:rPr>
              <w:fldChar w:fldCharType="end"/>
            </w:r>
            <w:bookmarkEnd w:id="64"/>
            <w:r w:rsidRPr="00541084">
              <w:rPr>
                <w:szCs w:val="22"/>
              </w:rPr>
              <w:t>. Proposed approach verification through modified SWCTT procedure</w:t>
            </w:r>
            <w:bookmarkEnd w:id="65"/>
            <w:bookmarkEnd w:id="66"/>
          </w:p>
        </w:tc>
      </w:tr>
      <w:tr w:rsidR="00923C92" w:rsidRPr="00B33055" w14:paraId="4B2B227E" w14:textId="77777777" w:rsidTr="00923C92">
        <w:trPr>
          <w:trHeight w:val="229"/>
          <w:jc w:val="center"/>
        </w:trPr>
        <w:tc>
          <w:tcPr>
            <w:tcW w:w="20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BD613" w14:textId="77777777" w:rsidR="0078249D" w:rsidRPr="00B33055" w:rsidRDefault="0078249D" w:rsidP="00923C92">
            <w:pPr>
              <w:pStyle w:val="TableNormal1"/>
            </w:pPr>
          </w:p>
        </w:tc>
        <w:tc>
          <w:tcPr>
            <w:tcW w:w="1064" w:type="dxa"/>
            <w:tcBorders>
              <w:top w:val="single" w:sz="4" w:space="0" w:color="auto"/>
              <w:left w:val="nil"/>
              <w:bottom w:val="single" w:sz="4" w:space="0" w:color="auto"/>
              <w:right w:val="single" w:sz="4" w:space="0" w:color="auto"/>
            </w:tcBorders>
            <w:shd w:val="clear" w:color="auto" w:fill="auto"/>
            <w:vAlign w:val="center"/>
          </w:tcPr>
          <w:p w14:paraId="1CE0983B" w14:textId="77777777" w:rsidR="0078249D" w:rsidRPr="00B33055" w:rsidRDefault="0078249D" w:rsidP="00923C92">
            <w:pPr>
              <w:pStyle w:val="TableNormal1"/>
              <w:rPr>
                <w:b/>
                <w:bCs/>
              </w:rPr>
            </w:pPr>
            <w:r>
              <w:rPr>
                <w:b/>
                <w:bCs/>
              </w:rPr>
              <w:t>Case 1</w:t>
            </w:r>
          </w:p>
        </w:tc>
        <w:tc>
          <w:tcPr>
            <w:tcW w:w="1065" w:type="dxa"/>
            <w:tcBorders>
              <w:top w:val="single" w:sz="4" w:space="0" w:color="auto"/>
              <w:left w:val="nil"/>
              <w:bottom w:val="single" w:sz="4" w:space="0" w:color="auto"/>
              <w:right w:val="single" w:sz="4" w:space="0" w:color="auto"/>
            </w:tcBorders>
            <w:shd w:val="clear" w:color="auto" w:fill="auto"/>
            <w:vAlign w:val="center"/>
          </w:tcPr>
          <w:p w14:paraId="6F3CD6B0" w14:textId="77777777" w:rsidR="0078249D" w:rsidRPr="00B33055" w:rsidRDefault="0078249D" w:rsidP="00923C92">
            <w:pPr>
              <w:pStyle w:val="TableNormal1"/>
              <w:rPr>
                <w:b/>
                <w:bCs/>
              </w:rPr>
            </w:pPr>
            <w:r>
              <w:rPr>
                <w:b/>
                <w:bCs/>
              </w:rPr>
              <w:t>Case 2</w:t>
            </w:r>
          </w:p>
        </w:tc>
        <w:tc>
          <w:tcPr>
            <w:tcW w:w="1065" w:type="dxa"/>
            <w:tcBorders>
              <w:top w:val="single" w:sz="4" w:space="0" w:color="auto"/>
              <w:left w:val="nil"/>
              <w:bottom w:val="single" w:sz="4" w:space="0" w:color="auto"/>
              <w:right w:val="single" w:sz="4" w:space="0" w:color="auto"/>
            </w:tcBorders>
            <w:shd w:val="clear" w:color="auto" w:fill="auto"/>
            <w:vAlign w:val="center"/>
          </w:tcPr>
          <w:p w14:paraId="0C05142E" w14:textId="77777777" w:rsidR="0078249D" w:rsidRPr="00B33055" w:rsidRDefault="0078249D" w:rsidP="00923C92">
            <w:pPr>
              <w:pStyle w:val="TableNormal1"/>
              <w:rPr>
                <w:b/>
                <w:bCs/>
              </w:rPr>
            </w:pPr>
            <w:r>
              <w:rPr>
                <w:b/>
                <w:bCs/>
              </w:rPr>
              <w:t>Case 3</w:t>
            </w:r>
          </w:p>
        </w:tc>
        <w:tc>
          <w:tcPr>
            <w:tcW w:w="1064" w:type="dxa"/>
            <w:tcBorders>
              <w:top w:val="single" w:sz="4" w:space="0" w:color="auto"/>
              <w:left w:val="nil"/>
              <w:bottom w:val="single" w:sz="4" w:space="0" w:color="auto"/>
              <w:right w:val="single" w:sz="4" w:space="0" w:color="auto"/>
            </w:tcBorders>
            <w:shd w:val="clear" w:color="auto" w:fill="auto"/>
            <w:vAlign w:val="center"/>
          </w:tcPr>
          <w:p w14:paraId="39E3CE1A" w14:textId="77777777" w:rsidR="0078249D" w:rsidRPr="00B33055" w:rsidRDefault="0078249D" w:rsidP="00923C92">
            <w:pPr>
              <w:pStyle w:val="TableNormal1"/>
              <w:rPr>
                <w:b/>
                <w:bCs/>
              </w:rPr>
            </w:pPr>
            <w:r w:rsidRPr="004D285B">
              <w:rPr>
                <w:b/>
                <w:bCs/>
              </w:rPr>
              <w:t>Case 4</w:t>
            </w:r>
          </w:p>
        </w:tc>
        <w:tc>
          <w:tcPr>
            <w:tcW w:w="1065" w:type="dxa"/>
            <w:tcBorders>
              <w:top w:val="single" w:sz="4" w:space="0" w:color="auto"/>
              <w:left w:val="nil"/>
              <w:bottom w:val="single" w:sz="4" w:space="0" w:color="auto"/>
              <w:right w:val="single" w:sz="4" w:space="0" w:color="auto"/>
            </w:tcBorders>
            <w:shd w:val="clear" w:color="auto" w:fill="auto"/>
            <w:vAlign w:val="center"/>
          </w:tcPr>
          <w:p w14:paraId="7366876B" w14:textId="77777777" w:rsidR="0078249D" w:rsidRPr="00B33055" w:rsidRDefault="0078249D" w:rsidP="00923C92">
            <w:pPr>
              <w:pStyle w:val="TableNormal1"/>
              <w:rPr>
                <w:b/>
                <w:bCs/>
              </w:rPr>
            </w:pPr>
            <w:r w:rsidRPr="004D285B">
              <w:rPr>
                <w:b/>
                <w:bCs/>
              </w:rPr>
              <w:t>Case 5</w:t>
            </w:r>
          </w:p>
        </w:tc>
        <w:tc>
          <w:tcPr>
            <w:tcW w:w="1065" w:type="dxa"/>
            <w:tcBorders>
              <w:top w:val="single" w:sz="4" w:space="0" w:color="auto"/>
              <w:left w:val="nil"/>
              <w:bottom w:val="single" w:sz="4" w:space="0" w:color="auto"/>
              <w:right w:val="single" w:sz="4" w:space="0" w:color="auto"/>
            </w:tcBorders>
            <w:shd w:val="clear" w:color="auto" w:fill="auto"/>
            <w:vAlign w:val="center"/>
          </w:tcPr>
          <w:p w14:paraId="3F661B1E" w14:textId="77777777" w:rsidR="0078249D" w:rsidRPr="00B33055" w:rsidRDefault="0078249D" w:rsidP="00923C92">
            <w:pPr>
              <w:pStyle w:val="TableNormal1"/>
              <w:rPr>
                <w:b/>
                <w:bCs/>
              </w:rPr>
            </w:pPr>
            <w:r w:rsidRPr="004D285B">
              <w:rPr>
                <w:b/>
                <w:bCs/>
              </w:rPr>
              <w:t>Case 6</w:t>
            </w:r>
          </w:p>
        </w:tc>
      </w:tr>
      <w:tr w:rsidR="0078249D" w:rsidRPr="00B33055" w14:paraId="28046471" w14:textId="77777777" w:rsidTr="00923C92">
        <w:trPr>
          <w:trHeight w:val="786"/>
          <w:jc w:val="center"/>
        </w:trPr>
        <w:tc>
          <w:tcPr>
            <w:tcW w:w="2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71862" w14:textId="77777777" w:rsidR="0078249D" w:rsidRPr="00B33055" w:rsidRDefault="0078249D" w:rsidP="00923C92">
            <w:pPr>
              <w:pStyle w:val="TableNormal1"/>
              <w:rPr>
                <w:b/>
                <w:bCs/>
              </w:rPr>
            </w:pPr>
            <w:r w:rsidRPr="00B33055">
              <w:rPr>
                <w:rFonts w:cs="Arial"/>
                <w:b/>
                <w:bCs/>
              </w:rPr>
              <w:t>Input Initial S</w:t>
            </w:r>
            <w:r w:rsidRPr="00B33055">
              <w:rPr>
                <w:rFonts w:cs="Arial"/>
                <w:b/>
                <w:bCs/>
                <w:vertAlign w:val="subscript"/>
              </w:rPr>
              <w:t>o</w:t>
            </w:r>
          </w:p>
        </w:tc>
        <w:tc>
          <w:tcPr>
            <w:tcW w:w="1064" w:type="dxa"/>
            <w:tcBorders>
              <w:top w:val="nil"/>
              <w:left w:val="nil"/>
              <w:bottom w:val="single" w:sz="4" w:space="0" w:color="auto"/>
              <w:right w:val="single" w:sz="4" w:space="0" w:color="auto"/>
            </w:tcBorders>
            <w:shd w:val="clear" w:color="auto" w:fill="auto"/>
            <w:vAlign w:val="center"/>
            <w:hideMark/>
          </w:tcPr>
          <w:p w14:paraId="66CF54EB" w14:textId="77777777" w:rsidR="0078249D" w:rsidRPr="00B33055" w:rsidRDefault="0078249D" w:rsidP="00923C92">
            <w:pPr>
              <w:pStyle w:val="TableNormal1"/>
            </w:pPr>
            <w:r w:rsidRPr="00B33055">
              <w:rPr>
                <w:rFonts w:cs="Arial"/>
              </w:rPr>
              <w:t>0.9</w:t>
            </w:r>
          </w:p>
        </w:tc>
        <w:tc>
          <w:tcPr>
            <w:tcW w:w="1065" w:type="dxa"/>
            <w:tcBorders>
              <w:top w:val="nil"/>
              <w:left w:val="nil"/>
              <w:bottom w:val="single" w:sz="4" w:space="0" w:color="auto"/>
              <w:right w:val="single" w:sz="4" w:space="0" w:color="auto"/>
            </w:tcBorders>
            <w:shd w:val="clear" w:color="auto" w:fill="auto"/>
            <w:vAlign w:val="center"/>
            <w:hideMark/>
          </w:tcPr>
          <w:p w14:paraId="3AF9BC19" w14:textId="77777777" w:rsidR="0078249D" w:rsidRPr="00B33055" w:rsidRDefault="0078249D" w:rsidP="00923C92">
            <w:pPr>
              <w:pStyle w:val="TableNormal1"/>
            </w:pPr>
            <w:r w:rsidRPr="00B33055">
              <w:rPr>
                <w:rFonts w:cs="Arial"/>
              </w:rPr>
              <w:t>0.8</w:t>
            </w:r>
          </w:p>
        </w:tc>
        <w:tc>
          <w:tcPr>
            <w:tcW w:w="1065" w:type="dxa"/>
            <w:tcBorders>
              <w:top w:val="nil"/>
              <w:left w:val="nil"/>
              <w:bottom w:val="single" w:sz="4" w:space="0" w:color="auto"/>
              <w:right w:val="single" w:sz="4" w:space="0" w:color="auto"/>
            </w:tcBorders>
            <w:shd w:val="clear" w:color="auto" w:fill="auto"/>
            <w:vAlign w:val="center"/>
            <w:hideMark/>
          </w:tcPr>
          <w:p w14:paraId="19B1E72C" w14:textId="77777777" w:rsidR="0078249D" w:rsidRPr="00B33055" w:rsidRDefault="0078249D" w:rsidP="00923C92">
            <w:pPr>
              <w:pStyle w:val="TableNormal1"/>
            </w:pPr>
            <w:r w:rsidRPr="00B33055">
              <w:rPr>
                <w:rFonts w:cs="Arial"/>
              </w:rPr>
              <w:t>0.7</w:t>
            </w:r>
          </w:p>
        </w:tc>
        <w:tc>
          <w:tcPr>
            <w:tcW w:w="1064" w:type="dxa"/>
            <w:tcBorders>
              <w:top w:val="nil"/>
              <w:left w:val="nil"/>
              <w:bottom w:val="single" w:sz="4" w:space="0" w:color="auto"/>
              <w:right w:val="single" w:sz="4" w:space="0" w:color="auto"/>
            </w:tcBorders>
            <w:shd w:val="clear" w:color="auto" w:fill="auto"/>
            <w:vAlign w:val="center"/>
            <w:hideMark/>
          </w:tcPr>
          <w:p w14:paraId="58FE3F86" w14:textId="77777777" w:rsidR="0078249D" w:rsidRPr="00B33055" w:rsidRDefault="0078249D" w:rsidP="00923C92">
            <w:pPr>
              <w:pStyle w:val="TableNormal1"/>
            </w:pPr>
            <w:r w:rsidRPr="00B33055">
              <w:rPr>
                <w:rFonts w:cs="Arial"/>
              </w:rPr>
              <w:t>0.5</w:t>
            </w:r>
          </w:p>
        </w:tc>
        <w:tc>
          <w:tcPr>
            <w:tcW w:w="1065" w:type="dxa"/>
            <w:tcBorders>
              <w:top w:val="nil"/>
              <w:left w:val="nil"/>
              <w:bottom w:val="single" w:sz="4" w:space="0" w:color="auto"/>
              <w:right w:val="single" w:sz="4" w:space="0" w:color="auto"/>
            </w:tcBorders>
            <w:shd w:val="clear" w:color="auto" w:fill="auto"/>
            <w:vAlign w:val="center"/>
            <w:hideMark/>
          </w:tcPr>
          <w:p w14:paraId="2CD7EEE4" w14:textId="77777777" w:rsidR="0078249D" w:rsidRPr="00B33055" w:rsidRDefault="0078249D" w:rsidP="00923C92">
            <w:pPr>
              <w:pStyle w:val="TableNormal1"/>
            </w:pPr>
            <w:r w:rsidRPr="00B33055">
              <w:rPr>
                <w:rFonts w:cs="Arial"/>
              </w:rPr>
              <w:t>0.25</w:t>
            </w:r>
          </w:p>
        </w:tc>
        <w:tc>
          <w:tcPr>
            <w:tcW w:w="1065" w:type="dxa"/>
            <w:tcBorders>
              <w:top w:val="nil"/>
              <w:left w:val="nil"/>
              <w:bottom w:val="single" w:sz="4" w:space="0" w:color="auto"/>
              <w:right w:val="single" w:sz="4" w:space="0" w:color="auto"/>
            </w:tcBorders>
            <w:shd w:val="clear" w:color="auto" w:fill="auto"/>
            <w:vAlign w:val="center"/>
            <w:hideMark/>
          </w:tcPr>
          <w:p w14:paraId="72F47A4A" w14:textId="77777777" w:rsidR="0078249D" w:rsidRPr="00B33055" w:rsidRDefault="0078249D" w:rsidP="00923C92">
            <w:pPr>
              <w:pStyle w:val="TableNormal1"/>
            </w:pPr>
            <w:r w:rsidRPr="00B33055">
              <w:rPr>
                <w:rFonts w:cs="Arial"/>
              </w:rPr>
              <w:t>0.1</w:t>
            </w:r>
          </w:p>
        </w:tc>
      </w:tr>
      <w:tr w:rsidR="0078249D" w:rsidRPr="00B33055" w14:paraId="68B170B7" w14:textId="77777777" w:rsidTr="00923C92">
        <w:trPr>
          <w:trHeight w:val="786"/>
          <w:jc w:val="center"/>
        </w:trPr>
        <w:tc>
          <w:tcPr>
            <w:tcW w:w="2028" w:type="dxa"/>
            <w:tcBorders>
              <w:top w:val="nil"/>
              <w:left w:val="single" w:sz="4" w:space="0" w:color="auto"/>
              <w:bottom w:val="single" w:sz="4" w:space="0" w:color="auto"/>
              <w:right w:val="single" w:sz="4" w:space="0" w:color="auto"/>
            </w:tcBorders>
            <w:shd w:val="clear" w:color="auto" w:fill="auto"/>
            <w:vAlign w:val="center"/>
            <w:hideMark/>
          </w:tcPr>
          <w:p w14:paraId="4B8E0AC2" w14:textId="77777777" w:rsidR="0078249D" w:rsidRPr="00B33055" w:rsidRDefault="0078249D" w:rsidP="00923C92">
            <w:pPr>
              <w:pStyle w:val="TableNormal1"/>
              <w:rPr>
                <w:b/>
                <w:bCs/>
              </w:rPr>
            </w:pPr>
            <w:r w:rsidRPr="00B33055">
              <w:rPr>
                <w:b/>
                <w:bCs/>
              </w:rPr>
              <w:t>Calculated S</w:t>
            </w:r>
            <w:r w:rsidRPr="00B33055">
              <w:rPr>
                <w:b/>
                <w:bCs/>
                <w:vertAlign w:val="subscript"/>
              </w:rPr>
              <w:t xml:space="preserve">o </w:t>
            </w:r>
            <w:r w:rsidRPr="00B33055">
              <w:rPr>
                <w:b/>
                <w:bCs/>
              </w:rPr>
              <w:t>through Modified MoM</w:t>
            </w:r>
          </w:p>
        </w:tc>
        <w:tc>
          <w:tcPr>
            <w:tcW w:w="1064" w:type="dxa"/>
            <w:tcBorders>
              <w:top w:val="nil"/>
              <w:left w:val="nil"/>
              <w:bottom w:val="single" w:sz="4" w:space="0" w:color="auto"/>
              <w:right w:val="single" w:sz="4" w:space="0" w:color="auto"/>
            </w:tcBorders>
            <w:shd w:val="clear" w:color="auto" w:fill="auto"/>
            <w:vAlign w:val="center"/>
            <w:hideMark/>
          </w:tcPr>
          <w:p w14:paraId="233F87CD" w14:textId="77777777" w:rsidR="0078249D" w:rsidRPr="00B33055" w:rsidRDefault="0078249D" w:rsidP="00923C92">
            <w:pPr>
              <w:pStyle w:val="TableNormal1"/>
              <w:rPr>
                <w:rFonts w:cs="Arial"/>
              </w:rPr>
            </w:pPr>
            <w:r w:rsidRPr="00B33055">
              <w:rPr>
                <w:rFonts w:cs="Arial"/>
              </w:rPr>
              <w:t>0.9</w:t>
            </w:r>
          </w:p>
        </w:tc>
        <w:tc>
          <w:tcPr>
            <w:tcW w:w="1065" w:type="dxa"/>
            <w:tcBorders>
              <w:top w:val="nil"/>
              <w:left w:val="nil"/>
              <w:bottom w:val="single" w:sz="4" w:space="0" w:color="auto"/>
              <w:right w:val="single" w:sz="4" w:space="0" w:color="auto"/>
            </w:tcBorders>
            <w:shd w:val="clear" w:color="auto" w:fill="auto"/>
            <w:vAlign w:val="center"/>
            <w:hideMark/>
          </w:tcPr>
          <w:p w14:paraId="57497659" w14:textId="77777777" w:rsidR="0078249D" w:rsidRPr="00B33055" w:rsidRDefault="0078249D" w:rsidP="00923C92">
            <w:pPr>
              <w:pStyle w:val="TableNormal1"/>
            </w:pPr>
            <w:r w:rsidRPr="00B33055">
              <w:rPr>
                <w:rFonts w:cs="Arial"/>
              </w:rPr>
              <w:t>0.81</w:t>
            </w:r>
          </w:p>
        </w:tc>
        <w:tc>
          <w:tcPr>
            <w:tcW w:w="1065" w:type="dxa"/>
            <w:tcBorders>
              <w:top w:val="nil"/>
              <w:left w:val="nil"/>
              <w:bottom w:val="single" w:sz="4" w:space="0" w:color="auto"/>
              <w:right w:val="single" w:sz="4" w:space="0" w:color="auto"/>
            </w:tcBorders>
            <w:shd w:val="clear" w:color="auto" w:fill="auto"/>
            <w:vAlign w:val="center"/>
            <w:hideMark/>
          </w:tcPr>
          <w:p w14:paraId="384E1AFC" w14:textId="77777777" w:rsidR="0078249D" w:rsidRPr="00B33055" w:rsidRDefault="0078249D" w:rsidP="00923C92">
            <w:pPr>
              <w:pStyle w:val="TableNormal1"/>
            </w:pPr>
            <w:r w:rsidRPr="00B33055">
              <w:rPr>
                <w:rFonts w:cs="Arial"/>
              </w:rPr>
              <w:t>0.69</w:t>
            </w:r>
          </w:p>
        </w:tc>
        <w:tc>
          <w:tcPr>
            <w:tcW w:w="1064" w:type="dxa"/>
            <w:tcBorders>
              <w:top w:val="nil"/>
              <w:left w:val="nil"/>
              <w:bottom w:val="single" w:sz="4" w:space="0" w:color="auto"/>
              <w:right w:val="single" w:sz="4" w:space="0" w:color="auto"/>
            </w:tcBorders>
            <w:shd w:val="clear" w:color="auto" w:fill="auto"/>
            <w:vAlign w:val="center"/>
            <w:hideMark/>
          </w:tcPr>
          <w:p w14:paraId="276E098B" w14:textId="77777777" w:rsidR="0078249D" w:rsidRPr="00B33055" w:rsidRDefault="0078249D" w:rsidP="00923C92">
            <w:pPr>
              <w:pStyle w:val="TableNormal1"/>
            </w:pPr>
            <w:r w:rsidRPr="00B33055">
              <w:rPr>
                <w:rFonts w:cs="Arial"/>
              </w:rPr>
              <w:t>0.53</w:t>
            </w:r>
          </w:p>
        </w:tc>
        <w:tc>
          <w:tcPr>
            <w:tcW w:w="1065" w:type="dxa"/>
            <w:tcBorders>
              <w:top w:val="nil"/>
              <w:left w:val="nil"/>
              <w:bottom w:val="single" w:sz="4" w:space="0" w:color="auto"/>
              <w:right w:val="single" w:sz="4" w:space="0" w:color="auto"/>
            </w:tcBorders>
            <w:shd w:val="clear" w:color="auto" w:fill="auto"/>
            <w:vAlign w:val="center"/>
            <w:hideMark/>
          </w:tcPr>
          <w:p w14:paraId="4370E4B9" w14:textId="77777777" w:rsidR="0078249D" w:rsidRPr="00B33055" w:rsidRDefault="0078249D" w:rsidP="00923C92">
            <w:pPr>
              <w:pStyle w:val="TableNormal1"/>
            </w:pPr>
            <w:r w:rsidRPr="00B33055">
              <w:rPr>
                <w:rFonts w:cs="Arial"/>
              </w:rPr>
              <w:t>0.26</w:t>
            </w:r>
          </w:p>
        </w:tc>
        <w:tc>
          <w:tcPr>
            <w:tcW w:w="1065" w:type="dxa"/>
            <w:tcBorders>
              <w:top w:val="nil"/>
              <w:left w:val="nil"/>
              <w:bottom w:val="single" w:sz="4" w:space="0" w:color="auto"/>
              <w:right w:val="single" w:sz="4" w:space="0" w:color="auto"/>
            </w:tcBorders>
            <w:shd w:val="clear" w:color="auto" w:fill="auto"/>
            <w:vAlign w:val="center"/>
            <w:hideMark/>
          </w:tcPr>
          <w:p w14:paraId="5D037522" w14:textId="77777777" w:rsidR="0078249D" w:rsidRPr="00B33055" w:rsidRDefault="0078249D" w:rsidP="00923C92">
            <w:pPr>
              <w:pStyle w:val="TableNormal1"/>
            </w:pPr>
            <w:r w:rsidRPr="00B33055">
              <w:rPr>
                <w:rFonts w:cs="Arial"/>
              </w:rPr>
              <w:t>0.1</w:t>
            </w:r>
          </w:p>
        </w:tc>
      </w:tr>
      <w:tr w:rsidR="0078249D" w:rsidRPr="00B33055" w14:paraId="55E4FA6A" w14:textId="77777777" w:rsidTr="00923C92">
        <w:trPr>
          <w:trHeight w:val="786"/>
          <w:jc w:val="center"/>
        </w:trPr>
        <w:tc>
          <w:tcPr>
            <w:tcW w:w="2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E14BD" w14:textId="77777777" w:rsidR="0078249D" w:rsidRPr="00B33055" w:rsidRDefault="0078249D" w:rsidP="00923C92">
            <w:pPr>
              <w:pStyle w:val="TableNormal1"/>
              <w:rPr>
                <w:b/>
                <w:bCs/>
              </w:rPr>
            </w:pPr>
            <w:r w:rsidRPr="00B33055">
              <w:rPr>
                <w:rFonts w:cs="Arial"/>
                <w:b/>
                <w:bCs/>
              </w:rPr>
              <w:t>Water Flow Fraction</w:t>
            </w:r>
          </w:p>
        </w:tc>
        <w:tc>
          <w:tcPr>
            <w:tcW w:w="1064" w:type="dxa"/>
            <w:tcBorders>
              <w:top w:val="nil"/>
              <w:left w:val="nil"/>
              <w:bottom w:val="single" w:sz="4" w:space="0" w:color="auto"/>
              <w:right w:val="single" w:sz="4" w:space="0" w:color="auto"/>
            </w:tcBorders>
            <w:shd w:val="clear" w:color="auto" w:fill="auto"/>
            <w:vAlign w:val="center"/>
            <w:hideMark/>
          </w:tcPr>
          <w:p w14:paraId="3AAE84F5" w14:textId="77777777" w:rsidR="0078249D" w:rsidRPr="00B33055" w:rsidRDefault="0078249D" w:rsidP="00923C92">
            <w:pPr>
              <w:pStyle w:val="TableNormal1"/>
            </w:pPr>
            <w:r w:rsidRPr="00B33055">
              <w:rPr>
                <w:rFonts w:cs="Arial"/>
              </w:rPr>
              <w:t>4%</w:t>
            </w:r>
          </w:p>
        </w:tc>
        <w:tc>
          <w:tcPr>
            <w:tcW w:w="1065" w:type="dxa"/>
            <w:tcBorders>
              <w:top w:val="nil"/>
              <w:left w:val="nil"/>
              <w:bottom w:val="single" w:sz="4" w:space="0" w:color="auto"/>
              <w:right w:val="single" w:sz="4" w:space="0" w:color="auto"/>
            </w:tcBorders>
            <w:shd w:val="clear" w:color="auto" w:fill="auto"/>
            <w:vAlign w:val="center"/>
            <w:hideMark/>
          </w:tcPr>
          <w:p w14:paraId="542F6CDD" w14:textId="77777777" w:rsidR="0078249D" w:rsidRPr="00B33055" w:rsidRDefault="0078249D" w:rsidP="00923C92">
            <w:pPr>
              <w:pStyle w:val="TableNormal1"/>
            </w:pPr>
            <w:r w:rsidRPr="00B33055">
              <w:rPr>
                <w:rFonts w:cs="Arial"/>
              </w:rPr>
              <w:t>18%</w:t>
            </w:r>
          </w:p>
        </w:tc>
        <w:tc>
          <w:tcPr>
            <w:tcW w:w="1065" w:type="dxa"/>
            <w:tcBorders>
              <w:top w:val="nil"/>
              <w:left w:val="nil"/>
              <w:bottom w:val="single" w:sz="4" w:space="0" w:color="auto"/>
              <w:right w:val="single" w:sz="4" w:space="0" w:color="auto"/>
            </w:tcBorders>
            <w:shd w:val="clear" w:color="auto" w:fill="auto"/>
            <w:vAlign w:val="center"/>
            <w:hideMark/>
          </w:tcPr>
          <w:p w14:paraId="3A704D87" w14:textId="77777777" w:rsidR="0078249D" w:rsidRPr="00B33055" w:rsidRDefault="0078249D" w:rsidP="00923C92">
            <w:pPr>
              <w:pStyle w:val="TableNormal1"/>
            </w:pPr>
            <w:r w:rsidRPr="00B33055">
              <w:rPr>
                <w:rFonts w:cs="Arial"/>
              </w:rPr>
              <w:t>45%</w:t>
            </w:r>
          </w:p>
        </w:tc>
        <w:tc>
          <w:tcPr>
            <w:tcW w:w="1064" w:type="dxa"/>
            <w:tcBorders>
              <w:top w:val="nil"/>
              <w:left w:val="nil"/>
              <w:bottom w:val="single" w:sz="4" w:space="0" w:color="auto"/>
              <w:right w:val="single" w:sz="4" w:space="0" w:color="auto"/>
            </w:tcBorders>
            <w:shd w:val="clear" w:color="auto" w:fill="auto"/>
            <w:vAlign w:val="center"/>
            <w:hideMark/>
          </w:tcPr>
          <w:p w14:paraId="015AF576" w14:textId="77777777" w:rsidR="0078249D" w:rsidRPr="00B33055" w:rsidRDefault="0078249D" w:rsidP="00923C92">
            <w:pPr>
              <w:pStyle w:val="TableNormal1"/>
            </w:pPr>
            <w:r w:rsidRPr="00B33055">
              <w:rPr>
                <w:rFonts w:cs="Arial"/>
              </w:rPr>
              <w:t>95%</w:t>
            </w:r>
          </w:p>
        </w:tc>
        <w:tc>
          <w:tcPr>
            <w:tcW w:w="1065" w:type="dxa"/>
            <w:tcBorders>
              <w:top w:val="nil"/>
              <w:left w:val="nil"/>
              <w:bottom w:val="single" w:sz="4" w:space="0" w:color="auto"/>
              <w:right w:val="single" w:sz="4" w:space="0" w:color="auto"/>
            </w:tcBorders>
            <w:shd w:val="clear" w:color="auto" w:fill="auto"/>
            <w:vAlign w:val="center"/>
            <w:hideMark/>
          </w:tcPr>
          <w:p w14:paraId="198752F0" w14:textId="77777777" w:rsidR="0078249D" w:rsidRPr="00B33055" w:rsidRDefault="0078249D" w:rsidP="00923C92">
            <w:pPr>
              <w:pStyle w:val="TableNormal1"/>
            </w:pPr>
            <w:r w:rsidRPr="00B33055">
              <w:rPr>
                <w:rFonts w:cs="Arial"/>
              </w:rPr>
              <w:t>99%</w:t>
            </w:r>
          </w:p>
        </w:tc>
        <w:tc>
          <w:tcPr>
            <w:tcW w:w="1065" w:type="dxa"/>
            <w:tcBorders>
              <w:top w:val="nil"/>
              <w:left w:val="nil"/>
              <w:bottom w:val="single" w:sz="4" w:space="0" w:color="auto"/>
              <w:right w:val="single" w:sz="4" w:space="0" w:color="auto"/>
            </w:tcBorders>
            <w:shd w:val="clear" w:color="auto" w:fill="auto"/>
            <w:vAlign w:val="center"/>
            <w:hideMark/>
          </w:tcPr>
          <w:p w14:paraId="778574F6" w14:textId="77777777" w:rsidR="0078249D" w:rsidRPr="00B33055" w:rsidRDefault="0078249D" w:rsidP="00923C92">
            <w:pPr>
              <w:pStyle w:val="TableNormal1"/>
            </w:pPr>
            <w:r w:rsidRPr="00B33055">
              <w:rPr>
                <w:rFonts w:cs="Arial"/>
              </w:rPr>
              <w:t>100%</w:t>
            </w:r>
          </w:p>
        </w:tc>
      </w:tr>
    </w:tbl>
    <w:p w14:paraId="4C678C19" w14:textId="77777777" w:rsidR="004D285B" w:rsidRPr="00B33055" w:rsidRDefault="004D285B" w:rsidP="00E01163"/>
    <w:p w14:paraId="3B7681E2" w14:textId="312A9E02" w:rsidR="00E01163" w:rsidRPr="00B33055" w:rsidRDefault="00E01163" w:rsidP="00E01163">
      <w:r w:rsidRPr="00B33055">
        <w:t xml:space="preserve">During the shut-in period, the peak of alcohol needs to be significantly higher than the rest. Otherwise, it is hard to clearly locate the point C in </w:t>
      </w:r>
      <w:r w:rsidR="00F169EB">
        <w:fldChar w:fldCharType="begin"/>
      </w:r>
      <w:r w:rsidR="00F169EB">
        <w:instrText xml:space="preserve"> REF _Ref491870712 \h </w:instrText>
      </w:r>
      <w:r w:rsidR="00F169EB">
        <w:fldChar w:fldCharType="separate"/>
      </w:r>
      <w:r w:rsidR="00304B8E" w:rsidRPr="00541084">
        <w:rPr>
          <w:szCs w:val="22"/>
        </w:rPr>
        <w:t xml:space="preserve">Figure </w:t>
      </w:r>
      <w:r w:rsidR="00304B8E">
        <w:rPr>
          <w:noProof/>
          <w:szCs w:val="22"/>
        </w:rPr>
        <w:t>2</w:t>
      </w:r>
      <w:r w:rsidR="00304B8E">
        <w:rPr>
          <w:szCs w:val="22"/>
        </w:rPr>
        <w:noBreakHyphen/>
      </w:r>
      <w:r w:rsidR="00304B8E">
        <w:rPr>
          <w:noProof/>
          <w:szCs w:val="22"/>
        </w:rPr>
        <w:t>8</w:t>
      </w:r>
      <w:r w:rsidR="00F169EB">
        <w:fldChar w:fldCharType="end"/>
      </w:r>
      <w:r w:rsidRPr="00B33055">
        <w:t xml:space="preserve"> in production history, which will result in inaccurate estimation. Hence, a careful design of the tracer test before installment is imperative.</w:t>
      </w:r>
    </w:p>
    <w:p w14:paraId="4C619D08" w14:textId="77777777" w:rsidR="00E01163" w:rsidRDefault="00E01163" w:rsidP="00E01163">
      <w:r w:rsidRPr="00B33055">
        <w:lastRenderedPageBreak/>
        <w:t>The major concerns of applying the proposed SWCTT in real fields would be its mixture injection. The injected oil phase property may differ from its original condition because solution gas would come out in the separators. Also, gravity and immiscibility would separate oil and water. However, it is also necessary to keep in mind that the injection volume is relatively small compared to the entire reservoir and these issues may only limitedly affect the saturation distribution. Nevertheless, further investigations into the details would be necessary to resolve these concerns, and attentive operation and analysis are essential to the success of SWCTT.</w:t>
      </w:r>
    </w:p>
    <w:p w14:paraId="57D22541" w14:textId="77777777" w:rsidR="00F242D4" w:rsidRPr="00B33055" w:rsidRDefault="00F242D4" w:rsidP="00E01163"/>
    <w:p w14:paraId="33EC174A" w14:textId="77777777" w:rsidR="00E01163" w:rsidRDefault="00E01163" w:rsidP="009C12AD">
      <w:pPr>
        <w:pStyle w:val="Heading3"/>
      </w:pPr>
      <w:bookmarkStart w:id="67" w:name="_Toc491875873"/>
      <w:bookmarkStart w:id="68" w:name="_Toc491876432"/>
      <w:bookmarkStart w:id="69" w:name="_Toc494014201"/>
      <w:r>
        <w:t>Comparison with Conventional Interpretation Methods</w:t>
      </w:r>
      <w:bookmarkEnd w:id="67"/>
      <w:bookmarkEnd w:id="68"/>
      <w:bookmarkEnd w:id="69"/>
    </w:p>
    <w:p w14:paraId="03464236" w14:textId="4E7A2F6F" w:rsidR="00E01163" w:rsidRPr="00B33055" w:rsidRDefault="00E01163" w:rsidP="00E01163">
      <w:r w:rsidRPr="00B33055">
        <w:t xml:space="preserve">Currently, there are two analysis approaches: landmark comparison and conventional MoM. Tang and Harker (1990) proposed the landmark comparison approach to estimate residual oil saturation based on chromatographic transformation of the two tracer curves (i.e., production history of partitioning tracer and conservative tracer). After normalizing the tracer concentration, Tang and Harker (1990) concluded that the two curves can be collapsed together by multiplying a factor </w:t>
      </w:r>
      <m:oMath>
        <m:d>
          <m:dPr>
            <m:ctrlPr>
              <w:rPr>
                <w:rFonts w:ascii="Cambria Math" w:hAnsi="Cambria Math"/>
                <w:i/>
              </w:rPr>
            </m:ctrlPr>
          </m:dPr>
          <m:e>
            <m:r>
              <w:rPr>
                <w:rFonts w:ascii="Cambria Math" w:hAnsi="Cambria Math"/>
              </w:rPr>
              <m:t>1+β</m:t>
            </m:r>
          </m:e>
        </m:d>
      </m:oMath>
      <w:r w:rsidRPr="00B33055">
        <w:t xml:space="preserve"> to the arrival time of conservative tracer. In common practices, operators select the peak time to quickly find the parameter </w:t>
      </w:r>
      <m:oMath>
        <m:r>
          <w:rPr>
            <w:rFonts w:ascii="Cambria Math" w:hAnsi="Cambria Math"/>
          </w:rPr>
          <m:t>β</m:t>
        </m:r>
      </m:oMath>
      <w:r w:rsidRPr="00B33055">
        <w:t xml:space="preserve"> (Deans and Carlisle 1988). Maroongroge (1994) derived </w:t>
      </w:r>
      <w:r w:rsidR="006715E5">
        <w:t>an</w:t>
      </w:r>
      <w:r w:rsidR="006715E5" w:rsidRPr="00B33055">
        <w:t xml:space="preserve"> </w:t>
      </w:r>
      <w:r w:rsidRPr="00B33055">
        <w:t xml:space="preserve">equation to calculate residual oil saturation using MoM. First moment is used to calculate the residence time. Asakawa (2005) further extended MoM so that it could handle two-mobile-phase condition. The detailed procedure of each method can be found in the references, which will not be discussed more here. </w:t>
      </w:r>
    </w:p>
    <w:p w14:paraId="3966BA4E" w14:textId="7EBFFE62" w:rsidR="003732EF" w:rsidRDefault="00E01163" w:rsidP="00E01163">
      <w:r w:rsidRPr="00B33055">
        <w:lastRenderedPageBreak/>
        <w:t xml:space="preserve">In this </w:t>
      </w:r>
      <w:r w:rsidR="00F242D4">
        <w:t>section</w:t>
      </w:r>
      <w:r w:rsidRPr="00B33055">
        <w:t xml:space="preserve">, both the landmark comparison method (Tang and Harker 1990) and the conventional MoM (Asakawa 2005) </w:t>
      </w:r>
      <w:r w:rsidR="006715E5">
        <w:t xml:space="preserve">were used </w:t>
      </w:r>
      <w:r w:rsidRPr="00B33055">
        <w:t xml:space="preserve">to analyze the same tracer production data (i.e. obtained from the modified SWCTT procedure) and compared their results with </w:t>
      </w:r>
      <w:r w:rsidR="002C6299">
        <w:t>the proposed</w:t>
      </w:r>
      <w:r w:rsidR="002C6299" w:rsidRPr="00B33055">
        <w:t xml:space="preserve"> </w:t>
      </w:r>
      <w:r w:rsidRPr="00B33055">
        <w:t xml:space="preserve">modified MoM. </w:t>
      </w:r>
      <w:r w:rsidR="004D285B">
        <w:fldChar w:fldCharType="begin"/>
      </w:r>
      <w:r w:rsidR="004D285B">
        <w:instrText xml:space="preserve"> REF _Ref491873789 \h </w:instrText>
      </w:r>
      <w:r w:rsidR="004D285B">
        <w:fldChar w:fldCharType="separate"/>
      </w:r>
      <w:r w:rsidR="004D285B">
        <w:t xml:space="preserve">Table </w:t>
      </w:r>
      <w:r w:rsidR="004D285B">
        <w:rPr>
          <w:noProof/>
        </w:rPr>
        <w:t>2</w:t>
      </w:r>
      <w:r w:rsidR="004D285B">
        <w:noBreakHyphen/>
      </w:r>
      <w:r w:rsidR="004D285B">
        <w:rPr>
          <w:noProof/>
        </w:rPr>
        <w:t>3</w:t>
      </w:r>
      <w:r w:rsidR="004D285B">
        <w:fldChar w:fldCharType="end"/>
      </w:r>
      <w:r w:rsidRPr="00B33055">
        <w:t xml:space="preserve"> shows the results. </w:t>
      </w:r>
      <w:r w:rsidR="002C6299">
        <w:t>C</w:t>
      </w:r>
      <w:r w:rsidRPr="00B33055">
        <w:t>omparison</w:t>
      </w:r>
      <w:r w:rsidR="002C6299">
        <w:t>s show that the</w:t>
      </w:r>
      <w:r w:rsidRPr="00B33055">
        <w:t xml:space="preserve"> proposed </w:t>
      </w:r>
      <w:r w:rsidR="002C6299">
        <w:t xml:space="preserve">new </w:t>
      </w:r>
      <w:r w:rsidRPr="00B33055">
        <w:t xml:space="preserve">approach could provide </w:t>
      </w:r>
      <w:r w:rsidR="002C6299">
        <w:t xml:space="preserve">a </w:t>
      </w:r>
      <w:r w:rsidRPr="00B33055">
        <w:t xml:space="preserve">more accurate estimation of oil saturation than the other two methods. The landmark comparison even gave the negative oil saturation when oil mobility was </w:t>
      </w:r>
      <w:r w:rsidR="002C6299">
        <w:t>large</w:t>
      </w:r>
      <w:r w:rsidRPr="00B33055">
        <w:t xml:space="preserve">. Its estimation became rational when oil mobility approached to zero.  This is because this method does not consider the partitioning tracer production in oil.  In addition, </w:t>
      </w:r>
      <w:r w:rsidR="002C6299">
        <w:t>the</w:t>
      </w:r>
      <w:r w:rsidRPr="00B33055">
        <w:t xml:space="preserve"> proposed approach is also applicable to immobile oil saturation. For example, oil was stationary when its saturation was 0.1. At this situation, </w:t>
      </w:r>
      <w:r w:rsidR="002C6299">
        <w:t>the</w:t>
      </w:r>
      <w:r w:rsidR="002C6299" w:rsidRPr="00B33055">
        <w:t xml:space="preserve"> </w:t>
      </w:r>
      <w:r w:rsidRPr="00B33055">
        <w:t xml:space="preserve">proposed SWCTT procedure </w:t>
      </w:r>
      <w:r w:rsidR="002C6299">
        <w:t>become</w:t>
      </w:r>
      <w:r w:rsidR="001E374B">
        <w:t>s</w:t>
      </w:r>
      <w:r w:rsidR="002C6299">
        <w:t xml:space="preserve"> the</w:t>
      </w:r>
      <w:r w:rsidRPr="00B33055">
        <w:t xml:space="preserve"> conventional SWCTT procedure. Consequently, Asakawa’s equations (Asakawa 2005) for two-mobile-phase condition were identical with Maroongroge (1994) and the MoM for single-mobile-phase was utilized. Based on the result in </w:t>
      </w:r>
      <w:r w:rsidR="004D285B">
        <w:fldChar w:fldCharType="begin"/>
      </w:r>
      <w:r w:rsidR="004D285B">
        <w:instrText xml:space="preserve"> REF _Ref491873789 \h </w:instrText>
      </w:r>
      <w:r w:rsidR="004D285B">
        <w:fldChar w:fldCharType="separate"/>
      </w:r>
      <w:r w:rsidR="004D285B">
        <w:t xml:space="preserve">Table </w:t>
      </w:r>
      <w:r w:rsidR="004D285B">
        <w:rPr>
          <w:noProof/>
        </w:rPr>
        <w:t>2</w:t>
      </w:r>
      <w:r w:rsidR="004D285B">
        <w:noBreakHyphen/>
      </w:r>
      <w:r w:rsidR="004D285B">
        <w:rPr>
          <w:noProof/>
        </w:rPr>
        <w:t>3</w:t>
      </w:r>
      <w:r w:rsidR="004D285B">
        <w:fldChar w:fldCharType="end"/>
      </w:r>
      <w:r w:rsidRPr="00B33055">
        <w:t xml:space="preserve">, the modified MoM improved </w:t>
      </w:r>
      <w:r w:rsidR="002C6299">
        <w:t xml:space="preserve">the </w:t>
      </w:r>
      <w:r w:rsidRPr="00B33055">
        <w:t>accuracy of saturation estimation from conventional MoM. The improvement</w:t>
      </w:r>
      <w:r w:rsidR="002C6299">
        <w:t xml:space="preserve"> </w:t>
      </w:r>
      <w:r w:rsidRPr="00B33055">
        <w:t xml:space="preserve">mainly </w:t>
      </w:r>
      <w:r w:rsidR="002C6299">
        <w:t>attribute to</w:t>
      </w:r>
      <w:r w:rsidRPr="00B33055">
        <w:t xml:space="preserve"> the swept volume correction factor </w:t>
      </w:r>
      <w:r w:rsidRPr="00B33055">
        <w:rPr>
          <w:i/>
        </w:rPr>
        <w:t>R</w:t>
      </w:r>
      <w:r w:rsidRPr="00B33055">
        <w:t>. In SWCTT, the partitioning tracer and conservative tracer may locate at different distances from wellbore determined by the phase mobility, which was not considered in conventional MoM. Therefore, it is rec</w:t>
      </w:r>
      <w:r w:rsidR="00304B8E">
        <w:t>ommended to use the</w:t>
      </w:r>
      <w:r w:rsidRPr="00B33055">
        <w:t xml:space="preserve"> proposed MoM in the replacement of the conventional MoM (i.e., formulas proposed by Maroongroge (1994)) to interpret SWCTT when there is only one mobile phase. </w:t>
      </w:r>
    </w:p>
    <w:p w14:paraId="35060E04" w14:textId="77777777" w:rsidR="004D285B" w:rsidRPr="00B33055" w:rsidRDefault="00E01163" w:rsidP="004D285B">
      <w:pPr>
        <w:pStyle w:val="StyleFigCaptionBold"/>
        <w:rPr>
          <w:b/>
          <w:color w:val="000000" w:themeColor="text1"/>
        </w:rPr>
      </w:pPr>
      <w:r w:rsidRPr="00B33055">
        <w:t xml:space="preserve"> </w:t>
      </w:r>
    </w:p>
    <w:p w14:paraId="44548B77" w14:textId="77777777" w:rsidR="004D285B" w:rsidRPr="00541084" w:rsidRDefault="004D285B" w:rsidP="00BF3F9B">
      <w:pPr>
        <w:pStyle w:val="Caption"/>
        <w:rPr>
          <w:szCs w:val="22"/>
        </w:rPr>
      </w:pPr>
    </w:p>
    <w:p w14:paraId="7A77302A" w14:textId="77777777" w:rsidR="00923C92" w:rsidRDefault="00923C92" w:rsidP="00923C92"/>
    <w:p w14:paraId="497FB697" w14:textId="77777777" w:rsidR="00923C92" w:rsidRPr="00923C92" w:rsidRDefault="00923C92" w:rsidP="00923C92"/>
    <w:tbl>
      <w:tblPr>
        <w:tblW w:w="5000" w:type="pct"/>
        <w:tblLook w:val="04A0" w:firstRow="1" w:lastRow="0" w:firstColumn="1" w:lastColumn="0" w:noHBand="0" w:noVBand="1"/>
      </w:tblPr>
      <w:tblGrid>
        <w:gridCol w:w="2473"/>
        <w:gridCol w:w="1041"/>
        <w:gridCol w:w="1040"/>
        <w:gridCol w:w="1040"/>
        <w:gridCol w:w="1040"/>
        <w:gridCol w:w="1040"/>
        <w:gridCol w:w="1038"/>
      </w:tblGrid>
      <w:tr w:rsidR="0078249D" w:rsidRPr="00B33055" w14:paraId="03B3B760" w14:textId="77777777" w:rsidTr="0078249D">
        <w:trPr>
          <w:trHeight w:val="426"/>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8C9818" w14:textId="77777777" w:rsidR="0078249D" w:rsidRPr="00541084" w:rsidRDefault="0078249D" w:rsidP="00BF3F9B">
            <w:pPr>
              <w:pStyle w:val="Caption"/>
              <w:rPr>
                <w:rFonts w:ascii="Calibri" w:hAnsi="Calibri"/>
                <w:color w:val="000000" w:themeColor="text1"/>
                <w:szCs w:val="22"/>
                <w:lang w:eastAsia="zh-CN"/>
              </w:rPr>
            </w:pPr>
            <w:bookmarkStart w:id="70" w:name="_Ref491873789"/>
            <w:bookmarkStart w:id="71" w:name="_Toc491876554"/>
            <w:bookmarkStart w:id="72" w:name="_Toc494014258"/>
            <w:r w:rsidRPr="00541084">
              <w:rPr>
                <w:szCs w:val="22"/>
              </w:rPr>
              <w:lastRenderedPageBreak/>
              <w:t xml:space="preserve">Table </w:t>
            </w:r>
            <w:r w:rsidR="00A63F01" w:rsidRPr="00541084">
              <w:rPr>
                <w:szCs w:val="22"/>
              </w:rPr>
              <w:fldChar w:fldCharType="begin"/>
            </w:r>
            <w:r w:rsidR="00A63F01" w:rsidRPr="00541084">
              <w:rPr>
                <w:szCs w:val="22"/>
              </w:rPr>
              <w:instrText xml:space="preserve"> STYLEREF 1 \s </w:instrText>
            </w:r>
            <w:r w:rsidR="00A63F01" w:rsidRPr="00541084">
              <w:rPr>
                <w:szCs w:val="22"/>
              </w:rPr>
              <w:fldChar w:fldCharType="separate"/>
            </w:r>
            <w:r w:rsidR="00A67B82" w:rsidRPr="00541084">
              <w:rPr>
                <w:noProof/>
                <w:szCs w:val="22"/>
              </w:rPr>
              <w:t>2</w:t>
            </w:r>
            <w:r w:rsidR="00A63F01" w:rsidRPr="00541084">
              <w:rPr>
                <w:noProof/>
                <w:szCs w:val="22"/>
              </w:rPr>
              <w:fldChar w:fldCharType="end"/>
            </w:r>
            <w:r w:rsidR="00A67B82" w:rsidRPr="00541084">
              <w:rPr>
                <w:szCs w:val="22"/>
              </w:rPr>
              <w:noBreakHyphen/>
            </w:r>
            <w:r w:rsidR="00A63F01" w:rsidRPr="00541084">
              <w:rPr>
                <w:szCs w:val="22"/>
              </w:rPr>
              <w:fldChar w:fldCharType="begin"/>
            </w:r>
            <w:r w:rsidR="00A63F01" w:rsidRPr="00541084">
              <w:rPr>
                <w:szCs w:val="22"/>
              </w:rPr>
              <w:instrText xml:space="preserve"> SEQ Table \* ARABIC \s 1 </w:instrText>
            </w:r>
            <w:r w:rsidR="00A63F01" w:rsidRPr="00541084">
              <w:rPr>
                <w:szCs w:val="22"/>
              </w:rPr>
              <w:fldChar w:fldCharType="separate"/>
            </w:r>
            <w:r w:rsidR="00A67B82" w:rsidRPr="00541084">
              <w:rPr>
                <w:noProof/>
                <w:szCs w:val="22"/>
              </w:rPr>
              <w:t>3</w:t>
            </w:r>
            <w:r w:rsidR="00A63F01" w:rsidRPr="00541084">
              <w:rPr>
                <w:noProof/>
                <w:szCs w:val="22"/>
              </w:rPr>
              <w:fldChar w:fldCharType="end"/>
            </w:r>
            <w:bookmarkEnd w:id="70"/>
            <w:r w:rsidRPr="00541084">
              <w:rPr>
                <w:szCs w:val="22"/>
              </w:rPr>
              <w:t>. Result comparison with conventional interpretation methods.</w:t>
            </w:r>
            <w:bookmarkEnd w:id="71"/>
            <w:bookmarkEnd w:id="72"/>
          </w:p>
        </w:tc>
      </w:tr>
      <w:tr w:rsidR="0078249D" w:rsidRPr="00B33055" w14:paraId="3CB62FCA" w14:textId="77777777" w:rsidTr="00923C92">
        <w:trPr>
          <w:trHeight w:val="426"/>
        </w:trPr>
        <w:tc>
          <w:tcPr>
            <w:tcW w:w="14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8E8B82" w14:textId="77777777" w:rsidR="0078249D" w:rsidRPr="00B33055" w:rsidRDefault="0078249D" w:rsidP="00923C92">
            <w:pPr>
              <w:pStyle w:val="TableNormal1"/>
            </w:pPr>
          </w:p>
        </w:tc>
        <w:tc>
          <w:tcPr>
            <w:tcW w:w="597" w:type="pct"/>
            <w:tcBorders>
              <w:top w:val="single" w:sz="4" w:space="0" w:color="auto"/>
              <w:left w:val="nil"/>
              <w:bottom w:val="single" w:sz="4" w:space="0" w:color="auto"/>
              <w:right w:val="single" w:sz="4" w:space="0" w:color="auto"/>
            </w:tcBorders>
            <w:shd w:val="clear" w:color="auto" w:fill="auto"/>
            <w:vAlign w:val="center"/>
          </w:tcPr>
          <w:p w14:paraId="178AC575" w14:textId="77777777" w:rsidR="0078249D" w:rsidRPr="00B33055" w:rsidRDefault="0078249D" w:rsidP="00923C92">
            <w:pPr>
              <w:pStyle w:val="TableNormal1"/>
              <w:rPr>
                <w:b/>
                <w:bCs/>
              </w:rPr>
            </w:pPr>
            <w:r w:rsidRPr="00B33055">
              <w:rPr>
                <w:b/>
                <w:bCs/>
              </w:rPr>
              <w:t>Case 1</w:t>
            </w:r>
          </w:p>
        </w:tc>
        <w:tc>
          <w:tcPr>
            <w:tcW w:w="597" w:type="pct"/>
            <w:tcBorders>
              <w:top w:val="single" w:sz="4" w:space="0" w:color="auto"/>
              <w:left w:val="nil"/>
              <w:bottom w:val="single" w:sz="4" w:space="0" w:color="auto"/>
              <w:right w:val="single" w:sz="4" w:space="0" w:color="auto"/>
            </w:tcBorders>
            <w:shd w:val="clear" w:color="auto" w:fill="auto"/>
            <w:vAlign w:val="center"/>
          </w:tcPr>
          <w:p w14:paraId="41C5DB11" w14:textId="77777777" w:rsidR="0078249D" w:rsidRPr="00B33055" w:rsidRDefault="0078249D" w:rsidP="00923C92">
            <w:pPr>
              <w:pStyle w:val="TableNormal1"/>
              <w:rPr>
                <w:b/>
                <w:bCs/>
              </w:rPr>
            </w:pPr>
            <w:r w:rsidRPr="00B33055">
              <w:rPr>
                <w:b/>
                <w:bCs/>
              </w:rPr>
              <w:t>Case 2</w:t>
            </w:r>
          </w:p>
        </w:tc>
        <w:tc>
          <w:tcPr>
            <w:tcW w:w="597" w:type="pct"/>
            <w:tcBorders>
              <w:top w:val="single" w:sz="4" w:space="0" w:color="auto"/>
              <w:left w:val="nil"/>
              <w:bottom w:val="single" w:sz="4" w:space="0" w:color="auto"/>
              <w:right w:val="single" w:sz="4" w:space="0" w:color="auto"/>
            </w:tcBorders>
            <w:shd w:val="clear" w:color="auto" w:fill="auto"/>
            <w:vAlign w:val="center"/>
          </w:tcPr>
          <w:p w14:paraId="5E71F28A" w14:textId="77777777" w:rsidR="0078249D" w:rsidRPr="00B33055" w:rsidRDefault="0078249D" w:rsidP="00923C92">
            <w:pPr>
              <w:pStyle w:val="TableNormal1"/>
              <w:rPr>
                <w:b/>
                <w:bCs/>
              </w:rPr>
            </w:pPr>
            <w:r w:rsidRPr="00B33055">
              <w:rPr>
                <w:b/>
                <w:bCs/>
              </w:rPr>
              <w:t>Case 3</w:t>
            </w:r>
          </w:p>
        </w:tc>
        <w:tc>
          <w:tcPr>
            <w:tcW w:w="597" w:type="pct"/>
            <w:tcBorders>
              <w:top w:val="single" w:sz="4" w:space="0" w:color="auto"/>
              <w:left w:val="nil"/>
              <w:bottom w:val="single" w:sz="4" w:space="0" w:color="auto"/>
              <w:right w:val="single" w:sz="4" w:space="0" w:color="auto"/>
            </w:tcBorders>
            <w:shd w:val="clear" w:color="auto" w:fill="auto"/>
            <w:vAlign w:val="center"/>
          </w:tcPr>
          <w:p w14:paraId="54729064" w14:textId="77777777" w:rsidR="0078249D" w:rsidRPr="00B33055" w:rsidRDefault="0078249D" w:rsidP="00923C92">
            <w:pPr>
              <w:pStyle w:val="TableNormal1"/>
              <w:rPr>
                <w:b/>
                <w:bCs/>
              </w:rPr>
            </w:pPr>
            <w:r w:rsidRPr="00B33055">
              <w:rPr>
                <w:b/>
                <w:bCs/>
              </w:rPr>
              <w:t>Case 4</w:t>
            </w:r>
          </w:p>
        </w:tc>
        <w:tc>
          <w:tcPr>
            <w:tcW w:w="597" w:type="pct"/>
            <w:tcBorders>
              <w:top w:val="single" w:sz="4" w:space="0" w:color="auto"/>
              <w:left w:val="nil"/>
              <w:bottom w:val="single" w:sz="4" w:space="0" w:color="auto"/>
              <w:right w:val="single" w:sz="4" w:space="0" w:color="auto"/>
            </w:tcBorders>
            <w:shd w:val="clear" w:color="auto" w:fill="auto"/>
            <w:vAlign w:val="center"/>
          </w:tcPr>
          <w:p w14:paraId="4A1A3A9F" w14:textId="77777777" w:rsidR="0078249D" w:rsidRPr="00B33055" w:rsidRDefault="0078249D" w:rsidP="00923C92">
            <w:pPr>
              <w:pStyle w:val="TableNormal1"/>
              <w:rPr>
                <w:b/>
                <w:bCs/>
              </w:rPr>
            </w:pPr>
            <w:r w:rsidRPr="00B33055">
              <w:rPr>
                <w:b/>
                <w:bCs/>
              </w:rPr>
              <w:t>Case 5</w:t>
            </w:r>
          </w:p>
        </w:tc>
        <w:tc>
          <w:tcPr>
            <w:tcW w:w="596" w:type="pct"/>
            <w:tcBorders>
              <w:top w:val="single" w:sz="4" w:space="0" w:color="auto"/>
              <w:left w:val="nil"/>
              <w:bottom w:val="single" w:sz="4" w:space="0" w:color="auto"/>
              <w:right w:val="single" w:sz="4" w:space="0" w:color="auto"/>
            </w:tcBorders>
            <w:shd w:val="clear" w:color="auto" w:fill="auto"/>
            <w:vAlign w:val="center"/>
          </w:tcPr>
          <w:p w14:paraId="6B47CDFC" w14:textId="77777777" w:rsidR="0078249D" w:rsidRPr="00B33055" w:rsidRDefault="0078249D" w:rsidP="00923C92">
            <w:pPr>
              <w:pStyle w:val="TableNormal1"/>
              <w:rPr>
                <w:b/>
                <w:bCs/>
              </w:rPr>
            </w:pPr>
            <w:r w:rsidRPr="00B33055">
              <w:rPr>
                <w:b/>
                <w:bCs/>
              </w:rPr>
              <w:t>Case 6</w:t>
            </w:r>
          </w:p>
        </w:tc>
      </w:tr>
      <w:tr w:rsidR="0078249D" w:rsidRPr="00B33055" w14:paraId="5E0107FF" w14:textId="77777777" w:rsidTr="00923C92">
        <w:trPr>
          <w:trHeight w:val="532"/>
        </w:trPr>
        <w:tc>
          <w:tcPr>
            <w:tcW w:w="1419" w:type="pct"/>
            <w:tcBorders>
              <w:top w:val="nil"/>
              <w:left w:val="single" w:sz="4" w:space="0" w:color="auto"/>
              <w:bottom w:val="single" w:sz="4" w:space="0" w:color="auto"/>
              <w:right w:val="single" w:sz="4" w:space="0" w:color="auto"/>
            </w:tcBorders>
            <w:shd w:val="clear" w:color="auto" w:fill="auto"/>
            <w:vAlign w:val="center"/>
            <w:hideMark/>
          </w:tcPr>
          <w:p w14:paraId="345419F2" w14:textId="77777777" w:rsidR="0078249D" w:rsidRPr="00B33055" w:rsidRDefault="0078249D" w:rsidP="00923C92">
            <w:pPr>
              <w:pStyle w:val="TableNormal1"/>
              <w:rPr>
                <w:b/>
                <w:bCs/>
              </w:rPr>
            </w:pPr>
            <w:r w:rsidRPr="00B33055">
              <w:rPr>
                <w:b/>
                <w:bCs/>
              </w:rPr>
              <w:t>Input So</w:t>
            </w:r>
          </w:p>
        </w:tc>
        <w:tc>
          <w:tcPr>
            <w:tcW w:w="597" w:type="pct"/>
            <w:tcBorders>
              <w:top w:val="nil"/>
              <w:left w:val="nil"/>
              <w:bottom w:val="single" w:sz="4" w:space="0" w:color="auto"/>
              <w:right w:val="single" w:sz="4" w:space="0" w:color="auto"/>
            </w:tcBorders>
            <w:shd w:val="clear" w:color="auto" w:fill="auto"/>
            <w:vAlign w:val="center"/>
            <w:hideMark/>
          </w:tcPr>
          <w:p w14:paraId="19743048" w14:textId="77777777" w:rsidR="0078249D" w:rsidRPr="00B33055" w:rsidRDefault="0078249D" w:rsidP="00923C92">
            <w:pPr>
              <w:pStyle w:val="TableNormal1"/>
            </w:pPr>
            <w:r w:rsidRPr="00B33055">
              <w:t>0.9</w:t>
            </w:r>
          </w:p>
        </w:tc>
        <w:tc>
          <w:tcPr>
            <w:tcW w:w="597" w:type="pct"/>
            <w:tcBorders>
              <w:top w:val="nil"/>
              <w:left w:val="nil"/>
              <w:bottom w:val="single" w:sz="4" w:space="0" w:color="auto"/>
              <w:right w:val="single" w:sz="4" w:space="0" w:color="auto"/>
            </w:tcBorders>
            <w:shd w:val="clear" w:color="auto" w:fill="auto"/>
            <w:vAlign w:val="center"/>
            <w:hideMark/>
          </w:tcPr>
          <w:p w14:paraId="196D0C0E" w14:textId="77777777" w:rsidR="0078249D" w:rsidRPr="00B33055" w:rsidRDefault="0078249D" w:rsidP="00923C92">
            <w:pPr>
              <w:pStyle w:val="TableNormal1"/>
            </w:pPr>
            <w:r w:rsidRPr="00B33055">
              <w:t>0.8</w:t>
            </w:r>
          </w:p>
        </w:tc>
        <w:tc>
          <w:tcPr>
            <w:tcW w:w="597" w:type="pct"/>
            <w:tcBorders>
              <w:top w:val="nil"/>
              <w:left w:val="nil"/>
              <w:bottom w:val="single" w:sz="4" w:space="0" w:color="auto"/>
              <w:right w:val="single" w:sz="4" w:space="0" w:color="auto"/>
            </w:tcBorders>
            <w:shd w:val="clear" w:color="auto" w:fill="auto"/>
            <w:vAlign w:val="center"/>
            <w:hideMark/>
          </w:tcPr>
          <w:p w14:paraId="07743D05" w14:textId="77777777" w:rsidR="0078249D" w:rsidRPr="00B33055" w:rsidRDefault="0078249D" w:rsidP="00923C92">
            <w:pPr>
              <w:pStyle w:val="TableNormal1"/>
            </w:pPr>
            <w:r w:rsidRPr="00B33055">
              <w:t>0.7</w:t>
            </w:r>
          </w:p>
        </w:tc>
        <w:tc>
          <w:tcPr>
            <w:tcW w:w="597" w:type="pct"/>
            <w:tcBorders>
              <w:top w:val="nil"/>
              <w:left w:val="nil"/>
              <w:bottom w:val="single" w:sz="4" w:space="0" w:color="auto"/>
              <w:right w:val="single" w:sz="4" w:space="0" w:color="auto"/>
            </w:tcBorders>
            <w:shd w:val="clear" w:color="auto" w:fill="auto"/>
            <w:vAlign w:val="center"/>
            <w:hideMark/>
          </w:tcPr>
          <w:p w14:paraId="1155AAAE" w14:textId="77777777" w:rsidR="0078249D" w:rsidRPr="00B33055" w:rsidRDefault="0078249D" w:rsidP="00923C92">
            <w:pPr>
              <w:pStyle w:val="TableNormal1"/>
            </w:pPr>
            <w:r w:rsidRPr="00B33055">
              <w:t>0.5</w:t>
            </w:r>
          </w:p>
        </w:tc>
        <w:tc>
          <w:tcPr>
            <w:tcW w:w="597" w:type="pct"/>
            <w:tcBorders>
              <w:top w:val="nil"/>
              <w:left w:val="nil"/>
              <w:bottom w:val="single" w:sz="4" w:space="0" w:color="auto"/>
              <w:right w:val="single" w:sz="4" w:space="0" w:color="auto"/>
            </w:tcBorders>
            <w:shd w:val="clear" w:color="auto" w:fill="auto"/>
            <w:vAlign w:val="center"/>
            <w:hideMark/>
          </w:tcPr>
          <w:p w14:paraId="1E81A217" w14:textId="77777777" w:rsidR="0078249D" w:rsidRPr="00B33055" w:rsidRDefault="0078249D" w:rsidP="00923C92">
            <w:pPr>
              <w:pStyle w:val="TableNormal1"/>
            </w:pPr>
            <w:r w:rsidRPr="00B33055">
              <w:t>0.25</w:t>
            </w:r>
          </w:p>
        </w:tc>
        <w:tc>
          <w:tcPr>
            <w:tcW w:w="596" w:type="pct"/>
            <w:tcBorders>
              <w:top w:val="nil"/>
              <w:left w:val="nil"/>
              <w:bottom w:val="single" w:sz="4" w:space="0" w:color="auto"/>
              <w:right w:val="single" w:sz="4" w:space="0" w:color="auto"/>
            </w:tcBorders>
            <w:shd w:val="clear" w:color="auto" w:fill="auto"/>
            <w:vAlign w:val="center"/>
            <w:hideMark/>
          </w:tcPr>
          <w:p w14:paraId="6E340DC4" w14:textId="77777777" w:rsidR="0078249D" w:rsidRPr="00B33055" w:rsidRDefault="0078249D" w:rsidP="00923C92">
            <w:pPr>
              <w:pStyle w:val="TableNormal1"/>
            </w:pPr>
            <w:r w:rsidRPr="00B33055">
              <w:t>0.1</w:t>
            </w:r>
          </w:p>
        </w:tc>
      </w:tr>
      <w:tr w:rsidR="0078249D" w:rsidRPr="00B33055" w14:paraId="3602481C" w14:textId="77777777" w:rsidTr="00923C92">
        <w:trPr>
          <w:trHeight w:val="532"/>
        </w:trPr>
        <w:tc>
          <w:tcPr>
            <w:tcW w:w="1419" w:type="pct"/>
            <w:tcBorders>
              <w:top w:val="nil"/>
              <w:left w:val="single" w:sz="4" w:space="0" w:color="auto"/>
              <w:bottom w:val="single" w:sz="4" w:space="0" w:color="auto"/>
              <w:right w:val="single" w:sz="4" w:space="0" w:color="auto"/>
            </w:tcBorders>
            <w:shd w:val="clear" w:color="auto" w:fill="auto"/>
            <w:vAlign w:val="center"/>
            <w:hideMark/>
          </w:tcPr>
          <w:p w14:paraId="689C9BC6" w14:textId="77777777" w:rsidR="0078249D" w:rsidRPr="00B33055" w:rsidRDefault="0078249D" w:rsidP="00923C92">
            <w:pPr>
              <w:pStyle w:val="TableNormal1"/>
              <w:rPr>
                <w:b/>
                <w:bCs/>
              </w:rPr>
            </w:pPr>
            <w:r w:rsidRPr="00B33055">
              <w:rPr>
                <w:b/>
                <w:bCs/>
              </w:rPr>
              <w:t>Landmark Comparison</w:t>
            </w:r>
          </w:p>
        </w:tc>
        <w:tc>
          <w:tcPr>
            <w:tcW w:w="597" w:type="pct"/>
            <w:tcBorders>
              <w:top w:val="nil"/>
              <w:left w:val="nil"/>
              <w:bottom w:val="single" w:sz="4" w:space="0" w:color="auto"/>
              <w:right w:val="single" w:sz="4" w:space="0" w:color="auto"/>
            </w:tcBorders>
            <w:shd w:val="clear" w:color="auto" w:fill="auto"/>
            <w:vAlign w:val="center"/>
            <w:hideMark/>
          </w:tcPr>
          <w:p w14:paraId="5B10E879" w14:textId="77777777" w:rsidR="0078249D" w:rsidRPr="00B33055" w:rsidRDefault="0078249D" w:rsidP="00923C92">
            <w:pPr>
              <w:pStyle w:val="TableNormal1"/>
            </w:pPr>
            <w:r w:rsidRPr="00B33055">
              <w:t>-0.83</w:t>
            </w:r>
          </w:p>
        </w:tc>
        <w:tc>
          <w:tcPr>
            <w:tcW w:w="597" w:type="pct"/>
            <w:tcBorders>
              <w:top w:val="nil"/>
              <w:left w:val="nil"/>
              <w:bottom w:val="single" w:sz="4" w:space="0" w:color="auto"/>
              <w:right w:val="single" w:sz="4" w:space="0" w:color="auto"/>
            </w:tcBorders>
            <w:shd w:val="clear" w:color="auto" w:fill="auto"/>
            <w:vAlign w:val="center"/>
            <w:hideMark/>
          </w:tcPr>
          <w:p w14:paraId="32B3593A" w14:textId="77777777" w:rsidR="0078249D" w:rsidRPr="00B33055" w:rsidRDefault="0078249D" w:rsidP="00923C92">
            <w:pPr>
              <w:pStyle w:val="TableNormal1"/>
            </w:pPr>
            <w:r w:rsidRPr="00B33055">
              <w:t>-0.03</w:t>
            </w:r>
          </w:p>
        </w:tc>
        <w:tc>
          <w:tcPr>
            <w:tcW w:w="597" w:type="pct"/>
            <w:tcBorders>
              <w:top w:val="nil"/>
              <w:left w:val="nil"/>
              <w:bottom w:val="single" w:sz="4" w:space="0" w:color="auto"/>
              <w:right w:val="single" w:sz="4" w:space="0" w:color="auto"/>
            </w:tcBorders>
            <w:shd w:val="clear" w:color="auto" w:fill="auto"/>
            <w:vAlign w:val="center"/>
            <w:hideMark/>
          </w:tcPr>
          <w:p w14:paraId="2572D5CC" w14:textId="77777777" w:rsidR="0078249D" w:rsidRPr="00B33055" w:rsidRDefault="0078249D" w:rsidP="00923C92">
            <w:pPr>
              <w:pStyle w:val="TableNormal1"/>
            </w:pPr>
            <w:r w:rsidRPr="00B33055">
              <w:t>0.27</w:t>
            </w:r>
          </w:p>
        </w:tc>
        <w:tc>
          <w:tcPr>
            <w:tcW w:w="597" w:type="pct"/>
            <w:tcBorders>
              <w:top w:val="nil"/>
              <w:left w:val="nil"/>
              <w:bottom w:val="single" w:sz="4" w:space="0" w:color="auto"/>
              <w:right w:val="single" w:sz="4" w:space="0" w:color="auto"/>
            </w:tcBorders>
            <w:shd w:val="clear" w:color="auto" w:fill="auto"/>
            <w:vAlign w:val="center"/>
            <w:hideMark/>
          </w:tcPr>
          <w:p w14:paraId="4180B0C7" w14:textId="77777777" w:rsidR="0078249D" w:rsidRPr="00B33055" w:rsidRDefault="0078249D" w:rsidP="00923C92">
            <w:pPr>
              <w:pStyle w:val="TableNormal1"/>
            </w:pPr>
            <w:r w:rsidRPr="00B33055">
              <w:t>0.44</w:t>
            </w:r>
          </w:p>
        </w:tc>
        <w:tc>
          <w:tcPr>
            <w:tcW w:w="597" w:type="pct"/>
            <w:tcBorders>
              <w:top w:val="nil"/>
              <w:left w:val="nil"/>
              <w:bottom w:val="single" w:sz="4" w:space="0" w:color="auto"/>
              <w:right w:val="single" w:sz="4" w:space="0" w:color="auto"/>
            </w:tcBorders>
            <w:shd w:val="clear" w:color="auto" w:fill="auto"/>
            <w:vAlign w:val="center"/>
            <w:hideMark/>
          </w:tcPr>
          <w:p w14:paraId="010A8894" w14:textId="77777777" w:rsidR="0078249D" w:rsidRPr="00B33055" w:rsidRDefault="0078249D" w:rsidP="00923C92">
            <w:pPr>
              <w:pStyle w:val="TableNormal1"/>
            </w:pPr>
            <w:r w:rsidRPr="00B33055">
              <w:t>0.26</w:t>
            </w:r>
          </w:p>
        </w:tc>
        <w:tc>
          <w:tcPr>
            <w:tcW w:w="596" w:type="pct"/>
            <w:tcBorders>
              <w:top w:val="nil"/>
              <w:left w:val="nil"/>
              <w:bottom w:val="single" w:sz="4" w:space="0" w:color="auto"/>
              <w:right w:val="single" w:sz="4" w:space="0" w:color="auto"/>
            </w:tcBorders>
            <w:shd w:val="clear" w:color="auto" w:fill="auto"/>
            <w:vAlign w:val="center"/>
            <w:hideMark/>
          </w:tcPr>
          <w:p w14:paraId="0C2657C8" w14:textId="77777777" w:rsidR="0078249D" w:rsidRPr="00B33055" w:rsidRDefault="0078249D" w:rsidP="00923C92">
            <w:pPr>
              <w:pStyle w:val="TableNormal1"/>
            </w:pPr>
            <w:r w:rsidRPr="00B33055">
              <w:t>0.1</w:t>
            </w:r>
          </w:p>
        </w:tc>
      </w:tr>
      <w:tr w:rsidR="0078249D" w:rsidRPr="00B33055" w14:paraId="667E2BB1" w14:textId="77777777" w:rsidTr="00923C92">
        <w:trPr>
          <w:trHeight w:val="554"/>
        </w:trPr>
        <w:tc>
          <w:tcPr>
            <w:tcW w:w="1419" w:type="pct"/>
            <w:tcBorders>
              <w:top w:val="nil"/>
              <w:left w:val="single" w:sz="4" w:space="0" w:color="auto"/>
              <w:bottom w:val="single" w:sz="4" w:space="0" w:color="auto"/>
              <w:right w:val="single" w:sz="4" w:space="0" w:color="auto"/>
            </w:tcBorders>
            <w:shd w:val="clear" w:color="auto" w:fill="auto"/>
            <w:vAlign w:val="center"/>
            <w:hideMark/>
          </w:tcPr>
          <w:p w14:paraId="10951ED9" w14:textId="77777777" w:rsidR="0078249D" w:rsidRPr="00B33055" w:rsidRDefault="0078249D" w:rsidP="00923C92">
            <w:pPr>
              <w:pStyle w:val="TableNormal1"/>
              <w:rPr>
                <w:b/>
                <w:bCs/>
              </w:rPr>
            </w:pPr>
            <w:r w:rsidRPr="00B33055">
              <w:rPr>
                <w:b/>
                <w:bCs/>
              </w:rPr>
              <w:t>Conventional MoM</w:t>
            </w:r>
          </w:p>
        </w:tc>
        <w:tc>
          <w:tcPr>
            <w:tcW w:w="597" w:type="pct"/>
            <w:tcBorders>
              <w:top w:val="nil"/>
              <w:left w:val="nil"/>
              <w:bottom w:val="single" w:sz="4" w:space="0" w:color="auto"/>
              <w:right w:val="single" w:sz="4" w:space="0" w:color="auto"/>
            </w:tcBorders>
            <w:shd w:val="clear" w:color="auto" w:fill="auto"/>
            <w:vAlign w:val="center"/>
            <w:hideMark/>
          </w:tcPr>
          <w:p w14:paraId="43CD1D55" w14:textId="77777777" w:rsidR="0078249D" w:rsidRPr="00B33055" w:rsidRDefault="0078249D" w:rsidP="00923C92">
            <w:pPr>
              <w:pStyle w:val="TableNormal1"/>
            </w:pPr>
            <w:r w:rsidRPr="00B33055">
              <w:t>0.91</w:t>
            </w:r>
          </w:p>
        </w:tc>
        <w:tc>
          <w:tcPr>
            <w:tcW w:w="597" w:type="pct"/>
            <w:tcBorders>
              <w:top w:val="nil"/>
              <w:left w:val="nil"/>
              <w:bottom w:val="single" w:sz="4" w:space="0" w:color="auto"/>
              <w:right w:val="single" w:sz="4" w:space="0" w:color="auto"/>
            </w:tcBorders>
            <w:shd w:val="clear" w:color="auto" w:fill="auto"/>
            <w:vAlign w:val="center"/>
            <w:hideMark/>
          </w:tcPr>
          <w:p w14:paraId="2EEB300E" w14:textId="77777777" w:rsidR="0078249D" w:rsidRPr="00B33055" w:rsidRDefault="0078249D" w:rsidP="00923C92">
            <w:pPr>
              <w:pStyle w:val="TableNormal1"/>
            </w:pPr>
            <w:r w:rsidRPr="00B33055">
              <w:t>0.8</w:t>
            </w:r>
          </w:p>
        </w:tc>
        <w:tc>
          <w:tcPr>
            <w:tcW w:w="597" w:type="pct"/>
            <w:tcBorders>
              <w:top w:val="nil"/>
              <w:left w:val="nil"/>
              <w:bottom w:val="single" w:sz="4" w:space="0" w:color="auto"/>
              <w:right w:val="single" w:sz="4" w:space="0" w:color="auto"/>
            </w:tcBorders>
            <w:shd w:val="clear" w:color="auto" w:fill="auto"/>
            <w:vAlign w:val="center"/>
            <w:hideMark/>
          </w:tcPr>
          <w:p w14:paraId="0F9F4B53" w14:textId="77777777" w:rsidR="0078249D" w:rsidRPr="00B33055" w:rsidRDefault="0078249D" w:rsidP="00923C92">
            <w:pPr>
              <w:pStyle w:val="TableNormal1"/>
            </w:pPr>
            <w:r w:rsidRPr="00B33055">
              <w:t>0.67</w:t>
            </w:r>
          </w:p>
        </w:tc>
        <w:tc>
          <w:tcPr>
            <w:tcW w:w="597" w:type="pct"/>
            <w:tcBorders>
              <w:top w:val="nil"/>
              <w:left w:val="nil"/>
              <w:bottom w:val="single" w:sz="4" w:space="0" w:color="auto"/>
              <w:right w:val="single" w:sz="4" w:space="0" w:color="auto"/>
            </w:tcBorders>
            <w:shd w:val="clear" w:color="auto" w:fill="auto"/>
            <w:vAlign w:val="center"/>
            <w:hideMark/>
          </w:tcPr>
          <w:p w14:paraId="6D197881" w14:textId="77777777" w:rsidR="0078249D" w:rsidRPr="00B33055" w:rsidRDefault="0078249D" w:rsidP="00923C92">
            <w:pPr>
              <w:pStyle w:val="TableNormal1"/>
            </w:pPr>
            <w:r w:rsidRPr="00B33055">
              <w:t>0.4</w:t>
            </w:r>
          </w:p>
        </w:tc>
        <w:tc>
          <w:tcPr>
            <w:tcW w:w="597" w:type="pct"/>
            <w:tcBorders>
              <w:top w:val="nil"/>
              <w:left w:val="nil"/>
              <w:bottom w:val="single" w:sz="4" w:space="0" w:color="auto"/>
              <w:right w:val="single" w:sz="4" w:space="0" w:color="auto"/>
            </w:tcBorders>
            <w:shd w:val="clear" w:color="auto" w:fill="auto"/>
            <w:vAlign w:val="center"/>
            <w:hideMark/>
          </w:tcPr>
          <w:p w14:paraId="0530E667" w14:textId="77777777" w:rsidR="0078249D" w:rsidRPr="00B33055" w:rsidRDefault="0078249D" w:rsidP="00923C92">
            <w:pPr>
              <w:pStyle w:val="TableNormal1"/>
            </w:pPr>
            <w:r w:rsidRPr="00B33055">
              <w:t>0.19</w:t>
            </w:r>
          </w:p>
        </w:tc>
        <w:tc>
          <w:tcPr>
            <w:tcW w:w="596" w:type="pct"/>
            <w:tcBorders>
              <w:top w:val="nil"/>
              <w:left w:val="nil"/>
              <w:bottom w:val="single" w:sz="4" w:space="0" w:color="auto"/>
              <w:right w:val="single" w:sz="4" w:space="0" w:color="auto"/>
            </w:tcBorders>
            <w:shd w:val="clear" w:color="auto" w:fill="auto"/>
            <w:vAlign w:val="center"/>
            <w:hideMark/>
          </w:tcPr>
          <w:p w14:paraId="4003A282" w14:textId="77777777" w:rsidR="0078249D" w:rsidRPr="00B33055" w:rsidRDefault="0078249D" w:rsidP="00923C92">
            <w:pPr>
              <w:pStyle w:val="TableNormal1"/>
            </w:pPr>
            <w:r w:rsidRPr="00B33055">
              <w:t>0.07</w:t>
            </w:r>
          </w:p>
        </w:tc>
      </w:tr>
      <w:tr w:rsidR="0078249D" w:rsidRPr="00B33055" w14:paraId="054FB15D" w14:textId="77777777" w:rsidTr="00923C92">
        <w:trPr>
          <w:trHeight w:val="426"/>
        </w:trPr>
        <w:tc>
          <w:tcPr>
            <w:tcW w:w="1419" w:type="pct"/>
            <w:tcBorders>
              <w:top w:val="nil"/>
              <w:left w:val="single" w:sz="4" w:space="0" w:color="auto"/>
              <w:bottom w:val="single" w:sz="4" w:space="0" w:color="auto"/>
              <w:right w:val="single" w:sz="4" w:space="0" w:color="auto"/>
            </w:tcBorders>
            <w:shd w:val="clear" w:color="auto" w:fill="auto"/>
            <w:vAlign w:val="center"/>
            <w:hideMark/>
          </w:tcPr>
          <w:p w14:paraId="115F16AC" w14:textId="77777777" w:rsidR="0078249D" w:rsidRPr="00B33055" w:rsidRDefault="0078249D" w:rsidP="00923C92">
            <w:pPr>
              <w:pStyle w:val="TableNormal1"/>
              <w:rPr>
                <w:b/>
                <w:bCs/>
              </w:rPr>
            </w:pPr>
            <w:r w:rsidRPr="00B33055">
              <w:rPr>
                <w:b/>
                <w:bCs/>
              </w:rPr>
              <w:t>Modified MoM</w:t>
            </w:r>
          </w:p>
        </w:tc>
        <w:tc>
          <w:tcPr>
            <w:tcW w:w="597" w:type="pct"/>
            <w:tcBorders>
              <w:top w:val="nil"/>
              <w:left w:val="nil"/>
              <w:bottom w:val="single" w:sz="4" w:space="0" w:color="auto"/>
              <w:right w:val="single" w:sz="4" w:space="0" w:color="auto"/>
            </w:tcBorders>
            <w:shd w:val="clear" w:color="auto" w:fill="auto"/>
            <w:vAlign w:val="center"/>
            <w:hideMark/>
          </w:tcPr>
          <w:p w14:paraId="07F57125" w14:textId="77777777" w:rsidR="0078249D" w:rsidRPr="00B33055" w:rsidRDefault="0078249D" w:rsidP="00923C92">
            <w:pPr>
              <w:pStyle w:val="TableNormal1"/>
            </w:pPr>
            <w:r w:rsidRPr="00B33055">
              <w:t>0.9</w:t>
            </w:r>
          </w:p>
        </w:tc>
        <w:tc>
          <w:tcPr>
            <w:tcW w:w="597" w:type="pct"/>
            <w:tcBorders>
              <w:top w:val="nil"/>
              <w:left w:val="nil"/>
              <w:bottom w:val="single" w:sz="4" w:space="0" w:color="auto"/>
              <w:right w:val="single" w:sz="4" w:space="0" w:color="auto"/>
            </w:tcBorders>
            <w:shd w:val="clear" w:color="auto" w:fill="auto"/>
            <w:vAlign w:val="center"/>
            <w:hideMark/>
          </w:tcPr>
          <w:p w14:paraId="6E0255CE" w14:textId="77777777" w:rsidR="0078249D" w:rsidRPr="00B33055" w:rsidRDefault="0078249D" w:rsidP="00923C92">
            <w:pPr>
              <w:pStyle w:val="TableNormal1"/>
            </w:pPr>
            <w:r w:rsidRPr="00B33055">
              <w:t>0.81</w:t>
            </w:r>
          </w:p>
        </w:tc>
        <w:tc>
          <w:tcPr>
            <w:tcW w:w="597" w:type="pct"/>
            <w:tcBorders>
              <w:top w:val="nil"/>
              <w:left w:val="nil"/>
              <w:bottom w:val="single" w:sz="4" w:space="0" w:color="auto"/>
              <w:right w:val="single" w:sz="4" w:space="0" w:color="auto"/>
            </w:tcBorders>
            <w:shd w:val="clear" w:color="auto" w:fill="auto"/>
            <w:vAlign w:val="center"/>
            <w:hideMark/>
          </w:tcPr>
          <w:p w14:paraId="6AA2B6F8" w14:textId="77777777" w:rsidR="0078249D" w:rsidRPr="00B33055" w:rsidRDefault="0078249D" w:rsidP="00923C92">
            <w:pPr>
              <w:pStyle w:val="TableNormal1"/>
            </w:pPr>
            <w:r w:rsidRPr="00B33055">
              <w:t>0.69</w:t>
            </w:r>
          </w:p>
        </w:tc>
        <w:tc>
          <w:tcPr>
            <w:tcW w:w="597" w:type="pct"/>
            <w:tcBorders>
              <w:top w:val="nil"/>
              <w:left w:val="nil"/>
              <w:bottom w:val="single" w:sz="4" w:space="0" w:color="auto"/>
              <w:right w:val="single" w:sz="4" w:space="0" w:color="auto"/>
            </w:tcBorders>
            <w:shd w:val="clear" w:color="auto" w:fill="auto"/>
            <w:vAlign w:val="center"/>
            <w:hideMark/>
          </w:tcPr>
          <w:p w14:paraId="7F524119" w14:textId="77777777" w:rsidR="0078249D" w:rsidRPr="00B33055" w:rsidRDefault="0078249D" w:rsidP="00923C92">
            <w:pPr>
              <w:pStyle w:val="TableNormal1"/>
            </w:pPr>
            <w:r w:rsidRPr="00B33055">
              <w:t>0.53</w:t>
            </w:r>
          </w:p>
        </w:tc>
        <w:tc>
          <w:tcPr>
            <w:tcW w:w="597" w:type="pct"/>
            <w:tcBorders>
              <w:top w:val="nil"/>
              <w:left w:val="nil"/>
              <w:bottom w:val="single" w:sz="4" w:space="0" w:color="auto"/>
              <w:right w:val="single" w:sz="4" w:space="0" w:color="auto"/>
            </w:tcBorders>
            <w:shd w:val="clear" w:color="auto" w:fill="auto"/>
            <w:vAlign w:val="center"/>
            <w:hideMark/>
          </w:tcPr>
          <w:p w14:paraId="119869B3" w14:textId="77777777" w:rsidR="0078249D" w:rsidRPr="00B33055" w:rsidRDefault="0078249D" w:rsidP="00923C92">
            <w:pPr>
              <w:pStyle w:val="TableNormal1"/>
            </w:pPr>
            <w:r w:rsidRPr="00B33055">
              <w:t>0.26</w:t>
            </w:r>
          </w:p>
        </w:tc>
        <w:tc>
          <w:tcPr>
            <w:tcW w:w="596" w:type="pct"/>
            <w:tcBorders>
              <w:top w:val="nil"/>
              <w:left w:val="nil"/>
              <w:bottom w:val="single" w:sz="4" w:space="0" w:color="auto"/>
              <w:right w:val="single" w:sz="4" w:space="0" w:color="auto"/>
            </w:tcBorders>
            <w:shd w:val="clear" w:color="auto" w:fill="auto"/>
            <w:vAlign w:val="center"/>
            <w:hideMark/>
          </w:tcPr>
          <w:p w14:paraId="1F1BB732" w14:textId="77777777" w:rsidR="0078249D" w:rsidRPr="00B33055" w:rsidRDefault="0078249D" w:rsidP="00923C92">
            <w:pPr>
              <w:pStyle w:val="TableNormal1"/>
            </w:pPr>
            <w:r w:rsidRPr="00B33055">
              <w:t>0.1</w:t>
            </w:r>
          </w:p>
        </w:tc>
      </w:tr>
    </w:tbl>
    <w:p w14:paraId="5D53F91A" w14:textId="77777777" w:rsidR="00E01163" w:rsidRDefault="00E01163" w:rsidP="00E01163"/>
    <w:p w14:paraId="79883CBF" w14:textId="77777777" w:rsidR="00E01163" w:rsidRDefault="00E01163" w:rsidP="009C12AD">
      <w:pPr>
        <w:pStyle w:val="Heading3"/>
      </w:pPr>
      <w:bookmarkStart w:id="73" w:name="_Toc491875874"/>
      <w:bookmarkStart w:id="74" w:name="_Toc491876433"/>
      <w:bookmarkStart w:id="75" w:name="_Toc494014202"/>
      <w:r>
        <w:t>Comparison with Conventional SWCTT Procedure</w:t>
      </w:r>
      <w:bookmarkEnd w:id="73"/>
      <w:bookmarkEnd w:id="74"/>
      <w:bookmarkEnd w:id="75"/>
    </w:p>
    <w:p w14:paraId="7A8F7793" w14:textId="7D178322" w:rsidR="00E01163" w:rsidRPr="00B33055" w:rsidRDefault="002C6299" w:rsidP="00E01163">
      <w:r>
        <w:t>S</w:t>
      </w:r>
      <w:r w:rsidR="00E01163" w:rsidRPr="00B33055">
        <w:t xml:space="preserve">ix more cases following conventional SWCTT procedure </w:t>
      </w:r>
      <w:r>
        <w:t xml:space="preserve">were simulated </w:t>
      </w:r>
      <w:r w:rsidR="00E01163" w:rsidRPr="00B33055">
        <w:t>and the production data through conventional interpretation methods</w:t>
      </w:r>
      <w:r>
        <w:t xml:space="preserve"> were analyzed</w:t>
      </w:r>
      <w:r w:rsidR="00E01163" w:rsidRPr="00B33055">
        <w:t xml:space="preserve">. Unlike </w:t>
      </w:r>
      <w:r>
        <w:t>the</w:t>
      </w:r>
      <w:r w:rsidRPr="00B33055">
        <w:t xml:space="preserve"> </w:t>
      </w:r>
      <w:r w:rsidR="00E01163" w:rsidRPr="00B33055">
        <w:t xml:space="preserve">modified SWCTT procedure, conventional SWCTT injects water, not oil/water mixture, into the formation. Other model parameters are kept same with </w:t>
      </w:r>
      <w:r>
        <w:t xml:space="preserve">the </w:t>
      </w:r>
      <w:r w:rsidR="00E01163" w:rsidRPr="00B33055">
        <w:t xml:space="preserve">prior description. </w:t>
      </w:r>
      <w:r w:rsidR="00F169EB">
        <w:fldChar w:fldCharType="begin"/>
      </w:r>
      <w:r w:rsidR="00F169EB">
        <w:instrText xml:space="preserve"> REF _Ref491870817 \h </w:instrText>
      </w:r>
      <w:r w:rsidR="00F169EB">
        <w:fldChar w:fldCharType="separate"/>
      </w:r>
      <w:r w:rsidR="00304B8E" w:rsidRPr="00541084">
        <w:rPr>
          <w:szCs w:val="22"/>
        </w:rPr>
        <w:t xml:space="preserve">Figure </w:t>
      </w:r>
      <w:r w:rsidR="00304B8E">
        <w:rPr>
          <w:noProof/>
          <w:szCs w:val="22"/>
        </w:rPr>
        <w:t>2</w:t>
      </w:r>
      <w:r w:rsidR="00304B8E">
        <w:rPr>
          <w:szCs w:val="22"/>
        </w:rPr>
        <w:noBreakHyphen/>
      </w:r>
      <w:r w:rsidR="00304B8E">
        <w:rPr>
          <w:noProof/>
          <w:szCs w:val="22"/>
        </w:rPr>
        <w:t>9</w:t>
      </w:r>
      <w:r w:rsidR="00F169EB">
        <w:fldChar w:fldCharType="end"/>
      </w:r>
      <w:r w:rsidR="00F169EB">
        <w:t xml:space="preserve"> </w:t>
      </w:r>
      <w:r w:rsidR="00E01163" w:rsidRPr="00B33055">
        <w:t xml:space="preserve">shows the water production rate and tracer concentration history. The analysis of conventional SWCTT is shown in </w:t>
      </w:r>
      <w:r w:rsidR="00801D28">
        <w:fldChar w:fldCharType="begin"/>
      </w:r>
      <w:r w:rsidR="00801D28">
        <w:instrText xml:space="preserve"> REF _Ref491873967 \h </w:instrText>
      </w:r>
      <w:r w:rsidR="00801D28">
        <w:fldChar w:fldCharType="separate"/>
      </w:r>
      <w:r w:rsidR="00304B8E" w:rsidRPr="00541084">
        <w:rPr>
          <w:szCs w:val="22"/>
        </w:rPr>
        <w:t xml:space="preserve">Table </w:t>
      </w:r>
      <w:r w:rsidR="00304B8E" w:rsidRPr="00541084">
        <w:rPr>
          <w:noProof/>
          <w:szCs w:val="22"/>
        </w:rPr>
        <w:t>2</w:t>
      </w:r>
      <w:r w:rsidR="00304B8E" w:rsidRPr="00541084">
        <w:rPr>
          <w:szCs w:val="22"/>
        </w:rPr>
        <w:noBreakHyphen/>
      </w:r>
      <w:r w:rsidR="00304B8E" w:rsidRPr="00541084">
        <w:rPr>
          <w:noProof/>
          <w:szCs w:val="22"/>
        </w:rPr>
        <w:t>4</w:t>
      </w:r>
      <w:r w:rsidR="00801D28">
        <w:fldChar w:fldCharType="end"/>
      </w:r>
      <w:r w:rsidR="00E01163" w:rsidRPr="00B33055">
        <w:t xml:space="preserve">. </w:t>
      </w:r>
    </w:p>
    <w:p w14:paraId="6CEB3CE8" w14:textId="4D960F8D" w:rsidR="00E01163" w:rsidRDefault="00E01163" w:rsidP="00E01163">
      <w:r w:rsidRPr="00B33055">
        <w:t xml:space="preserve">The results in </w:t>
      </w:r>
      <w:r w:rsidR="0049556B">
        <w:fldChar w:fldCharType="begin"/>
      </w:r>
      <w:r w:rsidR="0049556B">
        <w:instrText xml:space="preserve"> REF _Ref491873967 \h </w:instrText>
      </w:r>
      <w:r w:rsidR="0049556B">
        <w:fldChar w:fldCharType="separate"/>
      </w:r>
      <w:r w:rsidR="00304B8E" w:rsidRPr="00541084">
        <w:rPr>
          <w:szCs w:val="22"/>
        </w:rPr>
        <w:t xml:space="preserve">Table </w:t>
      </w:r>
      <w:r w:rsidR="00304B8E" w:rsidRPr="00541084">
        <w:rPr>
          <w:noProof/>
          <w:szCs w:val="22"/>
        </w:rPr>
        <w:t>2</w:t>
      </w:r>
      <w:r w:rsidR="00304B8E" w:rsidRPr="00541084">
        <w:rPr>
          <w:szCs w:val="22"/>
        </w:rPr>
        <w:noBreakHyphen/>
      </w:r>
      <w:r w:rsidR="00304B8E" w:rsidRPr="00541084">
        <w:rPr>
          <w:noProof/>
          <w:szCs w:val="22"/>
        </w:rPr>
        <w:t>4</w:t>
      </w:r>
      <w:r w:rsidR="0049556B">
        <w:fldChar w:fldCharType="end"/>
      </w:r>
      <w:r w:rsidRPr="00B33055">
        <w:t xml:space="preserve"> indicate that oil saturation estimated from conventional SWCTT is far different from the input oil saturation when oil mobility is significant (i.e., high oil saturation). On the other hand, for cases in which oil is stationary, </w:t>
      </w:r>
      <w:r w:rsidR="002C6299">
        <w:t>a</w:t>
      </w:r>
      <w:r w:rsidRPr="00B33055">
        <w:t xml:space="preserve"> reliable evaluation of oil saturation</w:t>
      </w:r>
      <w:r w:rsidR="002C6299">
        <w:t xml:space="preserve"> can be obtained</w:t>
      </w:r>
      <w:r w:rsidRPr="00B33055">
        <w:t xml:space="preserve">. </w:t>
      </w:r>
      <w:r w:rsidR="005E1148">
        <w:t xml:space="preserve">It is </w:t>
      </w:r>
      <w:r w:rsidRPr="00B33055">
        <w:t>know</w:t>
      </w:r>
      <w:r w:rsidR="005E1148">
        <w:t>n that</w:t>
      </w:r>
      <w:r w:rsidRPr="00B33055">
        <w:t xml:space="preserve"> tracer informs the petrophysical properties where it sweeps. In conventional SWCTT, the injected water displace</w:t>
      </w:r>
      <w:r w:rsidR="002C6299">
        <w:t>s</w:t>
      </w:r>
      <w:r w:rsidRPr="00B33055">
        <w:t xml:space="preserve"> the mobile oil near wellbore and change the oil saturation distribution. </w:t>
      </w:r>
      <w:r w:rsidR="00F169EB">
        <w:fldChar w:fldCharType="begin"/>
      </w:r>
      <w:r w:rsidR="00F169EB">
        <w:instrText xml:space="preserve"> REF _Ref491870817 \h </w:instrText>
      </w:r>
      <w:r w:rsidR="00F169EB">
        <w:fldChar w:fldCharType="separate"/>
      </w:r>
      <w:r w:rsidR="00F169EB">
        <w:t xml:space="preserve">Figure </w:t>
      </w:r>
      <w:r w:rsidR="00F169EB">
        <w:rPr>
          <w:noProof/>
        </w:rPr>
        <w:t>2</w:t>
      </w:r>
      <w:r w:rsidR="00F169EB">
        <w:noBreakHyphen/>
      </w:r>
      <w:r w:rsidR="00F169EB">
        <w:rPr>
          <w:noProof/>
        </w:rPr>
        <w:t>8</w:t>
      </w:r>
      <w:r w:rsidR="00F169EB">
        <w:fldChar w:fldCharType="end"/>
      </w:r>
      <w:r w:rsidR="00F169EB">
        <w:t xml:space="preserve"> </w:t>
      </w:r>
      <w:r w:rsidRPr="00B33055">
        <w:t xml:space="preserve">demonstrates the initial water production rate is 820 bbl/day (oil production rate is zero since producer is constrained by liquid production rate of 820 bbl/day), which proves the previous statement. Since tracer is injected along with such water, </w:t>
      </w:r>
      <w:r w:rsidR="00B721FC">
        <w:t xml:space="preserve">only the </w:t>
      </w:r>
      <w:r w:rsidRPr="00B33055">
        <w:lastRenderedPageBreak/>
        <w:t>knowledge of oil saturation that has already been affected by the injection during SWCTT</w:t>
      </w:r>
      <w:r w:rsidR="00B721FC">
        <w:t xml:space="preserve"> can be learned from the test</w:t>
      </w:r>
      <w:r w:rsidRPr="00B33055">
        <w:t xml:space="preserve">. This explains why conventional SWCTT fails to work if oil is mobile. However, for immobile oil, the injected water does not have impact on saturation distribution so that the conventional SWCTT is sufficient to capture the residual oil saturation. </w:t>
      </w:r>
    </w:p>
    <w:p w14:paraId="178C8FE3" w14:textId="77777777" w:rsidR="00F169EB" w:rsidRDefault="00F169EB" w:rsidP="0013560F">
      <w:pPr>
        <w:pStyle w:val="TableNormal1"/>
      </w:pPr>
      <w:r w:rsidRPr="00B33055">
        <w:drawing>
          <wp:inline distT="0" distB="0" distL="0" distR="0" wp14:anchorId="223E0F8E" wp14:editId="41E789DD">
            <wp:extent cx="5394960" cy="3759923"/>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678B7D5" w14:textId="24297106" w:rsidR="00F242D4" w:rsidRPr="00541084" w:rsidRDefault="00F169EB" w:rsidP="00BF3F9B">
      <w:pPr>
        <w:pStyle w:val="Caption"/>
        <w:rPr>
          <w:szCs w:val="22"/>
        </w:rPr>
      </w:pPr>
      <w:bookmarkStart w:id="76" w:name="_Ref491870817"/>
      <w:bookmarkStart w:id="77" w:name="_Toc495144718"/>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2</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9</w:t>
      </w:r>
      <w:r w:rsidR="00280FFF">
        <w:rPr>
          <w:szCs w:val="22"/>
        </w:rPr>
        <w:fldChar w:fldCharType="end"/>
      </w:r>
      <w:bookmarkEnd w:id="76"/>
      <w:r w:rsidRPr="00541084">
        <w:rPr>
          <w:szCs w:val="22"/>
        </w:rPr>
        <w:t>. Water production rate and tracer production history for Case 7. Conventional SWCTT and initial oil saturation was 0.9.</w:t>
      </w:r>
      <w:bookmarkEnd w:id="77"/>
    </w:p>
    <w:p w14:paraId="60311AFA" w14:textId="77777777" w:rsidR="003732EF" w:rsidRDefault="003732EF" w:rsidP="003732EF"/>
    <w:p w14:paraId="56E4D64A" w14:textId="77777777" w:rsidR="0049556B" w:rsidRDefault="0049556B" w:rsidP="003732EF"/>
    <w:p w14:paraId="23FDBD2F" w14:textId="77777777" w:rsidR="0049556B" w:rsidRDefault="0049556B" w:rsidP="003732EF"/>
    <w:p w14:paraId="29F57FD2" w14:textId="77777777" w:rsidR="0068396E" w:rsidRDefault="0068396E" w:rsidP="003732EF"/>
    <w:p w14:paraId="4A3551B0" w14:textId="77777777" w:rsidR="0068396E" w:rsidRDefault="0068396E" w:rsidP="003732EF"/>
    <w:p w14:paraId="584F87EB" w14:textId="77777777" w:rsidR="00923C92" w:rsidRDefault="00923C92" w:rsidP="003732EF"/>
    <w:p w14:paraId="7E1E2606" w14:textId="77777777" w:rsidR="0049556B" w:rsidRPr="00541084" w:rsidRDefault="0049556B" w:rsidP="00BF3F9B">
      <w:pPr>
        <w:pStyle w:val="Caption"/>
        <w:rPr>
          <w:szCs w:val="22"/>
        </w:rPr>
      </w:pPr>
    </w:p>
    <w:tbl>
      <w:tblPr>
        <w:tblW w:w="5000" w:type="pct"/>
        <w:tblLook w:val="04A0" w:firstRow="1" w:lastRow="0" w:firstColumn="1" w:lastColumn="0" w:noHBand="0" w:noVBand="1"/>
      </w:tblPr>
      <w:tblGrid>
        <w:gridCol w:w="1655"/>
        <w:gridCol w:w="1432"/>
        <w:gridCol w:w="938"/>
        <w:gridCol w:w="938"/>
        <w:gridCol w:w="938"/>
        <w:gridCol w:w="938"/>
        <w:gridCol w:w="938"/>
        <w:gridCol w:w="935"/>
      </w:tblGrid>
      <w:tr w:rsidR="0078249D" w:rsidRPr="00B33055" w14:paraId="1E9EC107" w14:textId="77777777" w:rsidTr="0078249D">
        <w:trPr>
          <w:trHeight w:val="311"/>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A5A458" w14:textId="77777777" w:rsidR="0078249D" w:rsidRPr="00541084" w:rsidRDefault="0078249D" w:rsidP="00BF3F9B">
            <w:pPr>
              <w:pStyle w:val="Caption"/>
              <w:rPr>
                <w:rFonts w:ascii="Calibri" w:hAnsi="Calibri"/>
                <w:color w:val="000000" w:themeColor="text1"/>
                <w:szCs w:val="22"/>
                <w:lang w:eastAsia="zh-CN"/>
              </w:rPr>
            </w:pPr>
            <w:bookmarkStart w:id="78" w:name="_Ref491873967"/>
            <w:bookmarkStart w:id="79" w:name="_Toc491876555"/>
            <w:bookmarkStart w:id="80" w:name="_Toc494014259"/>
            <w:r w:rsidRPr="00541084">
              <w:rPr>
                <w:szCs w:val="22"/>
              </w:rPr>
              <w:t xml:space="preserve">Table </w:t>
            </w:r>
            <w:r w:rsidR="00A63F01" w:rsidRPr="00541084">
              <w:rPr>
                <w:szCs w:val="22"/>
              </w:rPr>
              <w:fldChar w:fldCharType="begin"/>
            </w:r>
            <w:r w:rsidR="00A63F01" w:rsidRPr="00541084">
              <w:rPr>
                <w:szCs w:val="22"/>
              </w:rPr>
              <w:instrText xml:space="preserve"> STYLEREF 1 \s </w:instrText>
            </w:r>
            <w:r w:rsidR="00A63F01" w:rsidRPr="00541084">
              <w:rPr>
                <w:szCs w:val="22"/>
              </w:rPr>
              <w:fldChar w:fldCharType="separate"/>
            </w:r>
            <w:r w:rsidR="00A67B82" w:rsidRPr="00541084">
              <w:rPr>
                <w:noProof/>
                <w:szCs w:val="22"/>
              </w:rPr>
              <w:t>2</w:t>
            </w:r>
            <w:r w:rsidR="00A63F01" w:rsidRPr="00541084">
              <w:rPr>
                <w:noProof/>
                <w:szCs w:val="22"/>
              </w:rPr>
              <w:fldChar w:fldCharType="end"/>
            </w:r>
            <w:r w:rsidR="00A67B82" w:rsidRPr="00541084">
              <w:rPr>
                <w:szCs w:val="22"/>
              </w:rPr>
              <w:noBreakHyphen/>
            </w:r>
            <w:r w:rsidR="00A63F01" w:rsidRPr="00541084">
              <w:rPr>
                <w:szCs w:val="22"/>
              </w:rPr>
              <w:fldChar w:fldCharType="begin"/>
            </w:r>
            <w:r w:rsidR="00A63F01" w:rsidRPr="00541084">
              <w:rPr>
                <w:szCs w:val="22"/>
              </w:rPr>
              <w:instrText xml:space="preserve"> SEQ Table \* ARABIC \s 1 </w:instrText>
            </w:r>
            <w:r w:rsidR="00A63F01" w:rsidRPr="00541084">
              <w:rPr>
                <w:szCs w:val="22"/>
              </w:rPr>
              <w:fldChar w:fldCharType="separate"/>
            </w:r>
            <w:r w:rsidR="00A67B82" w:rsidRPr="00541084">
              <w:rPr>
                <w:noProof/>
                <w:szCs w:val="22"/>
              </w:rPr>
              <w:t>4</w:t>
            </w:r>
            <w:r w:rsidR="00A63F01" w:rsidRPr="00541084">
              <w:rPr>
                <w:noProof/>
                <w:szCs w:val="22"/>
              </w:rPr>
              <w:fldChar w:fldCharType="end"/>
            </w:r>
            <w:bookmarkEnd w:id="78"/>
            <w:r w:rsidRPr="00541084">
              <w:rPr>
                <w:szCs w:val="22"/>
              </w:rPr>
              <w:t>. Oil saturation evaluated through conventional SWCTT procedure and conventional methods.</w:t>
            </w:r>
            <w:bookmarkEnd w:id="79"/>
            <w:bookmarkEnd w:id="80"/>
          </w:p>
        </w:tc>
      </w:tr>
      <w:tr w:rsidR="0078249D" w:rsidRPr="00B33055" w14:paraId="2D7A7089" w14:textId="77777777" w:rsidTr="00923C92">
        <w:trPr>
          <w:trHeight w:val="311"/>
        </w:trPr>
        <w:tc>
          <w:tcPr>
            <w:tcW w:w="178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B5FE316" w14:textId="77777777" w:rsidR="0078249D" w:rsidRPr="00B33055" w:rsidRDefault="0078249D" w:rsidP="00923C92">
            <w:pPr>
              <w:pStyle w:val="TableNormal1"/>
            </w:pPr>
          </w:p>
        </w:tc>
        <w:tc>
          <w:tcPr>
            <w:tcW w:w="536" w:type="pct"/>
            <w:tcBorders>
              <w:top w:val="single" w:sz="4" w:space="0" w:color="auto"/>
              <w:left w:val="nil"/>
              <w:bottom w:val="single" w:sz="4" w:space="0" w:color="auto"/>
              <w:right w:val="single" w:sz="4" w:space="0" w:color="auto"/>
            </w:tcBorders>
            <w:shd w:val="clear" w:color="auto" w:fill="auto"/>
            <w:vAlign w:val="center"/>
          </w:tcPr>
          <w:p w14:paraId="3897B003" w14:textId="77777777" w:rsidR="0078249D" w:rsidRPr="00B33055" w:rsidRDefault="0078249D" w:rsidP="00923C92">
            <w:pPr>
              <w:pStyle w:val="TableNormal1"/>
              <w:rPr>
                <w:b/>
                <w:bCs/>
              </w:rPr>
            </w:pPr>
            <w:r w:rsidRPr="00B33055">
              <w:rPr>
                <w:b/>
                <w:bCs/>
              </w:rPr>
              <w:t>Case 7</w:t>
            </w:r>
          </w:p>
        </w:tc>
        <w:tc>
          <w:tcPr>
            <w:tcW w:w="536" w:type="pct"/>
            <w:tcBorders>
              <w:top w:val="single" w:sz="4" w:space="0" w:color="auto"/>
              <w:left w:val="nil"/>
              <w:bottom w:val="single" w:sz="4" w:space="0" w:color="auto"/>
              <w:right w:val="single" w:sz="4" w:space="0" w:color="auto"/>
            </w:tcBorders>
            <w:shd w:val="clear" w:color="auto" w:fill="auto"/>
            <w:vAlign w:val="center"/>
          </w:tcPr>
          <w:p w14:paraId="2E4847F2" w14:textId="77777777" w:rsidR="0078249D" w:rsidRPr="00B33055" w:rsidRDefault="0078249D" w:rsidP="00923C92">
            <w:pPr>
              <w:pStyle w:val="TableNormal1"/>
              <w:rPr>
                <w:b/>
                <w:bCs/>
              </w:rPr>
            </w:pPr>
            <w:r w:rsidRPr="00B33055">
              <w:rPr>
                <w:b/>
                <w:bCs/>
              </w:rPr>
              <w:t>Case 8</w:t>
            </w:r>
          </w:p>
        </w:tc>
        <w:tc>
          <w:tcPr>
            <w:tcW w:w="536" w:type="pct"/>
            <w:tcBorders>
              <w:top w:val="single" w:sz="4" w:space="0" w:color="auto"/>
              <w:left w:val="nil"/>
              <w:bottom w:val="single" w:sz="4" w:space="0" w:color="auto"/>
              <w:right w:val="single" w:sz="4" w:space="0" w:color="auto"/>
            </w:tcBorders>
            <w:shd w:val="clear" w:color="auto" w:fill="auto"/>
            <w:vAlign w:val="center"/>
          </w:tcPr>
          <w:p w14:paraId="25FCD520" w14:textId="77777777" w:rsidR="0078249D" w:rsidRPr="00B33055" w:rsidRDefault="0078249D" w:rsidP="00923C92">
            <w:pPr>
              <w:pStyle w:val="TableNormal1"/>
              <w:rPr>
                <w:b/>
                <w:bCs/>
              </w:rPr>
            </w:pPr>
            <w:r w:rsidRPr="00B33055">
              <w:rPr>
                <w:b/>
                <w:bCs/>
              </w:rPr>
              <w:t>Case 9</w:t>
            </w:r>
          </w:p>
        </w:tc>
        <w:tc>
          <w:tcPr>
            <w:tcW w:w="536" w:type="pct"/>
            <w:tcBorders>
              <w:top w:val="single" w:sz="4" w:space="0" w:color="auto"/>
              <w:left w:val="nil"/>
              <w:bottom w:val="single" w:sz="4" w:space="0" w:color="auto"/>
              <w:right w:val="single" w:sz="4" w:space="0" w:color="auto"/>
            </w:tcBorders>
            <w:shd w:val="clear" w:color="auto" w:fill="auto"/>
            <w:vAlign w:val="center"/>
          </w:tcPr>
          <w:p w14:paraId="6F88E7AA" w14:textId="77777777" w:rsidR="0078249D" w:rsidRPr="00B33055" w:rsidRDefault="0078249D" w:rsidP="00923C92">
            <w:pPr>
              <w:pStyle w:val="TableNormal1"/>
              <w:rPr>
                <w:b/>
                <w:bCs/>
              </w:rPr>
            </w:pPr>
            <w:r w:rsidRPr="00B33055">
              <w:rPr>
                <w:b/>
                <w:bCs/>
              </w:rPr>
              <w:t>Case 10</w:t>
            </w:r>
          </w:p>
        </w:tc>
        <w:tc>
          <w:tcPr>
            <w:tcW w:w="536" w:type="pct"/>
            <w:tcBorders>
              <w:top w:val="single" w:sz="4" w:space="0" w:color="auto"/>
              <w:left w:val="nil"/>
              <w:bottom w:val="single" w:sz="4" w:space="0" w:color="auto"/>
              <w:right w:val="single" w:sz="4" w:space="0" w:color="auto"/>
            </w:tcBorders>
            <w:shd w:val="clear" w:color="auto" w:fill="auto"/>
            <w:vAlign w:val="center"/>
          </w:tcPr>
          <w:p w14:paraId="722C6A0D" w14:textId="77777777" w:rsidR="0078249D" w:rsidRPr="00B33055" w:rsidRDefault="0078249D" w:rsidP="00923C92">
            <w:pPr>
              <w:pStyle w:val="TableNormal1"/>
              <w:rPr>
                <w:b/>
                <w:bCs/>
              </w:rPr>
            </w:pPr>
            <w:r w:rsidRPr="00B33055">
              <w:rPr>
                <w:b/>
                <w:bCs/>
              </w:rPr>
              <w:t>Case 11</w:t>
            </w:r>
          </w:p>
        </w:tc>
        <w:tc>
          <w:tcPr>
            <w:tcW w:w="534" w:type="pct"/>
            <w:tcBorders>
              <w:top w:val="single" w:sz="4" w:space="0" w:color="auto"/>
              <w:left w:val="nil"/>
              <w:bottom w:val="single" w:sz="4" w:space="0" w:color="auto"/>
              <w:right w:val="single" w:sz="4" w:space="0" w:color="auto"/>
            </w:tcBorders>
            <w:shd w:val="clear" w:color="auto" w:fill="auto"/>
            <w:vAlign w:val="center"/>
          </w:tcPr>
          <w:p w14:paraId="2CED7A52" w14:textId="77777777" w:rsidR="0078249D" w:rsidRPr="00B33055" w:rsidRDefault="0078249D" w:rsidP="00923C92">
            <w:pPr>
              <w:pStyle w:val="TableNormal1"/>
              <w:rPr>
                <w:b/>
                <w:bCs/>
              </w:rPr>
            </w:pPr>
            <w:r w:rsidRPr="00B33055">
              <w:rPr>
                <w:b/>
                <w:bCs/>
              </w:rPr>
              <w:t>Case 12</w:t>
            </w:r>
          </w:p>
        </w:tc>
      </w:tr>
      <w:tr w:rsidR="0078249D" w:rsidRPr="00B33055" w14:paraId="469D6C4C" w14:textId="77777777" w:rsidTr="00923C92">
        <w:trPr>
          <w:trHeight w:val="311"/>
        </w:trPr>
        <w:tc>
          <w:tcPr>
            <w:tcW w:w="178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3BFBF4" w14:textId="77777777" w:rsidR="0078249D" w:rsidRPr="00B33055" w:rsidRDefault="0078249D" w:rsidP="00923C92">
            <w:pPr>
              <w:pStyle w:val="TableNormal1"/>
              <w:rPr>
                <w:b/>
                <w:bCs/>
              </w:rPr>
            </w:pPr>
            <w:r w:rsidRPr="00B33055">
              <w:rPr>
                <w:b/>
                <w:bCs/>
              </w:rPr>
              <w:t>Input S</w:t>
            </w:r>
            <w:r w:rsidRPr="00B33055">
              <w:rPr>
                <w:b/>
                <w:bCs/>
                <w:vertAlign w:val="subscript"/>
              </w:rPr>
              <w:t>o</w:t>
            </w:r>
          </w:p>
        </w:tc>
        <w:tc>
          <w:tcPr>
            <w:tcW w:w="536" w:type="pct"/>
            <w:tcBorders>
              <w:top w:val="nil"/>
              <w:left w:val="nil"/>
              <w:bottom w:val="single" w:sz="4" w:space="0" w:color="auto"/>
              <w:right w:val="single" w:sz="4" w:space="0" w:color="auto"/>
            </w:tcBorders>
            <w:shd w:val="clear" w:color="auto" w:fill="auto"/>
            <w:vAlign w:val="center"/>
            <w:hideMark/>
          </w:tcPr>
          <w:p w14:paraId="113DA4B9" w14:textId="77777777" w:rsidR="0078249D" w:rsidRPr="00B33055" w:rsidRDefault="0078249D" w:rsidP="00923C92">
            <w:pPr>
              <w:pStyle w:val="TableNormal1"/>
            </w:pPr>
            <w:r w:rsidRPr="00B33055">
              <w:t>0.9</w:t>
            </w:r>
          </w:p>
        </w:tc>
        <w:tc>
          <w:tcPr>
            <w:tcW w:w="536" w:type="pct"/>
            <w:tcBorders>
              <w:top w:val="nil"/>
              <w:left w:val="nil"/>
              <w:bottom w:val="single" w:sz="4" w:space="0" w:color="auto"/>
              <w:right w:val="single" w:sz="4" w:space="0" w:color="auto"/>
            </w:tcBorders>
            <w:shd w:val="clear" w:color="auto" w:fill="auto"/>
            <w:vAlign w:val="center"/>
            <w:hideMark/>
          </w:tcPr>
          <w:p w14:paraId="04E501F6" w14:textId="77777777" w:rsidR="0078249D" w:rsidRPr="00B33055" w:rsidRDefault="0078249D" w:rsidP="00923C92">
            <w:pPr>
              <w:pStyle w:val="TableNormal1"/>
            </w:pPr>
            <w:r w:rsidRPr="00B33055">
              <w:t>0.8</w:t>
            </w:r>
          </w:p>
        </w:tc>
        <w:tc>
          <w:tcPr>
            <w:tcW w:w="536" w:type="pct"/>
            <w:tcBorders>
              <w:top w:val="nil"/>
              <w:left w:val="nil"/>
              <w:bottom w:val="single" w:sz="4" w:space="0" w:color="auto"/>
              <w:right w:val="single" w:sz="4" w:space="0" w:color="auto"/>
            </w:tcBorders>
            <w:shd w:val="clear" w:color="auto" w:fill="auto"/>
            <w:vAlign w:val="center"/>
            <w:hideMark/>
          </w:tcPr>
          <w:p w14:paraId="6088E90C" w14:textId="77777777" w:rsidR="0078249D" w:rsidRPr="00B33055" w:rsidRDefault="0078249D" w:rsidP="00923C92">
            <w:pPr>
              <w:pStyle w:val="TableNormal1"/>
            </w:pPr>
            <w:r w:rsidRPr="00B33055">
              <w:t>0.7</w:t>
            </w:r>
          </w:p>
        </w:tc>
        <w:tc>
          <w:tcPr>
            <w:tcW w:w="536" w:type="pct"/>
            <w:tcBorders>
              <w:top w:val="nil"/>
              <w:left w:val="nil"/>
              <w:bottom w:val="single" w:sz="4" w:space="0" w:color="auto"/>
              <w:right w:val="single" w:sz="4" w:space="0" w:color="auto"/>
            </w:tcBorders>
            <w:shd w:val="clear" w:color="auto" w:fill="auto"/>
            <w:vAlign w:val="center"/>
            <w:hideMark/>
          </w:tcPr>
          <w:p w14:paraId="7F61516A" w14:textId="77777777" w:rsidR="0078249D" w:rsidRPr="00B33055" w:rsidRDefault="0078249D" w:rsidP="00923C92">
            <w:pPr>
              <w:pStyle w:val="TableNormal1"/>
            </w:pPr>
            <w:r w:rsidRPr="00B33055">
              <w:t>0.5</w:t>
            </w:r>
          </w:p>
        </w:tc>
        <w:tc>
          <w:tcPr>
            <w:tcW w:w="536" w:type="pct"/>
            <w:tcBorders>
              <w:top w:val="nil"/>
              <w:left w:val="nil"/>
              <w:bottom w:val="single" w:sz="4" w:space="0" w:color="auto"/>
              <w:right w:val="single" w:sz="4" w:space="0" w:color="auto"/>
            </w:tcBorders>
            <w:shd w:val="clear" w:color="auto" w:fill="auto"/>
            <w:vAlign w:val="center"/>
            <w:hideMark/>
          </w:tcPr>
          <w:p w14:paraId="537D4A77" w14:textId="77777777" w:rsidR="0078249D" w:rsidRPr="00B33055" w:rsidRDefault="0078249D" w:rsidP="00923C92">
            <w:pPr>
              <w:pStyle w:val="TableNormal1"/>
            </w:pPr>
            <w:r w:rsidRPr="00B33055">
              <w:t>0.25</w:t>
            </w:r>
          </w:p>
        </w:tc>
        <w:tc>
          <w:tcPr>
            <w:tcW w:w="534" w:type="pct"/>
            <w:tcBorders>
              <w:top w:val="nil"/>
              <w:left w:val="nil"/>
              <w:bottom w:val="single" w:sz="4" w:space="0" w:color="auto"/>
              <w:right w:val="single" w:sz="4" w:space="0" w:color="auto"/>
            </w:tcBorders>
            <w:shd w:val="clear" w:color="auto" w:fill="auto"/>
            <w:vAlign w:val="center"/>
            <w:hideMark/>
          </w:tcPr>
          <w:p w14:paraId="089E93EC" w14:textId="77777777" w:rsidR="0078249D" w:rsidRPr="00B33055" w:rsidRDefault="0078249D" w:rsidP="00923C92">
            <w:pPr>
              <w:pStyle w:val="TableNormal1"/>
            </w:pPr>
            <w:r w:rsidRPr="00B33055">
              <w:t>0.1</w:t>
            </w:r>
          </w:p>
        </w:tc>
      </w:tr>
      <w:tr w:rsidR="0078249D" w:rsidRPr="00B33055" w14:paraId="3BB01774" w14:textId="77777777" w:rsidTr="00923C92">
        <w:trPr>
          <w:trHeight w:val="773"/>
        </w:trPr>
        <w:tc>
          <w:tcPr>
            <w:tcW w:w="960" w:type="pct"/>
            <w:vMerge w:val="restart"/>
            <w:tcBorders>
              <w:top w:val="nil"/>
              <w:left w:val="single" w:sz="4" w:space="0" w:color="auto"/>
              <w:bottom w:val="single" w:sz="4" w:space="0" w:color="auto"/>
              <w:right w:val="single" w:sz="4" w:space="0" w:color="auto"/>
            </w:tcBorders>
            <w:shd w:val="clear" w:color="auto" w:fill="auto"/>
            <w:vAlign w:val="center"/>
            <w:hideMark/>
          </w:tcPr>
          <w:p w14:paraId="205075DB" w14:textId="77777777" w:rsidR="0078249D" w:rsidRPr="00B33055" w:rsidRDefault="0078249D" w:rsidP="00923C92">
            <w:pPr>
              <w:pStyle w:val="TableNormal1"/>
              <w:rPr>
                <w:b/>
                <w:bCs/>
              </w:rPr>
            </w:pPr>
            <w:r w:rsidRPr="00B33055">
              <w:rPr>
                <w:b/>
                <w:bCs/>
              </w:rPr>
              <w:t>Calculated So</w:t>
            </w:r>
          </w:p>
        </w:tc>
        <w:tc>
          <w:tcPr>
            <w:tcW w:w="826" w:type="pct"/>
            <w:tcBorders>
              <w:top w:val="nil"/>
              <w:left w:val="nil"/>
              <w:bottom w:val="single" w:sz="4" w:space="0" w:color="auto"/>
              <w:right w:val="single" w:sz="4" w:space="0" w:color="auto"/>
            </w:tcBorders>
            <w:shd w:val="clear" w:color="auto" w:fill="auto"/>
            <w:vAlign w:val="center"/>
            <w:hideMark/>
          </w:tcPr>
          <w:p w14:paraId="49C608A8" w14:textId="77777777" w:rsidR="0078249D" w:rsidRPr="00B33055" w:rsidRDefault="0078249D" w:rsidP="00923C92">
            <w:pPr>
              <w:pStyle w:val="TableNormal1"/>
              <w:rPr>
                <w:b/>
                <w:bCs/>
              </w:rPr>
            </w:pPr>
            <w:r w:rsidRPr="00B33055">
              <w:rPr>
                <w:b/>
                <w:bCs/>
              </w:rPr>
              <w:t>Landmark Comparison</w:t>
            </w:r>
          </w:p>
        </w:tc>
        <w:tc>
          <w:tcPr>
            <w:tcW w:w="536" w:type="pct"/>
            <w:tcBorders>
              <w:top w:val="nil"/>
              <w:left w:val="nil"/>
              <w:bottom w:val="single" w:sz="4" w:space="0" w:color="auto"/>
              <w:right w:val="single" w:sz="4" w:space="0" w:color="auto"/>
            </w:tcBorders>
            <w:shd w:val="clear" w:color="auto" w:fill="auto"/>
            <w:vAlign w:val="center"/>
            <w:hideMark/>
          </w:tcPr>
          <w:p w14:paraId="4D46F46A" w14:textId="77777777" w:rsidR="0078249D" w:rsidRPr="00B33055" w:rsidRDefault="0078249D" w:rsidP="00923C92">
            <w:pPr>
              <w:pStyle w:val="TableNormal1"/>
            </w:pPr>
            <w:r w:rsidRPr="00B33055">
              <w:t>0.44</w:t>
            </w:r>
          </w:p>
        </w:tc>
        <w:tc>
          <w:tcPr>
            <w:tcW w:w="536" w:type="pct"/>
            <w:tcBorders>
              <w:top w:val="nil"/>
              <w:left w:val="nil"/>
              <w:bottom w:val="single" w:sz="4" w:space="0" w:color="auto"/>
              <w:right w:val="single" w:sz="4" w:space="0" w:color="auto"/>
            </w:tcBorders>
            <w:shd w:val="clear" w:color="auto" w:fill="auto"/>
            <w:vAlign w:val="center"/>
            <w:hideMark/>
          </w:tcPr>
          <w:p w14:paraId="361B691D" w14:textId="77777777" w:rsidR="0078249D" w:rsidRPr="00B33055" w:rsidRDefault="0078249D" w:rsidP="00923C92">
            <w:pPr>
              <w:pStyle w:val="TableNormal1"/>
            </w:pPr>
            <w:r w:rsidRPr="00B33055">
              <w:t>0.45</w:t>
            </w:r>
          </w:p>
        </w:tc>
        <w:tc>
          <w:tcPr>
            <w:tcW w:w="536" w:type="pct"/>
            <w:tcBorders>
              <w:top w:val="nil"/>
              <w:left w:val="nil"/>
              <w:bottom w:val="single" w:sz="4" w:space="0" w:color="auto"/>
              <w:right w:val="single" w:sz="4" w:space="0" w:color="auto"/>
            </w:tcBorders>
            <w:shd w:val="clear" w:color="auto" w:fill="auto"/>
            <w:vAlign w:val="center"/>
            <w:hideMark/>
          </w:tcPr>
          <w:p w14:paraId="549C58DF" w14:textId="77777777" w:rsidR="0078249D" w:rsidRPr="00B33055" w:rsidRDefault="0078249D" w:rsidP="00923C92">
            <w:pPr>
              <w:pStyle w:val="TableNormal1"/>
            </w:pPr>
            <w:r w:rsidRPr="00B33055">
              <w:t>0.45</w:t>
            </w:r>
          </w:p>
        </w:tc>
        <w:tc>
          <w:tcPr>
            <w:tcW w:w="536" w:type="pct"/>
            <w:tcBorders>
              <w:top w:val="nil"/>
              <w:left w:val="nil"/>
              <w:bottom w:val="single" w:sz="4" w:space="0" w:color="auto"/>
              <w:right w:val="single" w:sz="4" w:space="0" w:color="auto"/>
            </w:tcBorders>
            <w:shd w:val="clear" w:color="auto" w:fill="auto"/>
            <w:vAlign w:val="center"/>
            <w:hideMark/>
          </w:tcPr>
          <w:p w14:paraId="0D0A4CF7" w14:textId="77777777" w:rsidR="0078249D" w:rsidRPr="00B33055" w:rsidRDefault="0078249D" w:rsidP="00923C92">
            <w:pPr>
              <w:pStyle w:val="TableNormal1"/>
            </w:pPr>
            <w:r w:rsidRPr="00B33055">
              <w:t>0.46</w:t>
            </w:r>
          </w:p>
        </w:tc>
        <w:tc>
          <w:tcPr>
            <w:tcW w:w="536" w:type="pct"/>
            <w:tcBorders>
              <w:top w:val="nil"/>
              <w:left w:val="nil"/>
              <w:bottom w:val="single" w:sz="4" w:space="0" w:color="auto"/>
              <w:right w:val="single" w:sz="4" w:space="0" w:color="auto"/>
            </w:tcBorders>
            <w:shd w:val="clear" w:color="auto" w:fill="auto"/>
            <w:vAlign w:val="center"/>
            <w:hideMark/>
          </w:tcPr>
          <w:p w14:paraId="5F374D0F" w14:textId="77777777" w:rsidR="0078249D" w:rsidRPr="00B33055" w:rsidRDefault="0078249D" w:rsidP="00923C92">
            <w:pPr>
              <w:pStyle w:val="TableNormal1"/>
            </w:pPr>
            <w:r w:rsidRPr="00B33055">
              <w:t>0.25</w:t>
            </w:r>
          </w:p>
        </w:tc>
        <w:tc>
          <w:tcPr>
            <w:tcW w:w="534" w:type="pct"/>
            <w:tcBorders>
              <w:top w:val="nil"/>
              <w:left w:val="nil"/>
              <w:bottom w:val="single" w:sz="4" w:space="0" w:color="auto"/>
              <w:right w:val="single" w:sz="4" w:space="0" w:color="auto"/>
            </w:tcBorders>
            <w:shd w:val="clear" w:color="auto" w:fill="auto"/>
            <w:vAlign w:val="center"/>
            <w:hideMark/>
          </w:tcPr>
          <w:p w14:paraId="67943487" w14:textId="77777777" w:rsidR="0078249D" w:rsidRPr="00B33055" w:rsidRDefault="0078249D" w:rsidP="00923C92">
            <w:pPr>
              <w:pStyle w:val="TableNormal1"/>
            </w:pPr>
            <w:r w:rsidRPr="00B33055">
              <w:t>0.11</w:t>
            </w:r>
          </w:p>
        </w:tc>
      </w:tr>
      <w:tr w:rsidR="0078249D" w:rsidRPr="00B33055" w14:paraId="6FBD17A0" w14:textId="77777777" w:rsidTr="00923C92">
        <w:trPr>
          <w:trHeight w:val="800"/>
        </w:trPr>
        <w:tc>
          <w:tcPr>
            <w:tcW w:w="960" w:type="pct"/>
            <w:vMerge/>
            <w:tcBorders>
              <w:top w:val="nil"/>
              <w:left w:val="single" w:sz="4" w:space="0" w:color="auto"/>
              <w:bottom w:val="single" w:sz="4" w:space="0" w:color="auto"/>
              <w:right w:val="single" w:sz="4" w:space="0" w:color="auto"/>
            </w:tcBorders>
            <w:shd w:val="clear" w:color="auto" w:fill="auto"/>
            <w:vAlign w:val="center"/>
            <w:hideMark/>
          </w:tcPr>
          <w:p w14:paraId="6D809302" w14:textId="77777777" w:rsidR="0078249D" w:rsidRPr="00B33055" w:rsidRDefault="0078249D" w:rsidP="00923C92">
            <w:pPr>
              <w:pStyle w:val="TableNormal1"/>
              <w:rPr>
                <w:b/>
                <w:bCs/>
              </w:rPr>
            </w:pPr>
          </w:p>
        </w:tc>
        <w:tc>
          <w:tcPr>
            <w:tcW w:w="826" w:type="pct"/>
            <w:tcBorders>
              <w:top w:val="nil"/>
              <w:left w:val="nil"/>
              <w:bottom w:val="single" w:sz="4" w:space="0" w:color="auto"/>
              <w:right w:val="single" w:sz="4" w:space="0" w:color="auto"/>
            </w:tcBorders>
            <w:shd w:val="clear" w:color="auto" w:fill="auto"/>
            <w:vAlign w:val="center"/>
            <w:hideMark/>
          </w:tcPr>
          <w:p w14:paraId="789493B5" w14:textId="77777777" w:rsidR="0078249D" w:rsidRPr="00B33055" w:rsidRDefault="0078249D" w:rsidP="00923C92">
            <w:pPr>
              <w:pStyle w:val="TableNormal1"/>
              <w:rPr>
                <w:b/>
                <w:bCs/>
              </w:rPr>
            </w:pPr>
            <w:r w:rsidRPr="00B33055">
              <w:rPr>
                <w:b/>
                <w:bCs/>
              </w:rPr>
              <w:t>Conventional MoM</w:t>
            </w:r>
          </w:p>
        </w:tc>
        <w:tc>
          <w:tcPr>
            <w:tcW w:w="536" w:type="pct"/>
            <w:tcBorders>
              <w:top w:val="nil"/>
              <w:left w:val="nil"/>
              <w:bottom w:val="single" w:sz="4" w:space="0" w:color="auto"/>
              <w:right w:val="single" w:sz="4" w:space="0" w:color="auto"/>
            </w:tcBorders>
            <w:shd w:val="clear" w:color="auto" w:fill="auto"/>
            <w:vAlign w:val="center"/>
            <w:hideMark/>
          </w:tcPr>
          <w:p w14:paraId="76F37AD1" w14:textId="77777777" w:rsidR="0078249D" w:rsidRPr="00B33055" w:rsidRDefault="0078249D" w:rsidP="00923C92">
            <w:pPr>
              <w:pStyle w:val="TableNormal1"/>
            </w:pPr>
            <w:r w:rsidRPr="00B33055">
              <w:t>0.58</w:t>
            </w:r>
          </w:p>
        </w:tc>
        <w:tc>
          <w:tcPr>
            <w:tcW w:w="536" w:type="pct"/>
            <w:tcBorders>
              <w:top w:val="nil"/>
              <w:left w:val="nil"/>
              <w:bottom w:val="single" w:sz="4" w:space="0" w:color="auto"/>
              <w:right w:val="single" w:sz="4" w:space="0" w:color="auto"/>
            </w:tcBorders>
            <w:shd w:val="clear" w:color="auto" w:fill="auto"/>
            <w:vAlign w:val="center"/>
            <w:hideMark/>
          </w:tcPr>
          <w:p w14:paraId="75BB8BB3" w14:textId="77777777" w:rsidR="0078249D" w:rsidRPr="00B33055" w:rsidRDefault="0078249D" w:rsidP="00923C92">
            <w:pPr>
              <w:pStyle w:val="TableNormal1"/>
            </w:pPr>
            <w:r w:rsidRPr="00B33055">
              <w:t>0.53</w:t>
            </w:r>
          </w:p>
        </w:tc>
        <w:tc>
          <w:tcPr>
            <w:tcW w:w="536" w:type="pct"/>
            <w:tcBorders>
              <w:top w:val="nil"/>
              <w:left w:val="nil"/>
              <w:bottom w:val="single" w:sz="4" w:space="0" w:color="auto"/>
              <w:right w:val="single" w:sz="4" w:space="0" w:color="auto"/>
            </w:tcBorders>
            <w:shd w:val="clear" w:color="auto" w:fill="auto"/>
            <w:vAlign w:val="center"/>
            <w:hideMark/>
          </w:tcPr>
          <w:p w14:paraId="36EB41E5" w14:textId="77777777" w:rsidR="0078249D" w:rsidRPr="00B33055" w:rsidRDefault="0078249D" w:rsidP="00923C92">
            <w:pPr>
              <w:pStyle w:val="TableNormal1"/>
            </w:pPr>
            <w:r w:rsidRPr="00B33055">
              <w:t>0.47</w:t>
            </w:r>
          </w:p>
        </w:tc>
        <w:tc>
          <w:tcPr>
            <w:tcW w:w="536" w:type="pct"/>
            <w:tcBorders>
              <w:top w:val="nil"/>
              <w:left w:val="nil"/>
              <w:bottom w:val="single" w:sz="4" w:space="0" w:color="auto"/>
              <w:right w:val="single" w:sz="4" w:space="0" w:color="auto"/>
            </w:tcBorders>
            <w:shd w:val="clear" w:color="auto" w:fill="auto"/>
            <w:vAlign w:val="center"/>
            <w:hideMark/>
          </w:tcPr>
          <w:p w14:paraId="7A4BCF5F" w14:textId="77777777" w:rsidR="0078249D" w:rsidRPr="00B33055" w:rsidRDefault="0078249D" w:rsidP="00923C92">
            <w:pPr>
              <w:pStyle w:val="TableNormal1"/>
            </w:pPr>
            <w:r w:rsidRPr="00B33055">
              <w:t>0.37</w:t>
            </w:r>
          </w:p>
        </w:tc>
        <w:tc>
          <w:tcPr>
            <w:tcW w:w="536" w:type="pct"/>
            <w:tcBorders>
              <w:top w:val="nil"/>
              <w:left w:val="nil"/>
              <w:bottom w:val="single" w:sz="4" w:space="0" w:color="auto"/>
              <w:right w:val="single" w:sz="4" w:space="0" w:color="auto"/>
            </w:tcBorders>
            <w:shd w:val="clear" w:color="auto" w:fill="auto"/>
            <w:vAlign w:val="center"/>
            <w:hideMark/>
          </w:tcPr>
          <w:p w14:paraId="495F5FE7" w14:textId="77777777" w:rsidR="0078249D" w:rsidRPr="00B33055" w:rsidRDefault="0078249D" w:rsidP="00923C92">
            <w:pPr>
              <w:pStyle w:val="TableNormal1"/>
            </w:pPr>
            <w:r w:rsidRPr="00B33055">
              <w:t>0.2</w:t>
            </w:r>
          </w:p>
        </w:tc>
        <w:tc>
          <w:tcPr>
            <w:tcW w:w="534" w:type="pct"/>
            <w:tcBorders>
              <w:top w:val="nil"/>
              <w:left w:val="nil"/>
              <w:bottom w:val="single" w:sz="4" w:space="0" w:color="auto"/>
              <w:right w:val="single" w:sz="4" w:space="0" w:color="auto"/>
            </w:tcBorders>
            <w:shd w:val="clear" w:color="auto" w:fill="auto"/>
            <w:vAlign w:val="center"/>
            <w:hideMark/>
          </w:tcPr>
          <w:p w14:paraId="6AEF0C70" w14:textId="77777777" w:rsidR="0078249D" w:rsidRPr="00B33055" w:rsidRDefault="0078249D" w:rsidP="00923C92">
            <w:pPr>
              <w:pStyle w:val="TableNormal1"/>
            </w:pPr>
            <w:r w:rsidRPr="00B33055">
              <w:t>0.07</w:t>
            </w:r>
          </w:p>
        </w:tc>
      </w:tr>
      <w:tr w:rsidR="0078249D" w:rsidRPr="00B33055" w14:paraId="03EA8E9F" w14:textId="77777777" w:rsidTr="00923C92">
        <w:trPr>
          <w:trHeight w:val="311"/>
        </w:trPr>
        <w:tc>
          <w:tcPr>
            <w:tcW w:w="178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40478A" w14:textId="77777777" w:rsidR="0078249D" w:rsidRPr="00B33055" w:rsidRDefault="0078249D" w:rsidP="00923C92">
            <w:pPr>
              <w:pStyle w:val="TableNormal1"/>
              <w:rPr>
                <w:b/>
                <w:bCs/>
              </w:rPr>
            </w:pPr>
            <w:r w:rsidRPr="00B33055">
              <w:rPr>
                <w:b/>
                <w:bCs/>
              </w:rPr>
              <w:t>Water Flow Fraction</w:t>
            </w:r>
          </w:p>
        </w:tc>
        <w:tc>
          <w:tcPr>
            <w:tcW w:w="536" w:type="pct"/>
            <w:tcBorders>
              <w:top w:val="nil"/>
              <w:left w:val="nil"/>
              <w:bottom w:val="single" w:sz="4" w:space="0" w:color="auto"/>
              <w:right w:val="single" w:sz="4" w:space="0" w:color="auto"/>
            </w:tcBorders>
            <w:shd w:val="clear" w:color="auto" w:fill="auto"/>
            <w:vAlign w:val="center"/>
            <w:hideMark/>
          </w:tcPr>
          <w:p w14:paraId="7105610E" w14:textId="77777777" w:rsidR="0078249D" w:rsidRPr="00B33055" w:rsidRDefault="0078249D" w:rsidP="00923C92">
            <w:pPr>
              <w:pStyle w:val="TableNormal1"/>
            </w:pPr>
            <w:r w:rsidRPr="00B33055">
              <w:t>4%</w:t>
            </w:r>
          </w:p>
        </w:tc>
        <w:tc>
          <w:tcPr>
            <w:tcW w:w="536" w:type="pct"/>
            <w:tcBorders>
              <w:top w:val="nil"/>
              <w:left w:val="nil"/>
              <w:bottom w:val="single" w:sz="4" w:space="0" w:color="auto"/>
              <w:right w:val="single" w:sz="4" w:space="0" w:color="auto"/>
            </w:tcBorders>
            <w:shd w:val="clear" w:color="auto" w:fill="auto"/>
            <w:vAlign w:val="center"/>
            <w:hideMark/>
          </w:tcPr>
          <w:p w14:paraId="766953D0" w14:textId="77777777" w:rsidR="0078249D" w:rsidRPr="00B33055" w:rsidRDefault="0078249D" w:rsidP="00923C92">
            <w:pPr>
              <w:pStyle w:val="TableNormal1"/>
            </w:pPr>
            <w:r w:rsidRPr="00B33055">
              <w:t>18%</w:t>
            </w:r>
          </w:p>
        </w:tc>
        <w:tc>
          <w:tcPr>
            <w:tcW w:w="536" w:type="pct"/>
            <w:tcBorders>
              <w:top w:val="nil"/>
              <w:left w:val="nil"/>
              <w:bottom w:val="single" w:sz="4" w:space="0" w:color="auto"/>
              <w:right w:val="single" w:sz="4" w:space="0" w:color="auto"/>
            </w:tcBorders>
            <w:shd w:val="clear" w:color="auto" w:fill="auto"/>
            <w:vAlign w:val="center"/>
            <w:hideMark/>
          </w:tcPr>
          <w:p w14:paraId="41C14AF9" w14:textId="77777777" w:rsidR="0078249D" w:rsidRPr="00B33055" w:rsidRDefault="0078249D" w:rsidP="00923C92">
            <w:pPr>
              <w:pStyle w:val="TableNormal1"/>
            </w:pPr>
            <w:r w:rsidRPr="00B33055">
              <w:t>45%</w:t>
            </w:r>
          </w:p>
        </w:tc>
        <w:tc>
          <w:tcPr>
            <w:tcW w:w="536" w:type="pct"/>
            <w:tcBorders>
              <w:top w:val="nil"/>
              <w:left w:val="nil"/>
              <w:bottom w:val="single" w:sz="4" w:space="0" w:color="auto"/>
              <w:right w:val="single" w:sz="4" w:space="0" w:color="auto"/>
            </w:tcBorders>
            <w:shd w:val="clear" w:color="auto" w:fill="auto"/>
            <w:vAlign w:val="center"/>
            <w:hideMark/>
          </w:tcPr>
          <w:p w14:paraId="2F660867" w14:textId="77777777" w:rsidR="0078249D" w:rsidRPr="00B33055" w:rsidRDefault="0078249D" w:rsidP="00923C92">
            <w:pPr>
              <w:pStyle w:val="TableNormal1"/>
            </w:pPr>
            <w:r w:rsidRPr="00B33055">
              <w:t>95%</w:t>
            </w:r>
          </w:p>
        </w:tc>
        <w:tc>
          <w:tcPr>
            <w:tcW w:w="536" w:type="pct"/>
            <w:tcBorders>
              <w:top w:val="nil"/>
              <w:left w:val="nil"/>
              <w:bottom w:val="single" w:sz="4" w:space="0" w:color="auto"/>
              <w:right w:val="single" w:sz="4" w:space="0" w:color="auto"/>
            </w:tcBorders>
            <w:shd w:val="clear" w:color="auto" w:fill="auto"/>
            <w:vAlign w:val="center"/>
            <w:hideMark/>
          </w:tcPr>
          <w:p w14:paraId="785D1801" w14:textId="77777777" w:rsidR="0078249D" w:rsidRPr="00B33055" w:rsidRDefault="0078249D" w:rsidP="00923C92">
            <w:pPr>
              <w:pStyle w:val="TableNormal1"/>
            </w:pPr>
            <w:r w:rsidRPr="00B33055">
              <w:t>99%</w:t>
            </w:r>
          </w:p>
        </w:tc>
        <w:tc>
          <w:tcPr>
            <w:tcW w:w="534" w:type="pct"/>
            <w:tcBorders>
              <w:top w:val="nil"/>
              <w:left w:val="nil"/>
              <w:bottom w:val="single" w:sz="4" w:space="0" w:color="auto"/>
              <w:right w:val="single" w:sz="4" w:space="0" w:color="auto"/>
            </w:tcBorders>
            <w:shd w:val="clear" w:color="auto" w:fill="auto"/>
            <w:vAlign w:val="center"/>
            <w:hideMark/>
          </w:tcPr>
          <w:p w14:paraId="266ECE3C" w14:textId="77777777" w:rsidR="0078249D" w:rsidRPr="00B33055" w:rsidRDefault="0078249D" w:rsidP="00923C92">
            <w:pPr>
              <w:pStyle w:val="TableNormal1"/>
            </w:pPr>
            <w:r w:rsidRPr="00B33055">
              <w:t>100%</w:t>
            </w:r>
          </w:p>
        </w:tc>
      </w:tr>
    </w:tbl>
    <w:p w14:paraId="586E0D6D" w14:textId="77777777" w:rsidR="003732EF" w:rsidRDefault="003732EF" w:rsidP="003732EF"/>
    <w:p w14:paraId="1105FA1F" w14:textId="77777777" w:rsidR="0078249D" w:rsidRPr="003732EF" w:rsidRDefault="0078249D" w:rsidP="003732EF"/>
    <w:p w14:paraId="2D5943D7" w14:textId="77777777" w:rsidR="00E01163" w:rsidRDefault="00E01163" w:rsidP="00E01163">
      <w:pPr>
        <w:pStyle w:val="Heading2"/>
      </w:pPr>
      <w:bookmarkStart w:id="81" w:name="_Toc491875875"/>
      <w:bookmarkStart w:id="82" w:name="_Toc491876434"/>
      <w:bookmarkStart w:id="83" w:name="_Toc494014203"/>
      <w:r>
        <w:t>Impacting Factor Analysis</w:t>
      </w:r>
      <w:bookmarkEnd w:id="81"/>
      <w:bookmarkEnd w:id="82"/>
      <w:bookmarkEnd w:id="83"/>
    </w:p>
    <w:p w14:paraId="548C5B02" w14:textId="77777777" w:rsidR="00E01163" w:rsidRPr="00E01163" w:rsidRDefault="00E01163" w:rsidP="009C12AD">
      <w:pPr>
        <w:pStyle w:val="Heading3"/>
      </w:pPr>
      <w:bookmarkStart w:id="84" w:name="_Toc491875876"/>
      <w:bookmarkStart w:id="85" w:name="_Toc491876435"/>
      <w:bookmarkStart w:id="86" w:name="_Toc494014204"/>
      <w:r>
        <w:t>Impact of Variable Production Rate</w:t>
      </w:r>
      <w:bookmarkEnd w:id="84"/>
      <w:bookmarkEnd w:id="85"/>
      <w:bookmarkEnd w:id="86"/>
    </w:p>
    <w:p w14:paraId="278C35A4" w14:textId="268EE6E5" w:rsidR="00E01163" w:rsidRPr="00F242D4" w:rsidRDefault="00304B8E" w:rsidP="00E01163">
      <w:r>
        <w:t>The</w:t>
      </w:r>
      <w:r w:rsidR="00E01163" w:rsidRPr="00F242D4">
        <w:t xml:space="preserve"> previous derivation is based on the assumption of constant production rate. </w:t>
      </w:r>
      <w:r w:rsidR="00B721FC">
        <w:t>T</w:t>
      </w:r>
      <w:r w:rsidR="00E01163" w:rsidRPr="00F242D4">
        <w:t>his section</w:t>
      </w:r>
      <w:r w:rsidR="00B721FC">
        <w:t xml:space="preserve"> </w:t>
      </w:r>
      <w:r w:rsidR="00E01163" w:rsidRPr="00F242D4">
        <w:t xml:space="preserve">will discuss how to estimate saturation if production rate </w:t>
      </w:r>
      <w:r w:rsidR="00273C00">
        <w:t>varies</w:t>
      </w:r>
      <w:r w:rsidR="00E01163" w:rsidRPr="00F242D4">
        <w:t xml:space="preserve">.  </w:t>
      </w:r>
      <w:r w:rsidR="00B721FC">
        <w:t>It is</w:t>
      </w:r>
      <w:r w:rsidR="00E01163" w:rsidRPr="00F242D4">
        <w:t xml:space="preserve"> know</w:t>
      </w:r>
      <w:r w:rsidR="00B721FC">
        <w:t>n that</w:t>
      </w:r>
      <w:r w:rsidR="00E01163" w:rsidRPr="00F242D4">
        <w:t xml:space="preserve"> the conservative tracer flows at the same velocity with water, while the partitioning tracer’s velocity is determined by both mobile phases. </w:t>
      </w:r>
      <w:r>
        <w:t>T</w:t>
      </w:r>
      <w:r w:rsidR="00E01163" w:rsidRPr="00F242D4">
        <w:t xml:space="preserve">he saturation as well as the ratio of oil velocity over water velocity is constant. Eq. 2-2 </w:t>
      </w:r>
      <w:r w:rsidR="00273C00">
        <w:t>can be cast</w:t>
      </w:r>
      <w:r w:rsidR="001E374B">
        <w:t>ed</w:t>
      </w:r>
      <w:r w:rsidR="00273C00">
        <w:t xml:space="preserve"> into</w:t>
      </w:r>
      <w:r w:rsidR="00E01163" w:rsidRPr="00F242D4">
        <w:t xml:space="preserve">: </w:t>
      </w:r>
    </w:p>
    <w:p w14:paraId="48F2AD38" w14:textId="77777777" w:rsidR="00E01163" w:rsidRPr="00F242D4" w:rsidRDefault="00A53410" w:rsidP="00E01163">
      <w:pPr>
        <w:rPr>
          <w:rFonts w:ascii="Cambria Math" w:hAnsi="Cambria Math"/>
        </w:rPr>
      </w:pP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ester</m:t>
            </m:r>
          </m:sub>
        </m:sSub>
        <m:r>
          <m:rPr>
            <m:sty m:val="p"/>
          </m:rPr>
          <w:rPr>
            <w:rFonts w:ascii="Cambria Math" w:hAnsi="Cambria Math"/>
          </w:rPr>
          <m:t>=F</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w</m:t>
            </m:r>
          </m:sub>
        </m:sSub>
      </m:oMath>
      <w:r w:rsidR="00E01163" w:rsidRPr="00F242D4">
        <w:rPr>
          <w:rFonts w:ascii="Cambria Math" w:hAnsi="Cambria Math"/>
        </w:rPr>
        <w:tab/>
        <w:t>(2-13)</w:t>
      </w:r>
    </w:p>
    <w:p w14:paraId="20EC129D" w14:textId="7E1FAB32" w:rsidR="00E01163" w:rsidRPr="00F242D4" w:rsidRDefault="00E01163" w:rsidP="00E01163">
      <w:r w:rsidRPr="00F242D4">
        <w:t xml:space="preserve">Eq. </w:t>
      </w:r>
      <w:r w:rsidR="00F242D4" w:rsidRPr="00F242D4">
        <w:t>2-</w:t>
      </w:r>
      <w:r w:rsidRPr="00F242D4">
        <w:t xml:space="preserve">13 </w:t>
      </w:r>
      <w:r w:rsidR="00273C00">
        <w:t>shows</w:t>
      </w:r>
      <w:r w:rsidR="00273C00" w:rsidRPr="00F242D4">
        <w:t xml:space="preserve"> </w:t>
      </w:r>
      <w:r w:rsidRPr="00F242D4">
        <w:t xml:space="preserve">that the velocity of partitioning tracer (ester) can be equivalent to a certain fraction (F) of water velocity. The factor F is independent of absolute </w:t>
      </w:r>
      <w:r w:rsidRPr="00F242D4">
        <w:lastRenderedPageBreak/>
        <w:t>production rate</w:t>
      </w:r>
      <w:r w:rsidR="00273C00" w:rsidRPr="00F242D4">
        <w:t>,</w:t>
      </w:r>
      <w:r w:rsidR="00273C00">
        <w:t xml:space="preserve"> but is </w:t>
      </w:r>
      <w:r w:rsidRPr="00F242D4">
        <w:t xml:space="preserve">determined by partition coefficient and </w:t>
      </w:r>
      <w:r w:rsidR="00273C00">
        <w:t>fractional flow of aqueous phase</w:t>
      </w:r>
      <w:r w:rsidRPr="00F242D4">
        <w:t xml:space="preserve">. </w:t>
      </w:r>
    </w:p>
    <w:p w14:paraId="1B92DFA3" w14:textId="05AD2292" w:rsidR="00E01163" w:rsidRPr="00F242D4" w:rsidRDefault="00E01163" w:rsidP="00E01163">
      <w:r w:rsidRPr="00F242D4">
        <w:t xml:space="preserve">Furthermore, since production rate is not constant, Eq. 2-6 and Eq. 2-7 </w:t>
      </w:r>
      <w:r w:rsidR="00B721FC">
        <w:t>need to be modified as</w:t>
      </w:r>
      <w:r w:rsidRPr="00F242D4">
        <w:t>:</w:t>
      </w:r>
    </w:p>
    <w:p w14:paraId="6C9A3871" w14:textId="77777777" w:rsidR="00E01163" w:rsidRPr="00F242D4" w:rsidRDefault="00A53410" w:rsidP="00E01163">
      <w:pPr>
        <w:rPr>
          <w:rFonts w:ascii="Cambria Math" w:hAnsi="Cambria Math"/>
        </w:rPr>
      </w:pPr>
      <m:oMath>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w,1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o,1</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1</m:t>
            </m:r>
          </m:sub>
        </m:sSub>
      </m:oMath>
      <w:r w:rsidR="00E01163" w:rsidRPr="00F242D4">
        <w:rPr>
          <w:rFonts w:ascii="Cambria Math" w:hAnsi="Cambria Math"/>
        </w:rPr>
        <w:tab/>
        <w:t>(2-14)</w:t>
      </w:r>
    </w:p>
    <w:p w14:paraId="73744B26" w14:textId="77777777" w:rsidR="00E01163" w:rsidRPr="00F242D4" w:rsidRDefault="00A53410" w:rsidP="00E01163">
      <w:pPr>
        <w:rPr>
          <w:rFonts w:ascii="Cambria Math" w:hAnsi="Cambria Math"/>
        </w:rPr>
      </w:pPr>
      <m:oMath>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w,2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o,2</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2</m:t>
            </m:r>
          </m:sub>
        </m:sSub>
      </m:oMath>
      <w:r w:rsidR="00E01163" w:rsidRPr="00F242D4">
        <w:rPr>
          <w:rFonts w:ascii="Cambria Math" w:hAnsi="Cambria Math"/>
        </w:rPr>
        <w:tab/>
        <w:t>(2-15)</w:t>
      </w:r>
    </w:p>
    <w:p w14:paraId="4F73D3A2" w14:textId="77777777" w:rsidR="00E01163" w:rsidRPr="00F242D4" w:rsidRDefault="00E01163" w:rsidP="00E01163">
      <w:r w:rsidRPr="00F242D4">
        <w:t>Where,</w:t>
      </w:r>
    </w:p>
    <w:p w14:paraId="298ADE2C" w14:textId="77777777" w:rsidR="00E01163" w:rsidRPr="00F242D4" w:rsidRDefault="00A53410" w:rsidP="00E01163">
      <w:pPr>
        <w:rPr>
          <w:rFonts w:ascii="Cambria Math" w:hAnsi="Cambria Math"/>
        </w:rPr>
      </w:pPr>
      <m:oMath>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k</m:t>
            </m:r>
          </m:sub>
        </m:sSub>
        <m:r>
          <m:rPr>
            <m:sty m:val="p"/>
          </m:rPr>
          <w:rPr>
            <w:rFonts w:ascii="Cambria Math" w:hAnsi="Cambria Math"/>
          </w:rPr>
          <m:t>=</m:t>
        </m:r>
        <m:f>
          <m:fPr>
            <m:ctrlPr>
              <w:rPr>
                <w:rFonts w:ascii="Cambria Math" w:hAnsi="Cambria Math"/>
              </w:rPr>
            </m:ctrlPr>
          </m:fPr>
          <m:num>
            <m:nary>
              <m:naryPr>
                <m:limLoc m:val="undOvr"/>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r>
                  <m:rPr>
                    <m:sty m:val="p"/>
                  </m:rPr>
                  <w:rPr>
                    <w:rFonts w:ascii="Cambria Math" w:hAnsi="Cambria Math"/>
                  </w:rPr>
                  <m:t>qt</m:t>
                </m:r>
                <m:d>
                  <m:dPr>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l=w</m:t>
                        </m:r>
                      </m:sub>
                      <m:sup>
                        <m:r>
                          <m:rPr>
                            <m:sty m:val="p"/>
                          </m:rPr>
                          <w:rPr>
                            <w:rFonts w:ascii="Cambria Math" w:hAnsi="Cambria Math"/>
                          </w:rPr>
                          <m:t>o</m:t>
                        </m:r>
                      </m:sup>
                      <m:e>
                        <m:sSub>
                          <m:sSubPr>
                            <m:ctrlPr>
                              <w:rPr>
                                <w:rFonts w:ascii="Cambria Math" w:hAnsi="Cambria Math"/>
                              </w:rPr>
                            </m:ctrlPr>
                          </m:sSubPr>
                          <m:e>
                            <m:r>
                              <m:rPr>
                                <m:sty m:val="p"/>
                              </m:rPr>
                              <w:rPr>
                                <w:rFonts w:ascii="Cambria Math" w:hAnsi="Cambria Math"/>
                              </w:rPr>
                              <m:t>f</m:t>
                            </m:r>
                          </m:e>
                          <m:sub>
                            <m:r>
                              <m:rPr>
                                <m:sty m:val="p"/>
                              </m:rPr>
                              <w:rPr>
                                <w:rFonts w:ascii="Cambria Math" w:hAnsi="Cambria Math"/>
                              </w:rPr>
                              <m:t>l</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kl</m:t>
                            </m:r>
                          </m:sub>
                        </m:sSub>
                      </m:e>
                    </m:nary>
                  </m:e>
                </m:d>
                <m:r>
                  <m:rPr>
                    <m:sty m:val="p"/>
                  </m:rPr>
                  <w:rPr>
                    <w:rFonts w:ascii="Cambria Math" w:hAnsi="Cambria Math"/>
                  </w:rPr>
                  <m:t>dt</m:t>
                </m:r>
              </m:e>
            </m:nary>
          </m:num>
          <m:den>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sSub>
                  <m:sSubPr>
                    <m:ctrlPr>
                      <w:rPr>
                        <w:rFonts w:ascii="Cambria Math" w:hAnsi="Cambria Math"/>
                      </w:rPr>
                    </m:ctrlPr>
                  </m:sSubPr>
                  <m:e>
                    <m:r>
                      <m:rPr>
                        <m:sty m:val="p"/>
                      </m:rPr>
                      <w:rPr>
                        <w:rFonts w:ascii="Cambria Math" w:hAnsi="Cambria Math"/>
                      </w:rPr>
                      <m:t>f</m:t>
                    </m:r>
                  </m:e>
                  <m:sub>
                    <m:r>
                      <m:rPr>
                        <m:sty m:val="p"/>
                      </m:rPr>
                      <w:rPr>
                        <w:rFonts w:ascii="Cambria Math" w:hAnsi="Cambria Math"/>
                      </w:rPr>
                      <m:t>w</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kw</m:t>
                    </m:r>
                  </m:sub>
                </m:sSub>
                <m:r>
                  <m:rPr>
                    <m:sty m:val="p"/>
                  </m:rPr>
                  <w:rPr>
                    <w:rFonts w:ascii="Cambria Math" w:hAnsi="Cambria Math"/>
                  </w:rPr>
                  <m:t>dt</m:t>
                </m:r>
              </m:e>
            </m:nary>
          </m:den>
        </m:f>
      </m:oMath>
      <w:r w:rsidR="00E01163" w:rsidRPr="00F242D4">
        <w:rPr>
          <w:rFonts w:ascii="Cambria Math" w:hAnsi="Cambria Math"/>
        </w:rPr>
        <w:tab/>
        <w:t>(2-16)</w:t>
      </w:r>
    </w:p>
    <w:p w14:paraId="4F79FC2D" w14:textId="4EDC4A35" w:rsidR="00E01163" w:rsidRPr="00F242D4" w:rsidRDefault="00E01163" w:rsidP="00E01163">
      <w:r w:rsidRPr="00F242D4">
        <w:t>Consequently, the new expression for S</w:t>
      </w:r>
      <w:r w:rsidRPr="00F242D4">
        <w:rPr>
          <w:vertAlign w:val="subscript"/>
        </w:rPr>
        <w:t>o</w:t>
      </w:r>
      <w:r w:rsidR="00B721FC">
        <w:t xml:space="preserve"> is:</w:t>
      </w:r>
    </w:p>
    <w:p w14:paraId="15CC1B0C" w14:textId="77777777" w:rsidR="00E01163" w:rsidRPr="00F242D4" w:rsidRDefault="00A53410" w:rsidP="00E01163">
      <w:pPr>
        <w:rPr>
          <w:rFonts w:ascii="Cambria Math" w:hAnsi="Cambria Math"/>
        </w:rPr>
      </w:pP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o</m:t>
            </m:r>
          </m:sub>
        </m:sSub>
        <m:r>
          <m:rPr>
            <m:sty m:val="p"/>
          </m:rPr>
          <w:rPr>
            <w:rFonts w:ascii="Cambria Math" w:hAnsi="Cambria Math"/>
          </w:rPr>
          <m:t>=</m:t>
        </m:r>
        <m:f>
          <m:fPr>
            <m:ctrlPr>
              <w:rPr>
                <w:rFonts w:ascii="Cambria Math" w:hAnsi="Cambria Math"/>
              </w:rPr>
            </m:ctrlPr>
          </m:fPr>
          <m:num>
            <m:r>
              <m:rPr>
                <m:sty m:val="p"/>
              </m:rPr>
              <w:rPr>
                <w:rFonts w:ascii="Cambria Math" w:hAnsi="Cambria Math"/>
              </w:rPr>
              <m:t>R∙</m:t>
            </m:r>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1</m:t>
                </m:r>
              </m:sub>
            </m:sSub>
          </m:num>
          <m:den>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-1)</m:t>
            </m:r>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R∙(K</m:t>
                </m:r>
              </m:e>
              <m:sub>
                <m:r>
                  <m:rPr>
                    <m:sty m:val="p"/>
                  </m:rPr>
                  <w:rPr>
                    <w:rFonts w:ascii="Cambria Math" w:hAnsi="Cambria Math"/>
                  </w:rPr>
                  <m:t>1</m:t>
                </m:r>
              </m:sub>
            </m:sSub>
            <m:r>
              <m:rPr>
                <m:sty m:val="p"/>
              </m:rPr>
              <w:rPr>
                <w:rFonts w:ascii="Cambria Math" w:hAnsi="Cambria Math"/>
              </w:rPr>
              <m:t>-1)</m:t>
            </m:r>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2</m:t>
                </m:r>
              </m:sub>
            </m:sSub>
          </m:den>
        </m:f>
      </m:oMath>
      <w:r w:rsidR="00E01163" w:rsidRPr="00F242D4">
        <w:rPr>
          <w:rFonts w:ascii="Cambria Math" w:hAnsi="Cambria Math"/>
        </w:rPr>
        <w:tab/>
        <w:t>(2-17)</w:t>
      </w:r>
    </w:p>
    <w:p w14:paraId="523666E3" w14:textId="6CEE11A4" w:rsidR="00E01163" w:rsidRPr="00F242D4" w:rsidRDefault="00E01163" w:rsidP="00E01163">
      <w:r w:rsidRPr="00F242D4">
        <w:t xml:space="preserve">Case 13 </w:t>
      </w:r>
      <w:r w:rsidR="00B721FC">
        <w:t xml:space="preserve">was created </w:t>
      </w:r>
      <w:r w:rsidRPr="00F242D4">
        <w:t xml:space="preserve">in which producer was constrained by constant BHP of 4700 psi. The initial water saturation was 0.3. Case 3 </w:t>
      </w:r>
      <w:r w:rsidR="00273C00">
        <w:t>i</w:t>
      </w:r>
      <w:r w:rsidRPr="00F242D4">
        <w:t xml:space="preserve">s the base case for comparison. </w:t>
      </w:r>
      <w:r w:rsidR="003732EF">
        <w:fldChar w:fldCharType="begin"/>
      </w:r>
      <w:r w:rsidR="003732EF">
        <w:instrText xml:space="preserve"> REF _Ref491870994 \h </w:instrText>
      </w:r>
      <w:r w:rsidR="003732EF">
        <w:fldChar w:fldCharType="separate"/>
      </w:r>
      <w:r w:rsidR="00304B8E" w:rsidRPr="00541084">
        <w:rPr>
          <w:szCs w:val="22"/>
        </w:rPr>
        <w:t xml:space="preserve">Figure </w:t>
      </w:r>
      <w:r w:rsidR="00304B8E">
        <w:rPr>
          <w:noProof/>
          <w:szCs w:val="22"/>
        </w:rPr>
        <w:t>2</w:t>
      </w:r>
      <w:r w:rsidR="00304B8E">
        <w:rPr>
          <w:szCs w:val="22"/>
        </w:rPr>
        <w:noBreakHyphen/>
      </w:r>
      <w:r w:rsidR="00304B8E">
        <w:rPr>
          <w:noProof/>
          <w:szCs w:val="22"/>
        </w:rPr>
        <w:t>10</w:t>
      </w:r>
      <w:r w:rsidR="003732EF">
        <w:fldChar w:fldCharType="end"/>
      </w:r>
      <w:r w:rsidRPr="00F242D4">
        <w:t xml:space="preserve"> is the simulation output. </w:t>
      </w:r>
      <w:r w:rsidR="00273C00">
        <w:t>T</w:t>
      </w:r>
      <w:r w:rsidRPr="00F242D4">
        <w:t>he calculation procedure</w:t>
      </w:r>
      <w:r w:rsidR="00273C00">
        <w:t xml:space="preserve"> is given as follows</w:t>
      </w:r>
      <w:r w:rsidRPr="00F242D4">
        <w:t xml:space="preserve">: </w:t>
      </w:r>
    </w:p>
    <w:p w14:paraId="0C15EFE7" w14:textId="23816F0A" w:rsidR="00E01163" w:rsidRDefault="00E01163" w:rsidP="00295701">
      <w:pPr>
        <w:pStyle w:val="ListParagraph"/>
        <w:numPr>
          <w:ilvl w:val="0"/>
          <w:numId w:val="5"/>
        </w:numPr>
      </w:pPr>
      <w:r w:rsidRPr="00F242D4">
        <w:t xml:space="preserve">Plot the tracer production history, i.e., tracer concentration vs. time as shown in </w:t>
      </w:r>
      <w:r w:rsidR="00B309BA">
        <w:fldChar w:fldCharType="begin"/>
      </w:r>
      <w:r w:rsidR="00B309BA">
        <w:instrText xml:space="preserve"> REF _Ref491870994 \h </w:instrText>
      </w:r>
      <w:r w:rsidR="00B309BA">
        <w:fldChar w:fldCharType="separate"/>
      </w:r>
      <w:r w:rsidR="00304B8E" w:rsidRPr="00541084">
        <w:rPr>
          <w:szCs w:val="22"/>
        </w:rPr>
        <w:t xml:space="preserve">Figure </w:t>
      </w:r>
      <w:r w:rsidR="00304B8E">
        <w:rPr>
          <w:noProof/>
          <w:szCs w:val="22"/>
        </w:rPr>
        <w:t>2</w:t>
      </w:r>
      <w:r w:rsidR="00304B8E">
        <w:rPr>
          <w:szCs w:val="22"/>
        </w:rPr>
        <w:noBreakHyphen/>
      </w:r>
      <w:r w:rsidR="00304B8E">
        <w:rPr>
          <w:noProof/>
          <w:szCs w:val="22"/>
        </w:rPr>
        <w:t>10</w:t>
      </w:r>
      <w:r w:rsidR="00B309BA">
        <w:fldChar w:fldCharType="end"/>
      </w:r>
      <w:r w:rsidRPr="00F242D4">
        <w:t xml:space="preserve">. </w:t>
      </w:r>
    </w:p>
    <w:p w14:paraId="40A137CD" w14:textId="77777777" w:rsidR="003732EF" w:rsidRDefault="003732EF" w:rsidP="00923C92">
      <w:pPr>
        <w:pStyle w:val="TableNormal1"/>
      </w:pPr>
      <w:r w:rsidRPr="00B33055">
        <w:lastRenderedPageBreak/>
        <w:drawing>
          <wp:inline distT="0" distB="0" distL="0" distR="0" wp14:anchorId="6AA0B481" wp14:editId="3239B52C">
            <wp:extent cx="5319423" cy="3633746"/>
            <wp:effectExtent l="0" t="0" r="0" b="508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3E686DF" w14:textId="7F624A2B" w:rsidR="003732EF" w:rsidRPr="00541084" w:rsidRDefault="003732EF" w:rsidP="00BF3F9B">
      <w:pPr>
        <w:pStyle w:val="Caption"/>
        <w:rPr>
          <w:szCs w:val="22"/>
        </w:rPr>
      </w:pPr>
      <w:bookmarkStart w:id="87" w:name="_Ref491870994"/>
      <w:bookmarkStart w:id="88" w:name="_Toc495144719"/>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2</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10</w:t>
      </w:r>
      <w:r w:rsidR="00280FFF">
        <w:rPr>
          <w:szCs w:val="22"/>
        </w:rPr>
        <w:fldChar w:fldCharType="end"/>
      </w:r>
      <w:bookmarkEnd w:id="87"/>
      <w:r w:rsidRPr="00541084">
        <w:rPr>
          <w:szCs w:val="22"/>
        </w:rPr>
        <w:t>. Water production rate and tracer production history for Case 13. Variable liquid production rate under a constant BHP constraint.</w:t>
      </w:r>
      <w:bookmarkEnd w:id="88"/>
    </w:p>
    <w:p w14:paraId="3DD0D2DB" w14:textId="77777777" w:rsidR="003732EF" w:rsidRPr="00F242D4" w:rsidRDefault="003732EF" w:rsidP="003732EF">
      <w:pPr>
        <w:pStyle w:val="ListParagraph"/>
        <w:ind w:left="720"/>
      </w:pPr>
    </w:p>
    <w:p w14:paraId="0F35FE18" w14:textId="77777777" w:rsidR="00E01163" w:rsidRPr="00F242D4" w:rsidRDefault="00E01163" w:rsidP="00295701">
      <w:pPr>
        <w:pStyle w:val="ListParagraph"/>
        <w:numPr>
          <w:ilvl w:val="0"/>
          <w:numId w:val="5"/>
        </w:numPr>
      </w:pPr>
      <w:r w:rsidRPr="00801D28">
        <w:t>Find</w:t>
      </w:r>
      <w:r w:rsidRPr="00F242D4">
        <w:t xml:space="preserve"> the time of the concentration peak.</w:t>
      </w:r>
    </w:p>
    <w:p w14:paraId="25618CBA" w14:textId="77777777" w:rsidR="00E01163" w:rsidRPr="00F242D4" w:rsidRDefault="00A53410" w:rsidP="00E01163">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ester</m:t>
            </m:r>
          </m:sub>
        </m:sSub>
        <m:r>
          <m:rPr>
            <m:sty m:val="p"/>
          </m:rPr>
          <w:rPr>
            <w:rFonts w:ascii="Cambria Math" w:hAnsi="Cambria Math"/>
          </w:rPr>
          <m:t>=0.147 day</m:t>
        </m:r>
      </m:oMath>
      <w:r w:rsidR="00E01163" w:rsidRPr="00F242D4">
        <w:t xml:space="preserve"> </w:t>
      </w:r>
    </w:p>
    <w:p w14:paraId="2A608347" w14:textId="77777777" w:rsidR="00E01163" w:rsidRPr="00F242D4" w:rsidRDefault="00A53410" w:rsidP="00E01163">
      <w:pPr>
        <w:rPr>
          <w:rFonts w:ascii="Cambria Math" w:hAnsi="Cambria Math"/>
        </w:rPr>
      </w:pP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alcohol</m:t>
            </m:r>
          </m:sub>
        </m:sSub>
        <m:r>
          <m:rPr>
            <m:sty m:val="p"/>
          </m:rPr>
          <w:rPr>
            <w:rFonts w:ascii="Cambria Math" w:hAnsi="Cambria Math"/>
          </w:rPr>
          <m:t>=0.087 day</m:t>
        </m:r>
      </m:oMath>
      <w:r w:rsidR="00E01163" w:rsidRPr="00F242D4">
        <w:rPr>
          <w:rFonts w:ascii="Cambria Math" w:hAnsi="Cambria Math"/>
        </w:rPr>
        <w:t xml:space="preserve"> </w:t>
      </w:r>
    </w:p>
    <w:p w14:paraId="53990E1D" w14:textId="77777777" w:rsidR="00E01163" w:rsidRPr="00F242D4" w:rsidRDefault="00E01163" w:rsidP="00295701">
      <w:pPr>
        <w:pStyle w:val="ListParagraph"/>
        <w:numPr>
          <w:ilvl w:val="0"/>
          <w:numId w:val="5"/>
        </w:numPr>
      </w:pPr>
      <w:r w:rsidRPr="00F242D4">
        <w:t>Average liquid production rate at each peak time is calculated by cumulative liquid production volume over peak time:</w:t>
      </w:r>
    </w:p>
    <w:p w14:paraId="31BF47C7" w14:textId="77777777" w:rsidR="00E01163" w:rsidRPr="00F242D4" w:rsidRDefault="00A53410" w:rsidP="00E01163">
      <w:pPr>
        <w:rPr>
          <w:rFonts w:ascii="Cambria Math" w:hAnsi="Cambria Math"/>
        </w:rPr>
      </w:pP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q</m:t>
                </m:r>
              </m:e>
            </m:acc>
          </m:e>
          <m:sub>
            <m:r>
              <m:rPr>
                <m:sty m:val="p"/>
              </m:rPr>
              <w:rPr>
                <w:rFonts w:ascii="Cambria Math" w:hAnsi="Cambria Math"/>
              </w:rPr>
              <m:t>ester,peak</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Q</m:t>
                </m:r>
              </m:e>
              <m:sub>
                <m:r>
                  <m:rPr>
                    <m:sty m:val="p"/>
                  </m:rPr>
                  <w:rPr>
                    <w:rFonts w:ascii="Cambria Math" w:hAnsi="Cambria Math"/>
                  </w:rPr>
                  <m:t>ester,peak</m:t>
                </m:r>
              </m:sub>
            </m:sSub>
          </m:num>
          <m:den>
            <m:sSub>
              <m:sSubPr>
                <m:ctrlPr>
                  <w:rPr>
                    <w:rFonts w:ascii="Cambria Math" w:hAnsi="Cambria Math"/>
                  </w:rPr>
                </m:ctrlPr>
              </m:sSubPr>
              <m:e>
                <m:r>
                  <m:rPr>
                    <m:sty m:val="p"/>
                  </m:rPr>
                  <w:rPr>
                    <w:rFonts w:ascii="Cambria Math" w:hAnsi="Cambria Math"/>
                  </w:rPr>
                  <m:t>t</m:t>
                </m:r>
              </m:e>
              <m:sub>
                <m:r>
                  <m:rPr>
                    <m:sty m:val="p"/>
                  </m:rPr>
                  <w:rPr>
                    <w:rFonts w:ascii="Cambria Math" w:hAnsi="Cambria Math"/>
                  </w:rPr>
                  <m:t>ester</m:t>
                </m:r>
              </m:sub>
            </m:sSub>
          </m:den>
        </m:f>
        <m:r>
          <m:rPr>
            <m:sty m:val="p"/>
          </m:rPr>
          <w:rPr>
            <w:rFonts w:ascii="Cambria Math" w:hAnsi="Cambria Math"/>
          </w:rPr>
          <m:t>=1112 bbl/day</m:t>
        </m:r>
      </m:oMath>
      <w:r w:rsidR="00E01163" w:rsidRPr="00F242D4">
        <w:rPr>
          <w:rFonts w:ascii="Cambria Math" w:hAnsi="Cambria Math"/>
        </w:rPr>
        <w:t xml:space="preserve"> </w:t>
      </w:r>
    </w:p>
    <w:p w14:paraId="12315D96" w14:textId="77777777" w:rsidR="00E01163" w:rsidRPr="00F242D4" w:rsidRDefault="00A53410" w:rsidP="00E01163">
      <w:pPr>
        <w:rPr>
          <w:rFonts w:ascii="Cambria Math" w:hAnsi="Cambria Math"/>
        </w:rPr>
      </w:pP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q</m:t>
                </m:r>
              </m:e>
            </m:acc>
          </m:e>
          <m:sub>
            <m:r>
              <m:rPr>
                <m:sty m:val="p"/>
              </m:rPr>
              <w:rPr>
                <w:rFonts w:ascii="Cambria Math" w:hAnsi="Cambria Math"/>
              </w:rPr>
              <m:t>alcohol,peak</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Q</m:t>
                </m:r>
              </m:e>
              <m:sub>
                <m:r>
                  <m:rPr>
                    <m:sty m:val="p"/>
                  </m:rPr>
                  <w:rPr>
                    <w:rFonts w:ascii="Cambria Math" w:hAnsi="Cambria Math"/>
                  </w:rPr>
                  <m:t>alcohol,peak</m:t>
                </m:r>
              </m:sub>
            </m:sSub>
          </m:num>
          <m:den>
            <m:sSub>
              <m:sSubPr>
                <m:ctrlPr>
                  <w:rPr>
                    <w:rFonts w:ascii="Cambria Math" w:hAnsi="Cambria Math"/>
                  </w:rPr>
                </m:ctrlPr>
              </m:sSubPr>
              <m:e>
                <m:r>
                  <m:rPr>
                    <m:sty m:val="p"/>
                  </m:rPr>
                  <w:rPr>
                    <w:rFonts w:ascii="Cambria Math" w:hAnsi="Cambria Math"/>
                  </w:rPr>
                  <m:t>t</m:t>
                </m:r>
              </m:e>
              <m:sub>
                <m:r>
                  <m:rPr>
                    <m:sty m:val="p"/>
                  </m:rPr>
                  <w:rPr>
                    <w:rFonts w:ascii="Cambria Math" w:hAnsi="Cambria Math"/>
                  </w:rPr>
                  <m:t>alcohol</m:t>
                </m:r>
              </m:sub>
            </m:sSub>
          </m:den>
        </m:f>
        <m:r>
          <m:rPr>
            <m:sty m:val="p"/>
          </m:rPr>
          <w:rPr>
            <w:rFonts w:ascii="Cambria Math" w:hAnsi="Cambria Math"/>
          </w:rPr>
          <m:t>=1152 bbl/day</m:t>
        </m:r>
      </m:oMath>
      <w:r w:rsidR="00E01163" w:rsidRPr="00F242D4">
        <w:rPr>
          <w:rFonts w:ascii="Cambria Math" w:hAnsi="Cambria Math"/>
        </w:rPr>
        <w:t xml:space="preserve"> </w:t>
      </w:r>
    </w:p>
    <w:p w14:paraId="0ADFF121" w14:textId="0E709CC9" w:rsidR="00E01163" w:rsidRPr="00F242D4" w:rsidRDefault="00B8472C" w:rsidP="00295701">
      <w:pPr>
        <w:pStyle w:val="ListParagraph"/>
        <w:numPr>
          <w:ilvl w:val="0"/>
          <w:numId w:val="5"/>
        </w:numPr>
      </w:pPr>
      <w:r>
        <w:t>E</w:t>
      </w:r>
      <w:r w:rsidR="00E01163" w:rsidRPr="00F242D4">
        <w:t xml:space="preserve">stimate the factor F: </w:t>
      </w:r>
    </w:p>
    <w:p w14:paraId="4C3223DA" w14:textId="77777777" w:rsidR="00E01163" w:rsidRPr="00F242D4" w:rsidRDefault="00F242D4" w:rsidP="00E01163">
      <w:pPr>
        <w:rPr>
          <w:rFonts w:ascii="Cambria Math" w:hAnsi="Cambria Math"/>
        </w:rPr>
      </w:pPr>
      <m:oMath>
        <m:r>
          <m:rPr>
            <m:sty m:val="p"/>
          </m:rPr>
          <w:rPr>
            <w:rFonts w:ascii="Cambria Math" w:hAnsi="Cambria Math" w:cs="Cambria Math"/>
          </w:rPr>
          <m:t>F</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V</m:t>
                    </m:r>
                  </m:e>
                </m:acc>
              </m:e>
              <m:sub>
                <m:r>
                  <m:rPr>
                    <m:sty m:val="p"/>
                  </m:rPr>
                  <w:rPr>
                    <w:rFonts w:ascii="Cambria Math" w:hAnsi="Cambria Math"/>
                  </w:rPr>
                  <m:t>w,alcohol,peak</m:t>
                </m:r>
              </m:sub>
            </m:sSub>
          </m:num>
          <m:den>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V</m:t>
                    </m:r>
                  </m:e>
                </m:acc>
              </m:e>
              <m:sub>
                <m:r>
                  <m:rPr>
                    <m:sty m:val="p"/>
                  </m:rPr>
                  <w:rPr>
                    <w:rFonts w:ascii="Cambria Math" w:hAnsi="Cambria Math"/>
                  </w:rPr>
                  <m:t>w,ester,peak</m:t>
                </m:r>
              </m:sub>
            </m:sSub>
          </m:den>
        </m:f>
        <m:f>
          <m:fPr>
            <m:ctrlPr>
              <w:rPr>
                <w:rFonts w:ascii="Cambria Math" w:hAnsi="Cambria Math"/>
              </w:rPr>
            </m:ctrlPr>
          </m:fPr>
          <m:num>
            <m:sSub>
              <m:sSubPr>
                <m:ctrlPr>
                  <w:rPr>
                    <w:rFonts w:ascii="Cambria Math" w:hAnsi="Cambria Math"/>
                  </w:rPr>
                </m:ctrlPr>
              </m:sSubPr>
              <m:e>
                <m:r>
                  <m:rPr>
                    <m:sty m:val="p"/>
                  </m:rPr>
                  <w:rPr>
                    <w:rFonts w:ascii="Cambria Math" w:hAnsi="Cambria Math"/>
                  </w:rPr>
                  <m:t>t</m:t>
                </m:r>
              </m:e>
              <m:sub>
                <m:r>
                  <m:rPr>
                    <m:sty m:val="p"/>
                  </m:rPr>
                  <w:rPr>
                    <w:rFonts w:ascii="Cambria Math" w:hAnsi="Cambria Math"/>
                  </w:rPr>
                  <m:t>alcohol</m:t>
                </m:r>
              </m:sub>
            </m:sSub>
          </m:num>
          <m:den>
            <m:sSub>
              <m:sSubPr>
                <m:ctrlPr>
                  <w:rPr>
                    <w:rFonts w:ascii="Cambria Math" w:hAnsi="Cambria Math"/>
                  </w:rPr>
                </m:ctrlPr>
              </m:sSubPr>
              <m:e>
                <m:r>
                  <m:rPr>
                    <m:sty m:val="p"/>
                  </m:rPr>
                  <w:rPr>
                    <w:rFonts w:ascii="Cambria Math" w:hAnsi="Cambria Math"/>
                  </w:rPr>
                  <m:t>t</m:t>
                </m:r>
              </m:e>
              <m:sub>
                <m:r>
                  <m:rPr>
                    <m:sty m:val="p"/>
                  </m:rPr>
                  <w:rPr>
                    <w:rFonts w:ascii="Cambria Math" w:hAnsi="Cambria Math"/>
                  </w:rPr>
                  <m:t>ester</m:t>
                </m:r>
              </m:sub>
            </m:sSub>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q</m:t>
                    </m:r>
                  </m:e>
                </m:acc>
              </m:e>
              <m:sub>
                <m:r>
                  <m:rPr>
                    <m:sty m:val="p"/>
                  </m:rPr>
                  <w:rPr>
                    <w:rFonts w:ascii="Cambria Math" w:hAnsi="Cambria Math"/>
                  </w:rPr>
                  <m:t>alcohol,peak</m:t>
                </m:r>
              </m:sub>
            </m:sSub>
          </m:num>
          <m:den>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q</m:t>
                    </m:r>
                  </m:e>
                </m:acc>
              </m:e>
              <m:sub>
                <m:r>
                  <m:rPr>
                    <m:sty m:val="p"/>
                  </m:rPr>
                  <w:rPr>
                    <w:rFonts w:ascii="Cambria Math" w:hAnsi="Cambria Math"/>
                  </w:rPr>
                  <m:t>ester,peak</m:t>
                </m:r>
              </m:sub>
            </m:sSub>
          </m:den>
        </m:f>
        <m:f>
          <m:fPr>
            <m:ctrlPr>
              <w:rPr>
                <w:rFonts w:ascii="Cambria Math" w:hAnsi="Cambria Math"/>
              </w:rPr>
            </m:ctrlPr>
          </m:fPr>
          <m:num>
            <m:sSub>
              <m:sSubPr>
                <m:ctrlPr>
                  <w:rPr>
                    <w:rFonts w:ascii="Cambria Math" w:hAnsi="Cambria Math"/>
                  </w:rPr>
                </m:ctrlPr>
              </m:sSubPr>
              <m:e>
                <m:r>
                  <m:rPr>
                    <m:sty m:val="p"/>
                  </m:rPr>
                  <w:rPr>
                    <w:rFonts w:ascii="Cambria Math" w:hAnsi="Cambria Math"/>
                  </w:rPr>
                  <m:t>t</m:t>
                </m:r>
              </m:e>
              <m:sub>
                <m:r>
                  <m:rPr>
                    <m:sty m:val="p"/>
                  </m:rPr>
                  <w:rPr>
                    <w:rFonts w:ascii="Cambria Math" w:hAnsi="Cambria Math"/>
                  </w:rPr>
                  <m:t>alc</m:t>
                </m:r>
                <m:r>
                  <m:rPr>
                    <m:sty m:val="p"/>
                  </m:rPr>
                  <w:rPr>
                    <w:rFonts w:ascii="Cambria Math" w:hAnsi="Cambria Math" w:cs="Cambria Math"/>
                  </w:rPr>
                  <m:t>o</m:t>
                </m:r>
                <m:r>
                  <m:rPr>
                    <m:sty m:val="p"/>
                  </m:rPr>
                  <w:rPr>
                    <w:rFonts w:ascii="Cambria Math" w:hAnsi="Cambria Math"/>
                  </w:rPr>
                  <m:t>hol</m:t>
                </m:r>
              </m:sub>
            </m:sSub>
          </m:num>
          <m:den>
            <m:sSub>
              <m:sSubPr>
                <m:ctrlPr>
                  <w:rPr>
                    <w:rFonts w:ascii="Cambria Math" w:hAnsi="Cambria Math"/>
                  </w:rPr>
                </m:ctrlPr>
              </m:sSubPr>
              <m:e>
                <m:r>
                  <m:rPr>
                    <m:sty m:val="p"/>
                  </m:rPr>
                  <w:rPr>
                    <w:rFonts w:ascii="Cambria Math" w:hAnsi="Cambria Math"/>
                  </w:rPr>
                  <m:t>t</m:t>
                </m:r>
              </m:e>
              <m:sub>
                <m:r>
                  <m:rPr>
                    <m:sty m:val="p"/>
                  </m:rPr>
                  <w:rPr>
                    <w:rFonts w:ascii="Cambria Math" w:hAnsi="Cambria Math"/>
                  </w:rPr>
                  <m:t>ester</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1152</m:t>
            </m:r>
          </m:num>
          <m:den>
            <m:r>
              <m:rPr>
                <m:sty m:val="p"/>
              </m:rPr>
              <w:rPr>
                <w:rFonts w:ascii="Cambria Math" w:hAnsi="Cambria Math"/>
              </w:rPr>
              <m:t>1112</m:t>
            </m:r>
          </m:den>
        </m:f>
        <m:f>
          <m:fPr>
            <m:ctrlPr>
              <w:rPr>
                <w:rFonts w:ascii="Cambria Math" w:hAnsi="Cambria Math"/>
              </w:rPr>
            </m:ctrlPr>
          </m:fPr>
          <m:num>
            <m:r>
              <m:rPr>
                <m:sty m:val="p"/>
              </m:rPr>
              <w:rPr>
                <w:rFonts w:ascii="Cambria Math" w:hAnsi="Cambria Math"/>
              </w:rPr>
              <m:t>0.087</m:t>
            </m:r>
          </m:num>
          <m:den>
            <m:r>
              <m:rPr>
                <m:sty m:val="p"/>
              </m:rPr>
              <w:rPr>
                <w:rFonts w:ascii="Cambria Math" w:hAnsi="Cambria Math"/>
              </w:rPr>
              <m:t>0.147</m:t>
            </m:r>
          </m:den>
        </m:f>
        <m:r>
          <m:rPr>
            <m:sty m:val="p"/>
          </m:rPr>
          <w:rPr>
            <w:rFonts w:ascii="Cambria Math" w:hAnsi="Cambria Math"/>
          </w:rPr>
          <m:t>=0.61</m:t>
        </m:r>
      </m:oMath>
      <w:r w:rsidRPr="00F242D4">
        <w:rPr>
          <w:rFonts w:ascii="Cambria Math" w:hAnsi="Cambria Math"/>
        </w:rPr>
        <w:t xml:space="preserve"> </w:t>
      </w:r>
    </w:p>
    <w:p w14:paraId="3A964A1F" w14:textId="77777777" w:rsidR="00E01163" w:rsidRPr="00F242D4" w:rsidRDefault="00E01163" w:rsidP="00295701">
      <w:pPr>
        <w:pStyle w:val="ListParagraph"/>
        <w:numPr>
          <w:ilvl w:val="0"/>
          <w:numId w:val="5"/>
        </w:numPr>
      </w:pPr>
      <w:r w:rsidRPr="00F242D4">
        <w:lastRenderedPageBreak/>
        <w:t>Calculate the residence time Using Eq.</w:t>
      </w:r>
      <w:r w:rsidR="00F242D4" w:rsidRPr="00F242D4">
        <w:t xml:space="preserve"> 2-</w:t>
      </w:r>
      <w:r w:rsidRPr="00F242D4">
        <w:t>12:</w:t>
      </w:r>
    </w:p>
    <w:p w14:paraId="32A65EA1" w14:textId="77777777" w:rsidR="00E01163" w:rsidRPr="00F242D4" w:rsidRDefault="00A53410" w:rsidP="00E01163">
      <w:pPr>
        <w:rPr>
          <w:rFonts w:ascii="Cambria Math" w:hAnsi="Cambria Math"/>
        </w:rPr>
      </w:pP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ester,w</m:t>
            </m:r>
          </m:sub>
        </m:sSub>
        <m:r>
          <m:rPr>
            <m:sty m:val="p"/>
          </m:rPr>
          <w:rPr>
            <w:rFonts w:ascii="Cambria Math" w:hAnsi="Cambria Math"/>
          </w:rPr>
          <m:t xml:space="preserve">=0.15 day     and      </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alcohol,w</m:t>
            </m:r>
          </m:sub>
        </m:sSub>
        <m:r>
          <m:rPr>
            <m:sty m:val="p"/>
          </m:rPr>
          <w:rPr>
            <w:rFonts w:ascii="Cambria Math" w:hAnsi="Cambria Math"/>
          </w:rPr>
          <m:t>=0.10 day</m:t>
        </m:r>
      </m:oMath>
      <w:r w:rsidR="00F242D4" w:rsidRPr="00F242D4">
        <w:rPr>
          <w:rFonts w:ascii="Cambria Math" w:hAnsi="Cambria Math"/>
        </w:rPr>
        <w:t xml:space="preserve"> </w:t>
      </w:r>
    </w:p>
    <w:p w14:paraId="33891863" w14:textId="77777777" w:rsidR="00E01163" w:rsidRPr="00F242D4" w:rsidRDefault="00E01163" w:rsidP="00295701">
      <w:pPr>
        <w:pStyle w:val="ListParagraph"/>
        <w:numPr>
          <w:ilvl w:val="0"/>
          <w:numId w:val="5"/>
        </w:numPr>
      </w:pPr>
      <w:r w:rsidRPr="00F242D4">
        <w:t>The average liquid production rate at each residence time:</w:t>
      </w:r>
    </w:p>
    <w:p w14:paraId="2D7955E6" w14:textId="77777777" w:rsidR="00E01163" w:rsidRPr="00F242D4" w:rsidRDefault="00A53410" w:rsidP="00E01163">
      <w:pPr>
        <w:rPr>
          <w:rFonts w:ascii="Cambria Math" w:hAnsi="Cambria Math"/>
        </w:rPr>
      </w:pP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q</m:t>
                </m:r>
              </m:e>
            </m:acc>
          </m:e>
          <m:sub>
            <m:r>
              <m:rPr>
                <m:sty m:val="p"/>
              </m:rPr>
              <w:rPr>
                <w:rFonts w:ascii="Cambria Math" w:hAnsi="Cambria Math"/>
              </w:rPr>
              <m:t>ester,res</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Q</m:t>
                </m:r>
              </m:e>
              <m:sub>
                <m:r>
                  <m:rPr>
                    <m:sty m:val="p"/>
                  </m:rPr>
                  <w:rPr>
                    <w:rFonts w:ascii="Cambria Math" w:hAnsi="Cambria Math"/>
                  </w:rPr>
                  <m:t>ester,res</m:t>
                </m:r>
              </m:sub>
            </m:sSub>
          </m:num>
          <m:den>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ester,w</m:t>
                </m:r>
              </m:sub>
            </m:sSub>
          </m:den>
        </m:f>
        <m:r>
          <m:rPr>
            <m:sty m:val="p"/>
          </m:rPr>
          <w:rPr>
            <w:rFonts w:ascii="Cambria Math" w:hAnsi="Cambria Math"/>
          </w:rPr>
          <m:t>=1106 bbl/day</m:t>
        </m:r>
      </m:oMath>
      <w:r w:rsidR="00E01163" w:rsidRPr="00F242D4">
        <w:rPr>
          <w:rFonts w:ascii="Cambria Math" w:hAnsi="Cambria Math"/>
        </w:rPr>
        <w:t xml:space="preserve"> </w:t>
      </w:r>
    </w:p>
    <w:p w14:paraId="22E11A6B" w14:textId="77777777" w:rsidR="00E01163" w:rsidRPr="00B33055" w:rsidRDefault="00A53410" w:rsidP="00E01163">
      <w:pPr>
        <w:rPr>
          <w:rFonts w:ascii="Cambria Math" w:hAnsi="Cambria Math"/>
          <w:i/>
        </w:rPr>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q</m:t>
                </m:r>
              </m:e>
            </m:acc>
          </m:e>
          <m:sub>
            <m:r>
              <w:rPr>
                <w:rFonts w:ascii="Cambria Math" w:hAnsi="Cambria Math"/>
              </w:rPr>
              <m:t>alcohol,res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alcohol,res</m:t>
                </m:r>
              </m:sub>
            </m:sSub>
          </m:num>
          <m:den>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t</m:t>
                    </m:r>
                  </m:e>
                </m:acc>
              </m:e>
              <m:sub>
                <m:r>
                  <w:rPr>
                    <w:rFonts w:ascii="Cambria Math" w:hAnsi="Cambria Math"/>
                  </w:rPr>
                  <m:t>alcohol,w</m:t>
                </m:r>
              </m:sub>
            </m:sSub>
          </m:den>
        </m:f>
        <m:r>
          <w:rPr>
            <w:rFonts w:ascii="Cambria Math" w:hAnsi="Cambria Math"/>
          </w:rPr>
          <m:t>=1135 bbl/day</m:t>
        </m:r>
      </m:oMath>
      <w:r w:rsidR="00E01163" w:rsidRPr="00B33055">
        <w:rPr>
          <w:rFonts w:ascii="Cambria Math" w:hAnsi="Cambria Math"/>
          <w:i/>
        </w:rPr>
        <w:t xml:space="preserve"> </w:t>
      </w:r>
    </w:p>
    <w:p w14:paraId="30BF47C0" w14:textId="77777777" w:rsidR="00E01163" w:rsidRPr="00B33055" w:rsidRDefault="00E01163" w:rsidP="00F242D4">
      <w:pPr>
        <w:pStyle w:val="ListParagraph"/>
        <w:ind w:left="720"/>
      </w:pPr>
      <w:r w:rsidRPr="00B33055">
        <w:t xml:space="preserve">The ratio parameter </w:t>
      </w:r>
      <m:oMath>
        <m:r>
          <w:rPr>
            <w:rFonts w:ascii="Cambria Math" w:hAnsi="Cambria Math" w:cs="Arial"/>
          </w:rPr>
          <m:t>R</m:t>
        </m:r>
      </m:oMath>
      <w:r w:rsidRPr="00B33055">
        <w:t xml:space="preserve"> is calculated:</w:t>
      </w:r>
    </w:p>
    <w:p w14:paraId="3530522A" w14:textId="77777777" w:rsidR="00E01163" w:rsidRPr="00B33055" w:rsidRDefault="00E01163" w:rsidP="00E01163">
      <w:pPr>
        <w:rPr>
          <w:rFonts w:ascii="Cambria Math" w:hAnsi="Cambria Math"/>
          <w:i/>
        </w:rPr>
      </w:pPr>
      <m:oMath>
        <m:r>
          <w:rPr>
            <w:rFonts w:ascii="Cambria Math" w:hAnsi="Cambria Math"/>
          </w:rPr>
          <m:t>R=</m:t>
        </m:r>
        <m:f>
          <m:fPr>
            <m:ctrlPr>
              <w:rPr>
                <w:rFonts w:ascii="Cambria Math" w:hAnsi="Cambria Math"/>
                <w:i/>
              </w:rPr>
            </m:ctrlPr>
          </m:fPr>
          <m:num>
            <m:sSub>
              <m:sSubPr>
                <m:ctrlPr>
                  <w:rPr>
                    <w:rFonts w:ascii="Cambria Math" w:hAnsi="Cambria Math"/>
                    <w:i/>
                  </w:rPr>
                </m:ctrlPr>
              </m:sSubPr>
              <m:e>
                <m:acc>
                  <m:accPr>
                    <m:ctrlPr>
                      <w:rPr>
                        <w:rFonts w:ascii="Cambria Math" w:hAnsi="Cambria Math"/>
                        <w:i/>
                      </w:rPr>
                    </m:ctrlPr>
                  </m:accPr>
                  <m:e>
                    <m:r>
                      <w:rPr>
                        <w:rFonts w:ascii="Cambria Math" w:hAnsi="Cambria Math"/>
                      </w:rPr>
                      <m:t>V</m:t>
                    </m:r>
                  </m:e>
                </m:acc>
              </m:e>
              <m:sub>
                <m:r>
                  <w:rPr>
                    <w:rFonts w:ascii="Cambria Math" w:hAnsi="Cambria Math"/>
                  </w:rPr>
                  <m:t>alcohol,w</m:t>
                </m:r>
              </m:sub>
            </m:sSub>
          </m:num>
          <m:den>
            <m:sSub>
              <m:sSubPr>
                <m:ctrlPr>
                  <w:rPr>
                    <w:rFonts w:ascii="Cambria Math" w:hAnsi="Cambria Math"/>
                    <w:i/>
                  </w:rPr>
                </m:ctrlPr>
              </m:sSubPr>
              <m:e>
                <m:acc>
                  <m:accPr>
                    <m:ctrlPr>
                      <w:rPr>
                        <w:rFonts w:ascii="Cambria Math" w:hAnsi="Cambria Math"/>
                        <w:i/>
                      </w:rPr>
                    </m:ctrlPr>
                  </m:accPr>
                  <m:e>
                    <m:r>
                      <w:rPr>
                        <w:rFonts w:ascii="Cambria Math" w:hAnsi="Cambria Math"/>
                      </w:rPr>
                      <m:t>V</m:t>
                    </m:r>
                  </m:e>
                </m:acc>
              </m:e>
              <m:sub>
                <m:r>
                  <w:rPr>
                    <w:rFonts w:ascii="Cambria Math" w:hAnsi="Cambria Math"/>
                  </w:rPr>
                  <m:t>ester,w</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w,alcohol, res</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t</m:t>
                    </m:r>
                  </m:e>
                </m:acc>
              </m:e>
              <m:sub>
                <m:r>
                  <w:rPr>
                    <w:rFonts w:ascii="Cambria Math" w:hAnsi="Cambria Math"/>
                  </w:rPr>
                  <m:t>alcohol,w</m:t>
                </m:r>
              </m:sub>
            </m:sSub>
          </m:num>
          <m:den>
            <m:r>
              <w:rPr>
                <w:rFonts w:ascii="Cambria Math" w:hAnsi="Cambria Math"/>
              </w:rPr>
              <m:t>F</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w,ester,res</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t</m:t>
                    </m:r>
                  </m:e>
                </m:acc>
              </m:e>
              <m:sub>
                <m:r>
                  <w:rPr>
                    <w:rFonts w:ascii="Cambria Math" w:hAnsi="Cambria Math"/>
                  </w:rPr>
                  <m:t>ester,w</m:t>
                </m:r>
              </m:sub>
            </m:sSub>
          </m:den>
        </m:f>
        <m:r>
          <w:rPr>
            <w:rFonts w:ascii="Cambria Math" w:hAnsi="Cambria Math"/>
          </w:rPr>
          <m:t>=</m:t>
        </m:r>
        <m:f>
          <m:fPr>
            <m:ctrlPr>
              <w:rPr>
                <w:rFonts w:ascii="Cambria Math" w:hAnsi="Cambria Math"/>
                <w:i/>
              </w:rPr>
            </m:ctrlPr>
          </m:fPr>
          <m:num>
            <m:r>
              <w:rPr>
                <w:rFonts w:ascii="Cambria Math" w:hAnsi="Cambria Math"/>
              </w:rPr>
              <m:t>1135*0.1</m:t>
            </m:r>
          </m:num>
          <m:den>
            <m:r>
              <w:rPr>
                <w:rFonts w:ascii="Cambria Math" w:hAnsi="Cambria Math"/>
              </w:rPr>
              <m:t>0.61*1106*0.15</m:t>
            </m:r>
          </m:den>
        </m:f>
        <m:r>
          <w:rPr>
            <w:rFonts w:ascii="Cambria Math" w:hAnsi="Cambria Math"/>
          </w:rPr>
          <m:t>=1.12</m:t>
        </m:r>
      </m:oMath>
      <w:r w:rsidR="00F242D4">
        <w:rPr>
          <w:rFonts w:ascii="Cambria Math" w:hAnsi="Cambria Math"/>
          <w:i/>
        </w:rPr>
        <w:t xml:space="preserve"> </w:t>
      </w:r>
    </w:p>
    <w:p w14:paraId="19CCDEB1" w14:textId="77777777" w:rsidR="00E01163" w:rsidRPr="00B33055" w:rsidRDefault="00E01163" w:rsidP="00295701">
      <w:pPr>
        <w:pStyle w:val="ListParagraph"/>
        <w:numPr>
          <w:ilvl w:val="0"/>
          <w:numId w:val="5"/>
        </w:numPr>
      </w:pPr>
      <w:r w:rsidRPr="00B33055">
        <w:t xml:space="preserve">Use Eq. </w:t>
      </w:r>
      <w:r w:rsidR="00F242D4">
        <w:t>2-16 and Eq. 2-</w:t>
      </w:r>
      <w:r w:rsidRPr="00B33055">
        <w:t>17 to calculate the oil saturation is:</w:t>
      </w:r>
    </w:p>
    <w:p w14:paraId="6387E013" w14:textId="77777777" w:rsidR="00E01163" w:rsidRPr="00B33055" w:rsidRDefault="00A53410" w:rsidP="00E01163">
      <w:pPr>
        <w:rPr>
          <w:rFonts w:ascii="Cambria Math" w:hAnsi="Cambria Math"/>
          <w:i/>
        </w:rPr>
      </w:pPr>
      <m:oMath>
        <m:sSub>
          <m:sSubPr>
            <m:ctrlPr>
              <w:rPr>
                <w:rFonts w:ascii="Cambria Math" w:hAnsi="Cambria Math"/>
                <w:i/>
              </w:rPr>
            </m:ctrlPr>
          </m:sSubPr>
          <m:e>
            <m:r>
              <w:rPr>
                <w:rFonts w:ascii="Cambria Math" w:hAnsi="Cambria Math"/>
              </w:rPr>
              <m:t>S</m:t>
            </m:r>
          </m:e>
          <m:sub>
            <m:r>
              <w:rPr>
                <w:rFonts w:ascii="Cambria Math" w:hAnsi="Cambria Math"/>
              </w:rPr>
              <m:t>o</m:t>
            </m:r>
          </m:sub>
        </m:sSub>
        <m:r>
          <w:rPr>
            <w:rFonts w:ascii="Cambria Math" w:hAnsi="Cambria Math"/>
          </w:rPr>
          <m:t>=0.69</m:t>
        </m:r>
      </m:oMath>
      <w:r w:rsidR="00E01163" w:rsidRPr="00B33055">
        <w:rPr>
          <w:rFonts w:ascii="Cambria Math" w:hAnsi="Cambria Math"/>
          <w:i/>
        </w:rPr>
        <w:t xml:space="preserve"> </w:t>
      </w:r>
    </w:p>
    <w:p w14:paraId="6EAC2672" w14:textId="613AE1E0" w:rsidR="00E01163" w:rsidRPr="00B33055" w:rsidRDefault="00E01163" w:rsidP="00E01163">
      <w:pPr>
        <w:rPr>
          <w:rFonts w:ascii="Cambria Math" w:hAnsi="Cambria Math"/>
        </w:rPr>
      </w:pPr>
      <w:r w:rsidRPr="00B33055">
        <w:rPr>
          <w:rFonts w:ascii="Cambria Math" w:hAnsi="Cambria Math"/>
        </w:rPr>
        <w:t xml:space="preserve">And subsequently, </w:t>
      </w:r>
      <m:oMath>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o</m:t>
            </m:r>
          </m:sub>
        </m:sSub>
        <m:r>
          <w:rPr>
            <w:rFonts w:ascii="Cambria Math" w:hAnsi="Cambria Math"/>
          </w:rPr>
          <m:t>= 0.31</m:t>
        </m:r>
      </m:oMath>
      <w:r w:rsidRPr="00B33055">
        <w:rPr>
          <w:rFonts w:ascii="Cambria Math" w:hAnsi="Cambria Math"/>
        </w:rPr>
        <w:t>.</w:t>
      </w:r>
      <w:r w:rsidR="0078249D">
        <w:rPr>
          <w:rFonts w:ascii="Cambria Math" w:hAnsi="Cambria Math"/>
        </w:rPr>
        <w:t xml:space="preserve">  </w:t>
      </w:r>
    </w:p>
    <w:p w14:paraId="5D4BD2AE" w14:textId="1A776FAF" w:rsidR="00E01163" w:rsidRDefault="00E01163" w:rsidP="00801D28">
      <w:r w:rsidRPr="00B33055">
        <w:t xml:space="preserve">To conclude, when production rate </w:t>
      </w:r>
      <w:r w:rsidR="002B0439">
        <w:t>varies</w:t>
      </w:r>
      <w:r w:rsidR="00B721FC">
        <w:t xml:space="preserve">, </w:t>
      </w:r>
      <w:r w:rsidRPr="00B33055">
        <w:t>average production velocity</w:t>
      </w:r>
      <w:r w:rsidR="00B721FC">
        <w:t xml:space="preserve"> should be used</w:t>
      </w:r>
      <w:r w:rsidRPr="00B33055">
        <w:t xml:space="preserve"> to find the ratio parameter </w:t>
      </w:r>
      <w:r w:rsidRPr="00B33055">
        <w:rPr>
          <w:i/>
        </w:rPr>
        <w:t xml:space="preserve">R </w:t>
      </w:r>
      <w:r w:rsidRPr="00B33055">
        <w:t xml:space="preserve">and include production rate into the integration term as Eq. </w:t>
      </w:r>
      <w:r w:rsidR="00F242D4">
        <w:t>2-</w:t>
      </w:r>
      <w:r w:rsidRPr="00B33055">
        <w:t xml:space="preserve">16. Compared with </w:t>
      </w:r>
      <w:r w:rsidR="0030787B">
        <w:t xml:space="preserve">the </w:t>
      </w:r>
      <w:r w:rsidRPr="00B33055">
        <w:t>base case</w:t>
      </w:r>
      <w:r w:rsidR="0078249D">
        <w:t xml:space="preserve"> (</w:t>
      </w:r>
      <w:r w:rsidR="0078249D">
        <w:fldChar w:fldCharType="begin"/>
      </w:r>
      <w:r w:rsidR="0078249D">
        <w:instrText xml:space="preserve"> REF _Ref491875428 \h </w:instrText>
      </w:r>
      <w:r w:rsidR="0078249D">
        <w:fldChar w:fldCharType="separate"/>
      </w:r>
      <w:r w:rsidR="0078249D">
        <w:t xml:space="preserve">Table </w:t>
      </w:r>
      <w:r w:rsidR="0078249D">
        <w:rPr>
          <w:noProof/>
        </w:rPr>
        <w:t>2</w:t>
      </w:r>
      <w:r w:rsidR="0078249D">
        <w:noBreakHyphen/>
      </w:r>
      <w:r w:rsidR="0078249D">
        <w:rPr>
          <w:noProof/>
        </w:rPr>
        <w:t>5</w:t>
      </w:r>
      <w:r w:rsidR="0078249D">
        <w:fldChar w:fldCharType="end"/>
      </w:r>
      <w:r w:rsidR="0078249D">
        <w:t>)</w:t>
      </w:r>
      <w:r w:rsidRPr="00B33055">
        <w:t xml:space="preserve">, following these modified formulas, </w:t>
      </w:r>
      <w:r w:rsidR="0030787B">
        <w:t xml:space="preserve">a </w:t>
      </w:r>
      <w:r w:rsidRPr="00B33055">
        <w:t>reliable saturation estimation</w:t>
      </w:r>
      <w:r w:rsidR="00295C86">
        <w:t xml:space="preserve"> could still be obtained</w:t>
      </w:r>
      <w:r w:rsidRPr="00B33055">
        <w:t xml:space="preserve">. Additional research is needed to further investigate the error embedded for cases with variable production rate. Nevertheless, </w:t>
      </w:r>
      <w:r w:rsidR="00295C86">
        <w:t>it is</w:t>
      </w:r>
      <w:r w:rsidRPr="00B33055">
        <w:t xml:space="preserve"> recommend</w:t>
      </w:r>
      <w:r w:rsidR="00295C86">
        <w:t>ed to maintain a</w:t>
      </w:r>
      <w:r w:rsidRPr="00B33055">
        <w:t xml:space="preserve"> constant production rate during SWCTT operation. Considering the short production time, this operation is not difficult to achieve.</w:t>
      </w:r>
    </w:p>
    <w:p w14:paraId="40DE5360" w14:textId="77777777" w:rsidR="00F242D4" w:rsidRDefault="00F242D4" w:rsidP="00E01163"/>
    <w:p w14:paraId="2C314E83" w14:textId="77777777" w:rsidR="0078249D" w:rsidRDefault="0078249D" w:rsidP="00E01163"/>
    <w:p w14:paraId="7A9DB9C0" w14:textId="77777777" w:rsidR="0078249D" w:rsidRDefault="0078249D" w:rsidP="00E01163"/>
    <w:p w14:paraId="0FEBE381" w14:textId="77777777" w:rsidR="0078249D" w:rsidRDefault="0078249D" w:rsidP="00E01163"/>
    <w:tbl>
      <w:tblPr>
        <w:tblStyle w:val="TableGrid"/>
        <w:tblW w:w="5814" w:type="dxa"/>
        <w:jc w:val="center"/>
        <w:tblLook w:val="04A0" w:firstRow="1" w:lastRow="0" w:firstColumn="1" w:lastColumn="0" w:noHBand="0" w:noVBand="1"/>
      </w:tblPr>
      <w:tblGrid>
        <w:gridCol w:w="795"/>
        <w:gridCol w:w="1121"/>
        <w:gridCol w:w="1449"/>
        <w:gridCol w:w="1326"/>
        <w:gridCol w:w="1123"/>
      </w:tblGrid>
      <w:tr w:rsidR="0078249D" w14:paraId="38BC22F3" w14:textId="77777777" w:rsidTr="00923C92">
        <w:trPr>
          <w:cantSplit/>
          <w:trHeight w:val="1369"/>
          <w:jc w:val="center"/>
        </w:trPr>
        <w:tc>
          <w:tcPr>
            <w:tcW w:w="795" w:type="dxa"/>
            <w:vMerge w:val="restart"/>
            <w:shd w:val="clear" w:color="auto" w:fill="FFFFFF" w:themeFill="background1"/>
            <w:textDirection w:val="btLr"/>
            <w:vAlign w:val="center"/>
          </w:tcPr>
          <w:p w14:paraId="67837CF0" w14:textId="77777777" w:rsidR="0078249D" w:rsidRPr="00B33055" w:rsidRDefault="0078249D" w:rsidP="00025D67">
            <w:pPr>
              <w:pStyle w:val="StyleFigCaptionBold"/>
              <w:rPr>
                <w:b/>
                <w:color w:val="000000" w:themeColor="text1"/>
              </w:rPr>
            </w:pPr>
          </w:p>
          <w:p w14:paraId="3A5D026B" w14:textId="77777777" w:rsidR="0078249D" w:rsidRPr="00541084" w:rsidRDefault="0078249D" w:rsidP="00BF3F9B">
            <w:pPr>
              <w:pStyle w:val="Caption"/>
              <w:rPr>
                <w:szCs w:val="22"/>
              </w:rPr>
            </w:pPr>
            <w:bookmarkStart w:id="89" w:name="_Ref491875428"/>
            <w:bookmarkStart w:id="90" w:name="_Toc491876556"/>
            <w:bookmarkStart w:id="91" w:name="_Toc494014260"/>
            <w:r w:rsidRPr="00541084">
              <w:rPr>
                <w:szCs w:val="22"/>
              </w:rPr>
              <w:t xml:space="preserve">Table </w:t>
            </w:r>
            <w:r w:rsidR="00A63F01" w:rsidRPr="00541084">
              <w:rPr>
                <w:szCs w:val="22"/>
              </w:rPr>
              <w:fldChar w:fldCharType="begin"/>
            </w:r>
            <w:r w:rsidR="00A63F01" w:rsidRPr="00541084">
              <w:rPr>
                <w:szCs w:val="22"/>
              </w:rPr>
              <w:instrText xml:space="preserve"> STYLEREF 1 \s </w:instrText>
            </w:r>
            <w:r w:rsidR="00A63F01" w:rsidRPr="00541084">
              <w:rPr>
                <w:szCs w:val="22"/>
              </w:rPr>
              <w:fldChar w:fldCharType="separate"/>
            </w:r>
            <w:r w:rsidR="00A67B82" w:rsidRPr="00541084">
              <w:rPr>
                <w:noProof/>
                <w:szCs w:val="22"/>
              </w:rPr>
              <w:t>2</w:t>
            </w:r>
            <w:r w:rsidR="00A63F01" w:rsidRPr="00541084">
              <w:rPr>
                <w:noProof/>
                <w:szCs w:val="22"/>
              </w:rPr>
              <w:fldChar w:fldCharType="end"/>
            </w:r>
            <w:r w:rsidR="00A67B82" w:rsidRPr="00541084">
              <w:rPr>
                <w:szCs w:val="22"/>
              </w:rPr>
              <w:noBreakHyphen/>
            </w:r>
            <w:r w:rsidR="00A63F01" w:rsidRPr="00541084">
              <w:rPr>
                <w:szCs w:val="22"/>
              </w:rPr>
              <w:fldChar w:fldCharType="begin"/>
            </w:r>
            <w:r w:rsidR="00A63F01" w:rsidRPr="00541084">
              <w:rPr>
                <w:szCs w:val="22"/>
              </w:rPr>
              <w:instrText xml:space="preserve"> SEQ Table \* ARABIC \s 1 </w:instrText>
            </w:r>
            <w:r w:rsidR="00A63F01" w:rsidRPr="00541084">
              <w:rPr>
                <w:szCs w:val="22"/>
              </w:rPr>
              <w:fldChar w:fldCharType="separate"/>
            </w:r>
            <w:r w:rsidR="00A67B82" w:rsidRPr="00541084">
              <w:rPr>
                <w:noProof/>
                <w:szCs w:val="22"/>
              </w:rPr>
              <w:t>5</w:t>
            </w:r>
            <w:r w:rsidR="00A63F01" w:rsidRPr="00541084">
              <w:rPr>
                <w:noProof/>
                <w:szCs w:val="22"/>
              </w:rPr>
              <w:fldChar w:fldCharType="end"/>
            </w:r>
            <w:bookmarkEnd w:id="89"/>
            <w:r w:rsidRPr="00541084">
              <w:rPr>
                <w:szCs w:val="22"/>
              </w:rPr>
              <w:t>. Sensitive analysis results of Case 13 to Case 17, compared with base case (Case 3)</w:t>
            </w:r>
            <w:bookmarkEnd w:id="90"/>
            <w:bookmarkEnd w:id="91"/>
          </w:p>
        </w:tc>
        <w:tc>
          <w:tcPr>
            <w:tcW w:w="1121" w:type="dxa"/>
            <w:shd w:val="clear" w:color="auto" w:fill="auto"/>
            <w:textDirection w:val="btLr"/>
            <w:vAlign w:val="center"/>
          </w:tcPr>
          <w:p w14:paraId="1D3286AF" w14:textId="77777777" w:rsidR="0078249D" w:rsidRPr="00D00B44" w:rsidRDefault="0078249D" w:rsidP="00923C92">
            <w:pPr>
              <w:pStyle w:val="TableNormal1"/>
              <w:rPr>
                <w:b/>
              </w:rPr>
            </w:pPr>
            <w:r w:rsidRPr="00D00B44">
              <w:rPr>
                <w:b/>
              </w:rPr>
              <w:t>Base Case (Case 3)</w:t>
            </w:r>
          </w:p>
        </w:tc>
        <w:tc>
          <w:tcPr>
            <w:tcW w:w="1449" w:type="dxa"/>
            <w:shd w:val="clear" w:color="auto" w:fill="auto"/>
            <w:textDirection w:val="btLr"/>
            <w:vAlign w:val="center"/>
          </w:tcPr>
          <w:p w14:paraId="3665A9D0" w14:textId="77777777" w:rsidR="0078249D" w:rsidRPr="002B4743" w:rsidRDefault="0078249D" w:rsidP="00923C92">
            <w:pPr>
              <w:pStyle w:val="TableNormal1"/>
              <w:rPr>
                <w:sz w:val="22"/>
              </w:rPr>
            </w:pPr>
            <w:r w:rsidRPr="002B4743">
              <w:rPr>
                <w:sz w:val="22"/>
              </w:rPr>
              <w:t>-</w:t>
            </w:r>
          </w:p>
        </w:tc>
        <w:tc>
          <w:tcPr>
            <w:tcW w:w="1326" w:type="dxa"/>
            <w:shd w:val="clear" w:color="auto" w:fill="auto"/>
            <w:textDirection w:val="btLr"/>
            <w:vAlign w:val="center"/>
          </w:tcPr>
          <w:p w14:paraId="753059EA" w14:textId="77777777" w:rsidR="0078249D" w:rsidRDefault="0078249D" w:rsidP="00923C92">
            <w:pPr>
              <w:pStyle w:val="TableNormal1"/>
            </w:pPr>
            <w:r>
              <w:t>-</w:t>
            </w:r>
          </w:p>
        </w:tc>
        <w:tc>
          <w:tcPr>
            <w:tcW w:w="1123" w:type="dxa"/>
            <w:shd w:val="clear" w:color="auto" w:fill="auto"/>
            <w:textDirection w:val="btLr"/>
            <w:vAlign w:val="center"/>
          </w:tcPr>
          <w:p w14:paraId="5AF65F8A" w14:textId="77777777" w:rsidR="0078249D" w:rsidRDefault="0078249D" w:rsidP="00923C92">
            <w:pPr>
              <w:pStyle w:val="TableNormal1"/>
            </w:pPr>
            <w:r>
              <w:t>0.69</w:t>
            </w:r>
          </w:p>
        </w:tc>
      </w:tr>
      <w:tr w:rsidR="0078249D" w14:paraId="78679BFC" w14:textId="77777777" w:rsidTr="00923C92">
        <w:trPr>
          <w:cantSplit/>
          <w:trHeight w:val="1743"/>
          <w:jc w:val="center"/>
        </w:trPr>
        <w:tc>
          <w:tcPr>
            <w:tcW w:w="795" w:type="dxa"/>
            <w:vMerge/>
            <w:shd w:val="clear" w:color="auto" w:fill="FFFFFF" w:themeFill="background1"/>
            <w:textDirection w:val="btLr"/>
            <w:vAlign w:val="center"/>
          </w:tcPr>
          <w:p w14:paraId="24959ABF" w14:textId="77777777" w:rsidR="0078249D" w:rsidRDefault="0078249D" w:rsidP="00025D67">
            <w:pPr>
              <w:ind w:left="113" w:right="113"/>
              <w:jc w:val="center"/>
              <w:rPr>
                <w:szCs w:val="22"/>
              </w:rPr>
            </w:pPr>
          </w:p>
        </w:tc>
        <w:tc>
          <w:tcPr>
            <w:tcW w:w="1121" w:type="dxa"/>
            <w:shd w:val="clear" w:color="auto" w:fill="auto"/>
            <w:textDirection w:val="btLr"/>
            <w:vAlign w:val="center"/>
          </w:tcPr>
          <w:p w14:paraId="1A5E5C64" w14:textId="77777777" w:rsidR="0078249D" w:rsidRPr="00D00B44" w:rsidRDefault="0078249D" w:rsidP="00923C92">
            <w:pPr>
              <w:pStyle w:val="TableNormal1"/>
              <w:rPr>
                <w:b/>
              </w:rPr>
            </w:pPr>
            <w:r w:rsidRPr="00D00B44">
              <w:rPr>
                <w:b/>
              </w:rPr>
              <w:t>Case 17</w:t>
            </w:r>
          </w:p>
        </w:tc>
        <w:tc>
          <w:tcPr>
            <w:tcW w:w="1449" w:type="dxa"/>
            <w:vMerge w:val="restart"/>
            <w:shd w:val="clear" w:color="auto" w:fill="auto"/>
            <w:textDirection w:val="btLr"/>
            <w:vAlign w:val="center"/>
          </w:tcPr>
          <w:p w14:paraId="310B3B5A" w14:textId="77777777" w:rsidR="0078249D" w:rsidRPr="002B4743" w:rsidRDefault="0078249D" w:rsidP="00923C92">
            <w:pPr>
              <w:pStyle w:val="TableNormal1"/>
              <w:rPr>
                <w:sz w:val="22"/>
              </w:rPr>
            </w:pPr>
            <w:r w:rsidRPr="002B4743">
              <w:rPr>
                <w:sz w:val="22"/>
              </w:rPr>
              <w:t>Dispersion</w:t>
            </w:r>
          </w:p>
        </w:tc>
        <w:tc>
          <w:tcPr>
            <w:tcW w:w="1326" w:type="dxa"/>
            <w:shd w:val="clear" w:color="auto" w:fill="auto"/>
            <w:textDirection w:val="btLr"/>
            <w:vAlign w:val="center"/>
          </w:tcPr>
          <w:p w14:paraId="16F0A910" w14:textId="77777777" w:rsidR="0078249D" w:rsidRDefault="0078249D" w:rsidP="00923C92">
            <w:pPr>
              <w:pStyle w:val="TableNormal1"/>
            </w:pPr>
            <w:r>
              <w:t>Grid Size=1 ft</w:t>
            </w:r>
          </w:p>
        </w:tc>
        <w:tc>
          <w:tcPr>
            <w:tcW w:w="1123" w:type="dxa"/>
            <w:shd w:val="clear" w:color="auto" w:fill="auto"/>
            <w:textDirection w:val="btLr"/>
            <w:vAlign w:val="center"/>
          </w:tcPr>
          <w:p w14:paraId="29929B96" w14:textId="77777777" w:rsidR="0078249D" w:rsidRDefault="0078249D" w:rsidP="00923C92">
            <w:pPr>
              <w:pStyle w:val="TableNormal1"/>
            </w:pPr>
            <w:r>
              <w:t>0.68</w:t>
            </w:r>
          </w:p>
        </w:tc>
      </w:tr>
      <w:tr w:rsidR="0078249D" w14:paraId="1BE15C48" w14:textId="77777777" w:rsidTr="00923C92">
        <w:trPr>
          <w:cantSplit/>
          <w:trHeight w:val="1812"/>
          <w:jc w:val="center"/>
        </w:trPr>
        <w:tc>
          <w:tcPr>
            <w:tcW w:w="795" w:type="dxa"/>
            <w:vMerge/>
            <w:shd w:val="clear" w:color="auto" w:fill="FFFFFF" w:themeFill="background1"/>
            <w:textDirection w:val="btLr"/>
            <w:vAlign w:val="center"/>
          </w:tcPr>
          <w:p w14:paraId="39D8123A" w14:textId="77777777" w:rsidR="0078249D" w:rsidRDefault="0078249D" w:rsidP="00025D67">
            <w:pPr>
              <w:ind w:left="113" w:right="113"/>
              <w:jc w:val="center"/>
              <w:rPr>
                <w:szCs w:val="22"/>
              </w:rPr>
            </w:pPr>
          </w:p>
        </w:tc>
        <w:tc>
          <w:tcPr>
            <w:tcW w:w="1121" w:type="dxa"/>
            <w:shd w:val="clear" w:color="auto" w:fill="auto"/>
            <w:textDirection w:val="btLr"/>
            <w:vAlign w:val="center"/>
          </w:tcPr>
          <w:p w14:paraId="31400254" w14:textId="77777777" w:rsidR="0078249D" w:rsidRPr="00D00B44" w:rsidRDefault="0078249D" w:rsidP="00923C92">
            <w:pPr>
              <w:pStyle w:val="TableNormal1"/>
              <w:rPr>
                <w:b/>
              </w:rPr>
            </w:pPr>
            <w:r w:rsidRPr="00D00B44">
              <w:rPr>
                <w:b/>
              </w:rPr>
              <w:t>Case 16</w:t>
            </w:r>
          </w:p>
        </w:tc>
        <w:tc>
          <w:tcPr>
            <w:tcW w:w="1449" w:type="dxa"/>
            <w:vMerge/>
            <w:shd w:val="clear" w:color="auto" w:fill="auto"/>
            <w:textDirection w:val="btLr"/>
            <w:vAlign w:val="center"/>
          </w:tcPr>
          <w:p w14:paraId="7FA62063" w14:textId="77777777" w:rsidR="0078249D" w:rsidRPr="002B4743" w:rsidRDefault="0078249D" w:rsidP="00923C92">
            <w:pPr>
              <w:pStyle w:val="TableNormal1"/>
              <w:rPr>
                <w:sz w:val="22"/>
              </w:rPr>
            </w:pPr>
          </w:p>
        </w:tc>
        <w:tc>
          <w:tcPr>
            <w:tcW w:w="1326" w:type="dxa"/>
            <w:shd w:val="clear" w:color="auto" w:fill="auto"/>
            <w:textDirection w:val="btLr"/>
            <w:vAlign w:val="center"/>
          </w:tcPr>
          <w:p w14:paraId="233567EF" w14:textId="77777777" w:rsidR="0078249D" w:rsidRDefault="0078249D" w:rsidP="00923C92">
            <w:pPr>
              <w:pStyle w:val="TableNormal1"/>
            </w:pPr>
            <w:r>
              <w:t>Grid Size=0.5 ft</w:t>
            </w:r>
          </w:p>
        </w:tc>
        <w:tc>
          <w:tcPr>
            <w:tcW w:w="1123" w:type="dxa"/>
            <w:shd w:val="clear" w:color="auto" w:fill="auto"/>
            <w:textDirection w:val="btLr"/>
            <w:vAlign w:val="center"/>
          </w:tcPr>
          <w:p w14:paraId="52E0F9F0" w14:textId="77777777" w:rsidR="0078249D" w:rsidRDefault="0078249D" w:rsidP="00923C92">
            <w:pPr>
              <w:pStyle w:val="TableNormal1"/>
            </w:pPr>
            <w:r>
              <w:t>0.68</w:t>
            </w:r>
          </w:p>
        </w:tc>
      </w:tr>
      <w:tr w:rsidR="0078249D" w14:paraId="5FB6B34A" w14:textId="77777777" w:rsidTr="00923C92">
        <w:trPr>
          <w:cantSplit/>
          <w:trHeight w:val="1627"/>
          <w:jc w:val="center"/>
        </w:trPr>
        <w:tc>
          <w:tcPr>
            <w:tcW w:w="795" w:type="dxa"/>
            <w:vMerge/>
            <w:shd w:val="clear" w:color="auto" w:fill="FFFFFF" w:themeFill="background1"/>
            <w:textDirection w:val="btLr"/>
            <w:vAlign w:val="center"/>
          </w:tcPr>
          <w:p w14:paraId="2F9E05CE" w14:textId="77777777" w:rsidR="0078249D" w:rsidRDefault="0078249D" w:rsidP="00025D67">
            <w:pPr>
              <w:ind w:left="113" w:right="113"/>
              <w:jc w:val="center"/>
              <w:rPr>
                <w:szCs w:val="22"/>
              </w:rPr>
            </w:pPr>
          </w:p>
        </w:tc>
        <w:tc>
          <w:tcPr>
            <w:tcW w:w="1121" w:type="dxa"/>
            <w:shd w:val="clear" w:color="auto" w:fill="auto"/>
            <w:textDirection w:val="btLr"/>
            <w:vAlign w:val="center"/>
          </w:tcPr>
          <w:p w14:paraId="5C518CE5" w14:textId="77777777" w:rsidR="0078249D" w:rsidRPr="00D00B44" w:rsidRDefault="0078249D" w:rsidP="00923C92">
            <w:pPr>
              <w:pStyle w:val="TableNormal1"/>
              <w:rPr>
                <w:b/>
              </w:rPr>
            </w:pPr>
            <w:r w:rsidRPr="00D00B44">
              <w:rPr>
                <w:b/>
              </w:rPr>
              <w:t>Case 15</w:t>
            </w:r>
          </w:p>
        </w:tc>
        <w:tc>
          <w:tcPr>
            <w:tcW w:w="1449" w:type="dxa"/>
            <w:shd w:val="clear" w:color="auto" w:fill="auto"/>
            <w:textDirection w:val="btLr"/>
            <w:vAlign w:val="center"/>
          </w:tcPr>
          <w:p w14:paraId="3F971DF5" w14:textId="77777777" w:rsidR="0078249D" w:rsidRPr="002B4743" w:rsidRDefault="0078249D" w:rsidP="00923C92">
            <w:pPr>
              <w:pStyle w:val="TableNormal1"/>
              <w:rPr>
                <w:sz w:val="22"/>
              </w:rPr>
            </w:pPr>
            <w:r w:rsidRPr="002B4743">
              <w:rPr>
                <w:sz w:val="22"/>
              </w:rPr>
              <w:t>Heterogeneous Oil Saturation</w:t>
            </w:r>
          </w:p>
        </w:tc>
        <w:tc>
          <w:tcPr>
            <w:tcW w:w="1326" w:type="dxa"/>
            <w:shd w:val="clear" w:color="auto" w:fill="auto"/>
            <w:textDirection w:val="btLr"/>
            <w:vAlign w:val="center"/>
          </w:tcPr>
          <w:p w14:paraId="23652802" w14:textId="77777777" w:rsidR="0078249D" w:rsidRDefault="0078249D" w:rsidP="00923C92">
            <w:pPr>
              <w:pStyle w:val="TableNormal1"/>
            </w:pPr>
            <w:r>
              <w:t>Mean=0.7</w:t>
            </w:r>
          </w:p>
          <w:p w14:paraId="7ABC8CB2" w14:textId="77777777" w:rsidR="0078249D" w:rsidRDefault="0078249D" w:rsidP="00923C92">
            <w:pPr>
              <w:pStyle w:val="TableNormal1"/>
            </w:pPr>
            <w:r>
              <w:t>Std=0.15</w:t>
            </w:r>
          </w:p>
        </w:tc>
        <w:tc>
          <w:tcPr>
            <w:tcW w:w="1123" w:type="dxa"/>
            <w:shd w:val="clear" w:color="auto" w:fill="auto"/>
            <w:textDirection w:val="btLr"/>
            <w:vAlign w:val="center"/>
          </w:tcPr>
          <w:p w14:paraId="2E6E7CCE" w14:textId="77777777" w:rsidR="0078249D" w:rsidRDefault="0078249D" w:rsidP="00923C92">
            <w:pPr>
              <w:pStyle w:val="TableNormal1"/>
            </w:pPr>
            <w:r>
              <w:t>0.67</w:t>
            </w:r>
          </w:p>
        </w:tc>
      </w:tr>
      <w:tr w:rsidR="0078249D" w14:paraId="268EB3AE" w14:textId="77777777" w:rsidTr="00923C92">
        <w:trPr>
          <w:cantSplit/>
          <w:trHeight w:val="1706"/>
          <w:jc w:val="center"/>
        </w:trPr>
        <w:tc>
          <w:tcPr>
            <w:tcW w:w="795" w:type="dxa"/>
            <w:vMerge/>
            <w:shd w:val="clear" w:color="auto" w:fill="FFFFFF" w:themeFill="background1"/>
            <w:textDirection w:val="btLr"/>
            <w:vAlign w:val="center"/>
          </w:tcPr>
          <w:p w14:paraId="7F091085" w14:textId="77777777" w:rsidR="0078249D" w:rsidRDefault="0078249D" w:rsidP="00025D67">
            <w:pPr>
              <w:ind w:left="113" w:right="113"/>
              <w:jc w:val="center"/>
              <w:rPr>
                <w:szCs w:val="22"/>
              </w:rPr>
            </w:pPr>
          </w:p>
        </w:tc>
        <w:tc>
          <w:tcPr>
            <w:tcW w:w="1121" w:type="dxa"/>
            <w:shd w:val="clear" w:color="auto" w:fill="auto"/>
            <w:textDirection w:val="btLr"/>
            <w:vAlign w:val="center"/>
          </w:tcPr>
          <w:p w14:paraId="19CBBB13" w14:textId="77777777" w:rsidR="0078249D" w:rsidRPr="00D00B44" w:rsidRDefault="0078249D" w:rsidP="00923C92">
            <w:pPr>
              <w:pStyle w:val="TableNormal1"/>
              <w:rPr>
                <w:b/>
              </w:rPr>
            </w:pPr>
            <w:r w:rsidRPr="00D00B44">
              <w:rPr>
                <w:b/>
              </w:rPr>
              <w:t>Case 14</w:t>
            </w:r>
          </w:p>
        </w:tc>
        <w:tc>
          <w:tcPr>
            <w:tcW w:w="1449" w:type="dxa"/>
            <w:shd w:val="clear" w:color="auto" w:fill="auto"/>
            <w:textDirection w:val="btLr"/>
            <w:vAlign w:val="center"/>
          </w:tcPr>
          <w:p w14:paraId="37D48C03" w14:textId="77777777" w:rsidR="0078249D" w:rsidRPr="002B4743" w:rsidRDefault="0078249D" w:rsidP="00923C92">
            <w:pPr>
              <w:pStyle w:val="TableNormal1"/>
              <w:rPr>
                <w:sz w:val="22"/>
              </w:rPr>
            </w:pPr>
            <w:r w:rsidRPr="002B4743">
              <w:rPr>
                <w:sz w:val="22"/>
              </w:rPr>
              <w:t>Heterogeneous permeability</w:t>
            </w:r>
          </w:p>
        </w:tc>
        <w:tc>
          <w:tcPr>
            <w:tcW w:w="1326" w:type="dxa"/>
            <w:shd w:val="clear" w:color="auto" w:fill="auto"/>
            <w:textDirection w:val="btLr"/>
            <w:vAlign w:val="center"/>
          </w:tcPr>
          <w:p w14:paraId="700C2D32" w14:textId="77777777" w:rsidR="0078249D" w:rsidRDefault="0078249D" w:rsidP="00923C92">
            <w:pPr>
              <w:pStyle w:val="TableNormal1"/>
            </w:pPr>
            <w:r>
              <w:t>Vdp=0.5</w:t>
            </w:r>
          </w:p>
          <w:p w14:paraId="1E2EDCC3" w14:textId="77777777" w:rsidR="0078249D" w:rsidRDefault="0078249D" w:rsidP="00923C92">
            <w:pPr>
              <w:pStyle w:val="TableNormal1"/>
            </w:pPr>
            <w:r>
              <w:t>Mean=1000</w:t>
            </w:r>
          </w:p>
        </w:tc>
        <w:tc>
          <w:tcPr>
            <w:tcW w:w="1123" w:type="dxa"/>
            <w:shd w:val="clear" w:color="auto" w:fill="auto"/>
            <w:textDirection w:val="btLr"/>
            <w:vAlign w:val="center"/>
          </w:tcPr>
          <w:p w14:paraId="06D7F996" w14:textId="77777777" w:rsidR="0078249D" w:rsidRDefault="0078249D" w:rsidP="00923C92">
            <w:pPr>
              <w:pStyle w:val="TableNormal1"/>
            </w:pPr>
            <w:r>
              <w:t>0.68</w:t>
            </w:r>
          </w:p>
        </w:tc>
      </w:tr>
      <w:tr w:rsidR="0078249D" w14:paraId="5615D4E8" w14:textId="77777777" w:rsidTr="00923C92">
        <w:trPr>
          <w:cantSplit/>
          <w:trHeight w:val="1706"/>
          <w:jc w:val="center"/>
        </w:trPr>
        <w:tc>
          <w:tcPr>
            <w:tcW w:w="795" w:type="dxa"/>
            <w:vMerge/>
            <w:shd w:val="clear" w:color="auto" w:fill="FFFFFF" w:themeFill="background1"/>
            <w:textDirection w:val="btLr"/>
            <w:vAlign w:val="center"/>
          </w:tcPr>
          <w:p w14:paraId="4B8FD8ED" w14:textId="77777777" w:rsidR="0078249D" w:rsidRDefault="0078249D" w:rsidP="00025D67">
            <w:pPr>
              <w:ind w:left="113" w:right="113"/>
              <w:jc w:val="center"/>
              <w:rPr>
                <w:szCs w:val="22"/>
              </w:rPr>
            </w:pPr>
          </w:p>
        </w:tc>
        <w:tc>
          <w:tcPr>
            <w:tcW w:w="1121" w:type="dxa"/>
            <w:shd w:val="clear" w:color="auto" w:fill="auto"/>
            <w:textDirection w:val="btLr"/>
            <w:vAlign w:val="center"/>
          </w:tcPr>
          <w:p w14:paraId="6881D735" w14:textId="77777777" w:rsidR="0078249D" w:rsidRPr="00D00B44" w:rsidRDefault="0078249D" w:rsidP="00923C92">
            <w:pPr>
              <w:pStyle w:val="TableNormal1"/>
              <w:rPr>
                <w:b/>
              </w:rPr>
            </w:pPr>
            <w:r w:rsidRPr="00D00B44">
              <w:rPr>
                <w:b/>
              </w:rPr>
              <w:t>Case 13</w:t>
            </w:r>
          </w:p>
        </w:tc>
        <w:tc>
          <w:tcPr>
            <w:tcW w:w="1449" w:type="dxa"/>
            <w:shd w:val="clear" w:color="auto" w:fill="auto"/>
            <w:textDirection w:val="btLr"/>
            <w:vAlign w:val="center"/>
          </w:tcPr>
          <w:p w14:paraId="582A07A9" w14:textId="77777777" w:rsidR="0078249D" w:rsidRPr="002B4743" w:rsidRDefault="0078249D" w:rsidP="00923C92">
            <w:pPr>
              <w:pStyle w:val="TableNormal1"/>
              <w:rPr>
                <w:sz w:val="22"/>
              </w:rPr>
            </w:pPr>
            <w:r w:rsidRPr="002B4743">
              <w:rPr>
                <w:sz w:val="22"/>
              </w:rPr>
              <w:t>Variable Production Rate</w:t>
            </w:r>
          </w:p>
        </w:tc>
        <w:tc>
          <w:tcPr>
            <w:tcW w:w="1326" w:type="dxa"/>
            <w:shd w:val="clear" w:color="auto" w:fill="auto"/>
            <w:textDirection w:val="btLr"/>
            <w:vAlign w:val="center"/>
          </w:tcPr>
          <w:p w14:paraId="5F74BE73" w14:textId="77777777" w:rsidR="0078249D" w:rsidRDefault="0078249D" w:rsidP="00923C92">
            <w:pPr>
              <w:pStyle w:val="TableNormal1"/>
            </w:pPr>
            <w:r>
              <w:t>Constant BHP at 4700 psi</w:t>
            </w:r>
          </w:p>
        </w:tc>
        <w:tc>
          <w:tcPr>
            <w:tcW w:w="1123" w:type="dxa"/>
            <w:shd w:val="clear" w:color="auto" w:fill="auto"/>
            <w:textDirection w:val="btLr"/>
            <w:vAlign w:val="center"/>
          </w:tcPr>
          <w:p w14:paraId="1CBB3CBD" w14:textId="77777777" w:rsidR="0078249D" w:rsidRDefault="0078249D" w:rsidP="00923C92">
            <w:pPr>
              <w:pStyle w:val="TableNormal1"/>
            </w:pPr>
            <w:r>
              <w:t>0.69</w:t>
            </w:r>
          </w:p>
        </w:tc>
      </w:tr>
      <w:tr w:rsidR="0078249D" w14:paraId="17262D46" w14:textId="77777777" w:rsidTr="00923C92">
        <w:trPr>
          <w:cantSplit/>
          <w:trHeight w:val="2505"/>
          <w:jc w:val="center"/>
        </w:trPr>
        <w:tc>
          <w:tcPr>
            <w:tcW w:w="795" w:type="dxa"/>
            <w:vMerge/>
            <w:shd w:val="clear" w:color="auto" w:fill="FFFFFF" w:themeFill="background1"/>
            <w:textDirection w:val="btLr"/>
            <w:vAlign w:val="center"/>
          </w:tcPr>
          <w:p w14:paraId="1E95B59B" w14:textId="77777777" w:rsidR="0078249D" w:rsidRDefault="0078249D" w:rsidP="00025D67">
            <w:pPr>
              <w:ind w:left="113" w:right="113"/>
              <w:jc w:val="center"/>
              <w:rPr>
                <w:szCs w:val="22"/>
              </w:rPr>
            </w:pPr>
          </w:p>
        </w:tc>
        <w:tc>
          <w:tcPr>
            <w:tcW w:w="1121" w:type="dxa"/>
            <w:shd w:val="clear" w:color="auto" w:fill="auto"/>
            <w:textDirection w:val="btLr"/>
            <w:vAlign w:val="center"/>
          </w:tcPr>
          <w:p w14:paraId="7064AF4E" w14:textId="77777777" w:rsidR="0078249D" w:rsidRDefault="0078249D" w:rsidP="00923C92">
            <w:pPr>
              <w:pStyle w:val="TableNormal1"/>
            </w:pPr>
          </w:p>
        </w:tc>
        <w:tc>
          <w:tcPr>
            <w:tcW w:w="1449" w:type="dxa"/>
            <w:shd w:val="clear" w:color="auto" w:fill="auto"/>
            <w:textDirection w:val="btLr"/>
            <w:vAlign w:val="center"/>
          </w:tcPr>
          <w:p w14:paraId="61A645C9" w14:textId="77777777" w:rsidR="0078249D" w:rsidRDefault="0078249D" w:rsidP="00923C92">
            <w:pPr>
              <w:pStyle w:val="TableNormal1"/>
            </w:pPr>
            <w:r w:rsidRPr="00B33055">
              <w:rPr>
                <w:rFonts w:ascii="Calibri" w:hAnsi="Calibri"/>
                <w:b/>
                <w:bCs/>
                <w:color w:val="000000" w:themeColor="text1"/>
                <w:sz w:val="22"/>
              </w:rPr>
              <w:t>Investigating Subject</w:t>
            </w:r>
          </w:p>
        </w:tc>
        <w:tc>
          <w:tcPr>
            <w:tcW w:w="1326" w:type="dxa"/>
            <w:shd w:val="clear" w:color="auto" w:fill="auto"/>
            <w:textDirection w:val="btLr"/>
            <w:vAlign w:val="center"/>
          </w:tcPr>
          <w:p w14:paraId="42D01300" w14:textId="77777777" w:rsidR="0078249D" w:rsidRDefault="0078249D" w:rsidP="00923C92">
            <w:pPr>
              <w:pStyle w:val="TableNormal1"/>
            </w:pPr>
            <w:r w:rsidRPr="00B33055">
              <w:rPr>
                <w:rFonts w:ascii="Calibri" w:hAnsi="Calibri"/>
                <w:b/>
                <w:bCs/>
                <w:color w:val="000000" w:themeColor="text1"/>
                <w:sz w:val="22"/>
              </w:rPr>
              <w:t>Controlling Parameter</w:t>
            </w:r>
          </w:p>
        </w:tc>
        <w:tc>
          <w:tcPr>
            <w:tcW w:w="1123" w:type="dxa"/>
            <w:shd w:val="clear" w:color="auto" w:fill="auto"/>
            <w:textDirection w:val="btLr"/>
            <w:vAlign w:val="center"/>
          </w:tcPr>
          <w:p w14:paraId="4375BED1" w14:textId="77777777" w:rsidR="0078249D" w:rsidRPr="00B33055" w:rsidRDefault="0078249D" w:rsidP="00923C92">
            <w:pPr>
              <w:pStyle w:val="TableNormal1"/>
              <w:rPr>
                <w:rFonts w:ascii="Calibri" w:hAnsi="Calibri"/>
                <w:b/>
                <w:bCs/>
                <w:color w:val="000000" w:themeColor="text1"/>
                <w:sz w:val="22"/>
              </w:rPr>
            </w:pPr>
            <w:r w:rsidRPr="00B33055">
              <w:rPr>
                <w:rFonts w:ascii="Calibri" w:hAnsi="Calibri"/>
                <w:b/>
                <w:bCs/>
                <w:color w:val="000000" w:themeColor="text1"/>
                <w:sz w:val="22"/>
              </w:rPr>
              <w:t>Calculated S</w:t>
            </w:r>
            <w:r w:rsidRPr="00B33055">
              <w:rPr>
                <w:rFonts w:ascii="Calibri" w:hAnsi="Calibri"/>
                <w:b/>
                <w:bCs/>
                <w:color w:val="000000" w:themeColor="text1"/>
                <w:sz w:val="22"/>
                <w:vertAlign w:val="subscript"/>
              </w:rPr>
              <w:t xml:space="preserve">o </w:t>
            </w:r>
            <w:r w:rsidRPr="00B33055">
              <w:rPr>
                <w:rFonts w:ascii="Calibri" w:hAnsi="Calibri"/>
                <w:b/>
                <w:bCs/>
                <w:color w:val="000000" w:themeColor="text1"/>
                <w:sz w:val="22"/>
              </w:rPr>
              <w:t xml:space="preserve">through </w:t>
            </w:r>
            <w:r>
              <w:rPr>
                <w:rFonts w:ascii="Calibri" w:hAnsi="Calibri"/>
                <w:b/>
                <w:bCs/>
                <w:color w:val="000000" w:themeColor="text1"/>
                <w:sz w:val="22"/>
              </w:rPr>
              <w:t>Modified MoM</w:t>
            </w:r>
          </w:p>
        </w:tc>
      </w:tr>
    </w:tbl>
    <w:p w14:paraId="2EA385A3" w14:textId="77777777" w:rsidR="0078249D" w:rsidRPr="00B33055" w:rsidRDefault="0078249D" w:rsidP="00E01163"/>
    <w:p w14:paraId="524A8253" w14:textId="77777777" w:rsidR="00F242D4" w:rsidRPr="00B33055" w:rsidRDefault="00F242D4" w:rsidP="009C12AD">
      <w:pPr>
        <w:pStyle w:val="Heading3"/>
      </w:pPr>
      <w:bookmarkStart w:id="92" w:name="_Toc491875877"/>
      <w:bookmarkStart w:id="93" w:name="_Toc491876436"/>
      <w:bookmarkStart w:id="94" w:name="_Toc494014205"/>
      <w:r w:rsidRPr="00B33055">
        <w:lastRenderedPageBreak/>
        <w:t>Impact of Heterogeneous Permeability</w:t>
      </w:r>
      <w:bookmarkEnd w:id="92"/>
      <w:bookmarkEnd w:id="93"/>
      <w:bookmarkEnd w:id="94"/>
    </w:p>
    <w:p w14:paraId="0F768844" w14:textId="1DA102CD" w:rsidR="00F242D4" w:rsidRPr="00B33055" w:rsidRDefault="00F242D4" w:rsidP="00F242D4">
      <w:r w:rsidRPr="00B33055">
        <w:t>Case 14 had</w:t>
      </w:r>
      <w:r w:rsidR="0030787B">
        <w:t xml:space="preserve"> a</w:t>
      </w:r>
      <w:r w:rsidRPr="00B33055">
        <w:t xml:space="preserve"> heterogeneous permeability field. The average permeability is same with </w:t>
      </w:r>
      <w:r w:rsidR="0030787B">
        <w:t xml:space="preserve">the </w:t>
      </w:r>
      <w:r w:rsidR="00295C86">
        <w:t xml:space="preserve">base case (Case 3) as 1000 md. </w:t>
      </w:r>
      <w:r w:rsidRPr="00B33055">
        <w:t>Dykstra-Parson coefficient V</w:t>
      </w:r>
      <w:r w:rsidRPr="00B33055">
        <w:rPr>
          <w:vertAlign w:val="subscript"/>
        </w:rPr>
        <w:t xml:space="preserve">Dp </w:t>
      </w:r>
      <w:r w:rsidRPr="00B33055">
        <w:t xml:space="preserve">is </w:t>
      </w:r>
      <w:r w:rsidR="00295C86">
        <w:t xml:space="preserve">assumed as </w:t>
      </w:r>
      <w:r w:rsidRPr="00B33055">
        <w:t>0.5. Other parameters were the same with the base case.  V</w:t>
      </w:r>
      <w:r w:rsidRPr="00B33055">
        <w:rPr>
          <w:vertAlign w:val="subscript"/>
        </w:rPr>
        <w:t>Dp</w:t>
      </w:r>
      <w:r w:rsidRPr="00B33055">
        <w:t xml:space="preserve"> can be expressed by: </w:t>
      </w:r>
    </w:p>
    <w:p w14:paraId="51565193" w14:textId="77777777" w:rsidR="00F242D4" w:rsidRPr="00B33055" w:rsidRDefault="00A53410" w:rsidP="00F242D4">
      <w:pPr>
        <w:rPr>
          <w:rFonts w:ascii="Cambria Math" w:hAnsi="Cambria Math"/>
        </w:rPr>
      </w:pP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Dp</m:t>
            </m:r>
          </m:sub>
        </m:sSub>
        <m:r>
          <m:rPr>
            <m:sty m:val="p"/>
          </m:rPr>
          <w:rPr>
            <w:rFonts w:ascii="Cambria Math" w:hAnsi="Cambria Math"/>
          </w:rPr>
          <m:t>=1-exp⁡(-σ)</m:t>
        </m:r>
      </m:oMath>
      <w:r w:rsidR="00F242D4" w:rsidRPr="00B33055">
        <w:rPr>
          <w:rFonts w:ascii="Cambria Math" w:hAnsi="Cambria Math"/>
        </w:rPr>
        <w:tab/>
        <w:t>(18)</w:t>
      </w:r>
    </w:p>
    <w:p w14:paraId="77844911" w14:textId="0AED1D57" w:rsidR="00F242D4" w:rsidRDefault="00F242D4" w:rsidP="00F242D4">
      <w:pPr>
        <w:rPr>
          <w:szCs w:val="22"/>
        </w:rPr>
      </w:pPr>
      <w:r w:rsidRPr="00B33055">
        <w:rPr>
          <w:szCs w:val="22"/>
        </w:rPr>
        <w:t xml:space="preserve">Where, </w:t>
      </w:r>
      <m:oMath>
        <m:r>
          <m:rPr>
            <m:sty m:val="p"/>
          </m:rPr>
          <w:rPr>
            <w:rFonts w:ascii="Cambria Math" w:hAnsi="Cambria Math"/>
            <w:szCs w:val="22"/>
          </w:rPr>
          <m:t>σ</m:t>
        </m:r>
      </m:oMath>
      <w:r w:rsidRPr="00B33055">
        <w:rPr>
          <w:szCs w:val="22"/>
        </w:rPr>
        <w:t xml:space="preserve"> is the standard deviation of </w:t>
      </w:r>
      <w:r w:rsidRPr="00B33055">
        <w:rPr>
          <w:i/>
          <w:szCs w:val="22"/>
        </w:rPr>
        <w:t>ln(k)</w:t>
      </w:r>
      <w:r w:rsidRPr="00B33055">
        <w:rPr>
          <w:szCs w:val="22"/>
        </w:rPr>
        <w:t>. In other words, in log</w:t>
      </w:r>
      <w:r w:rsidR="0030787B">
        <w:rPr>
          <w:szCs w:val="22"/>
        </w:rPr>
        <w:t>arithm</w:t>
      </w:r>
      <w:r w:rsidRPr="00B33055">
        <w:rPr>
          <w:szCs w:val="22"/>
        </w:rPr>
        <w:t xml:space="preserve"> scale, permeability </w:t>
      </w:r>
      <w:r w:rsidR="00304B8E">
        <w:rPr>
          <w:szCs w:val="22"/>
        </w:rPr>
        <w:t>was assumed to follow</w:t>
      </w:r>
      <w:r w:rsidRPr="00B33055">
        <w:rPr>
          <w:szCs w:val="22"/>
        </w:rPr>
        <w:t xml:space="preserve"> a normal distribution with mean of 6.91 (</w:t>
      </w:r>
      <m:oMath>
        <m:r>
          <m:rPr>
            <m:sty m:val="p"/>
          </m:rPr>
          <w:rPr>
            <w:rFonts w:ascii="Cambria Math" w:hAnsi="Cambria Math"/>
            <w:szCs w:val="22"/>
          </w:rPr>
          <m:t>mean</m:t>
        </m:r>
        <m:r>
          <w:rPr>
            <w:rFonts w:ascii="Cambria Math" w:hAnsi="Cambria Math"/>
            <w:szCs w:val="22"/>
          </w:rPr>
          <m:t>=ln(1000)</m:t>
        </m:r>
      </m:oMath>
      <w:r w:rsidRPr="00B33055">
        <w:rPr>
          <w:szCs w:val="22"/>
        </w:rPr>
        <w:t>) and standard deviation of 0.69 (</w:t>
      </w:r>
      <m:oMath>
        <m:r>
          <m:rPr>
            <m:sty m:val="p"/>
          </m:rPr>
          <w:rPr>
            <w:rFonts w:ascii="Cambria Math" w:hAnsi="Cambria Math"/>
            <w:szCs w:val="22"/>
          </w:rPr>
          <m:t>std</m:t>
        </m:r>
        <m:r>
          <w:rPr>
            <w:rFonts w:ascii="Cambria Math" w:hAnsi="Cambria Math"/>
            <w:szCs w:val="22"/>
          </w:rPr>
          <m:t>=-</m:t>
        </m:r>
        <m:r>
          <m:rPr>
            <m:sty m:val="p"/>
          </m:rPr>
          <w:rPr>
            <w:rFonts w:ascii="Cambria Math" w:hAnsi="Cambria Math"/>
            <w:szCs w:val="22"/>
          </w:rPr>
          <m:t>ln⁡</m:t>
        </m:r>
        <m:r>
          <w:rPr>
            <w:rFonts w:ascii="Cambria Math" w:hAnsi="Cambria Math"/>
            <w:szCs w:val="22"/>
          </w:rPr>
          <m:t>(1-</m:t>
        </m:r>
        <m:sSub>
          <m:sSubPr>
            <m:ctrlPr>
              <w:rPr>
                <w:rFonts w:ascii="Cambria Math" w:hAnsi="Cambria Math"/>
                <w:i/>
                <w:szCs w:val="22"/>
              </w:rPr>
            </m:ctrlPr>
          </m:sSubPr>
          <m:e>
            <m:r>
              <w:rPr>
                <w:rFonts w:ascii="Cambria Math" w:hAnsi="Cambria Math"/>
                <w:szCs w:val="22"/>
              </w:rPr>
              <m:t>V</m:t>
            </m:r>
          </m:e>
          <m:sub>
            <m:r>
              <w:rPr>
                <w:rFonts w:ascii="Cambria Math" w:hAnsi="Cambria Math"/>
                <w:szCs w:val="22"/>
              </w:rPr>
              <m:t>Dp</m:t>
            </m:r>
          </m:sub>
        </m:sSub>
        <m:r>
          <w:rPr>
            <w:rFonts w:ascii="Cambria Math" w:hAnsi="Cambria Math"/>
            <w:szCs w:val="22"/>
          </w:rPr>
          <m:t>)=-</m:t>
        </m:r>
        <m:r>
          <m:rPr>
            <m:sty m:val="p"/>
          </m:rPr>
          <w:rPr>
            <w:rFonts w:ascii="Cambria Math" w:hAnsi="Cambria Math"/>
            <w:szCs w:val="22"/>
          </w:rPr>
          <m:t>ln⁡</m:t>
        </m:r>
        <m:r>
          <w:rPr>
            <w:rFonts w:ascii="Cambria Math" w:hAnsi="Cambria Math"/>
            <w:szCs w:val="22"/>
          </w:rPr>
          <m:t>(0.5</m:t>
        </m:r>
      </m:oMath>
      <w:r w:rsidRPr="00B33055">
        <w:rPr>
          <w:szCs w:val="22"/>
        </w:rPr>
        <w:t xml:space="preserve">)). </w:t>
      </w:r>
      <w:r w:rsidR="00295C86">
        <w:rPr>
          <w:szCs w:val="22"/>
        </w:rPr>
        <w:t>E</w:t>
      </w:r>
      <w:r w:rsidRPr="00B33055">
        <w:rPr>
          <w:szCs w:val="22"/>
        </w:rPr>
        <w:t xml:space="preserve">ach grid </w:t>
      </w:r>
      <w:r w:rsidR="00295C86">
        <w:rPr>
          <w:szCs w:val="22"/>
        </w:rPr>
        <w:t xml:space="preserve">was assigned </w:t>
      </w:r>
      <w:r w:rsidRPr="00B33055">
        <w:rPr>
          <w:szCs w:val="22"/>
        </w:rPr>
        <w:t>with a permeability foll</w:t>
      </w:r>
      <w:r w:rsidR="00B309BA">
        <w:rPr>
          <w:szCs w:val="22"/>
        </w:rPr>
        <w:t>owing such distribution (</w:t>
      </w:r>
      <w:r w:rsidR="00B309BA">
        <w:rPr>
          <w:szCs w:val="22"/>
        </w:rPr>
        <w:fldChar w:fldCharType="begin"/>
      </w:r>
      <w:r w:rsidR="00B309BA">
        <w:rPr>
          <w:szCs w:val="22"/>
        </w:rPr>
        <w:instrText xml:space="preserve"> REF _Ref491872991 \h </w:instrText>
      </w:r>
      <w:r w:rsidR="00B309BA">
        <w:rPr>
          <w:szCs w:val="22"/>
        </w:rPr>
      </w:r>
      <w:r w:rsidR="00B309BA">
        <w:rPr>
          <w:szCs w:val="22"/>
        </w:rPr>
        <w:fldChar w:fldCharType="separate"/>
      </w:r>
      <w:r w:rsidR="00304B8E" w:rsidRPr="00541084">
        <w:rPr>
          <w:szCs w:val="22"/>
        </w:rPr>
        <w:t xml:space="preserve">Figure </w:t>
      </w:r>
      <w:r w:rsidR="00304B8E">
        <w:rPr>
          <w:noProof/>
          <w:szCs w:val="22"/>
        </w:rPr>
        <w:t>2</w:t>
      </w:r>
      <w:r w:rsidR="00304B8E">
        <w:rPr>
          <w:szCs w:val="22"/>
        </w:rPr>
        <w:noBreakHyphen/>
      </w:r>
      <w:r w:rsidR="00304B8E">
        <w:rPr>
          <w:noProof/>
          <w:szCs w:val="22"/>
        </w:rPr>
        <w:t>11</w:t>
      </w:r>
      <w:r w:rsidR="00B309BA">
        <w:rPr>
          <w:szCs w:val="22"/>
        </w:rPr>
        <w:fldChar w:fldCharType="end"/>
      </w:r>
      <w:r w:rsidRPr="00B33055">
        <w:rPr>
          <w:szCs w:val="22"/>
        </w:rPr>
        <w:t xml:space="preserve">) and run the simulation. The calculated saturation is displayed in </w:t>
      </w:r>
      <w:r w:rsidR="0078249D">
        <w:rPr>
          <w:szCs w:val="22"/>
        </w:rPr>
        <w:fldChar w:fldCharType="begin"/>
      </w:r>
      <w:r w:rsidR="0078249D">
        <w:rPr>
          <w:szCs w:val="22"/>
        </w:rPr>
        <w:instrText xml:space="preserve"> REF _Ref491875428 \h </w:instrText>
      </w:r>
      <w:r w:rsidR="0078249D">
        <w:rPr>
          <w:szCs w:val="22"/>
        </w:rPr>
      </w:r>
      <w:r w:rsidR="0078249D">
        <w:rPr>
          <w:szCs w:val="22"/>
        </w:rPr>
        <w:fldChar w:fldCharType="separate"/>
      </w:r>
      <w:r w:rsidR="00304B8E" w:rsidRPr="00541084">
        <w:rPr>
          <w:szCs w:val="22"/>
        </w:rPr>
        <w:t xml:space="preserve">Table </w:t>
      </w:r>
      <w:r w:rsidR="00304B8E" w:rsidRPr="00541084">
        <w:rPr>
          <w:noProof/>
          <w:szCs w:val="22"/>
        </w:rPr>
        <w:t>2</w:t>
      </w:r>
      <w:r w:rsidR="00304B8E" w:rsidRPr="00541084">
        <w:rPr>
          <w:szCs w:val="22"/>
        </w:rPr>
        <w:noBreakHyphen/>
      </w:r>
      <w:r w:rsidR="00304B8E" w:rsidRPr="00541084">
        <w:rPr>
          <w:noProof/>
          <w:szCs w:val="22"/>
        </w:rPr>
        <w:t>5</w:t>
      </w:r>
      <w:r w:rsidR="0078249D">
        <w:rPr>
          <w:szCs w:val="22"/>
        </w:rPr>
        <w:fldChar w:fldCharType="end"/>
      </w:r>
      <w:r w:rsidRPr="00B33055">
        <w:rPr>
          <w:szCs w:val="22"/>
        </w:rPr>
        <w:t xml:space="preserve">. It shows that </w:t>
      </w:r>
      <w:r w:rsidR="00304B8E">
        <w:rPr>
          <w:szCs w:val="22"/>
        </w:rPr>
        <w:t>the</w:t>
      </w:r>
      <w:r w:rsidRPr="00B33055">
        <w:rPr>
          <w:szCs w:val="22"/>
        </w:rPr>
        <w:t xml:space="preserve"> proposed approach also works in </w:t>
      </w:r>
      <w:r w:rsidR="0030787B">
        <w:rPr>
          <w:szCs w:val="22"/>
        </w:rPr>
        <w:t xml:space="preserve">the </w:t>
      </w:r>
      <w:r w:rsidRPr="00B33055">
        <w:rPr>
          <w:szCs w:val="22"/>
        </w:rPr>
        <w:t xml:space="preserve">heterogeneous permeability field. Tracers </w:t>
      </w:r>
      <w:r w:rsidR="0068396E">
        <w:rPr>
          <w:szCs w:val="22"/>
        </w:rPr>
        <w:t>are</w:t>
      </w:r>
      <w:r w:rsidRPr="00B33055">
        <w:rPr>
          <w:szCs w:val="22"/>
        </w:rPr>
        <w:t xml:space="preserve"> pushed farther in larger permeability zone due to the high velocity. However, they will return to the producer at the same time with the tracers injected into lower permeability zone. The reversibility is desirable in SWCTT as just explained (Dean and </w:t>
      </w:r>
      <w:r w:rsidRPr="00B33055">
        <w:t>Carlisle1988)</w:t>
      </w:r>
      <w:r w:rsidRPr="00B33055">
        <w:rPr>
          <w:szCs w:val="22"/>
        </w:rPr>
        <w:t xml:space="preserve">, which makes the heterogeneous permeability not a big problem.  </w:t>
      </w:r>
    </w:p>
    <w:p w14:paraId="28F41B1F" w14:textId="77777777" w:rsidR="0049556B" w:rsidRDefault="0049556B" w:rsidP="00F242D4">
      <w:pPr>
        <w:rPr>
          <w:szCs w:val="22"/>
        </w:rPr>
      </w:pPr>
    </w:p>
    <w:p w14:paraId="37C1372C" w14:textId="77777777" w:rsidR="0049556B" w:rsidRDefault="0049556B" w:rsidP="00F242D4">
      <w:pPr>
        <w:rPr>
          <w:szCs w:val="22"/>
        </w:rPr>
      </w:pPr>
    </w:p>
    <w:p w14:paraId="0A6E74B2" w14:textId="77777777" w:rsidR="0049556B" w:rsidRDefault="0049556B" w:rsidP="00F242D4">
      <w:pPr>
        <w:rPr>
          <w:szCs w:val="22"/>
        </w:rPr>
      </w:pPr>
    </w:p>
    <w:p w14:paraId="4A7F7EBF" w14:textId="77777777" w:rsidR="0049556B" w:rsidRDefault="0049556B" w:rsidP="00F242D4">
      <w:pPr>
        <w:rPr>
          <w:szCs w:val="22"/>
        </w:rPr>
      </w:pPr>
    </w:p>
    <w:p w14:paraId="182E3410" w14:textId="77777777" w:rsidR="0049556B" w:rsidRDefault="0049556B" w:rsidP="00F242D4">
      <w:pPr>
        <w:rPr>
          <w:szCs w:val="22"/>
        </w:rPr>
      </w:pPr>
    </w:p>
    <w:p w14:paraId="3F901903" w14:textId="77777777" w:rsidR="0049556B" w:rsidRDefault="0049556B" w:rsidP="00F242D4">
      <w:pPr>
        <w:rPr>
          <w:szCs w:val="22"/>
        </w:rPr>
      </w:pPr>
    </w:p>
    <w:p w14:paraId="161C61B5" w14:textId="77777777" w:rsidR="0049556B" w:rsidRDefault="0049556B" w:rsidP="00F242D4">
      <w:pPr>
        <w:rPr>
          <w:szCs w:val="22"/>
        </w:rPr>
      </w:pPr>
    </w:p>
    <w:p w14:paraId="59DD1985" w14:textId="77777777" w:rsidR="00B309BA" w:rsidRDefault="00B309BA" w:rsidP="00923C92">
      <w:pPr>
        <w:pStyle w:val="TableNormal1"/>
      </w:pPr>
      <w:r w:rsidRPr="00B33055">
        <w:lastRenderedPageBreak/>
        <w:drawing>
          <wp:inline distT="0" distB="0" distL="0" distR="0" wp14:anchorId="6AE81992" wp14:editId="6529E5E8">
            <wp:extent cx="5120640" cy="3713828"/>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tero Perm Fiel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24195" cy="3716406"/>
                    </a:xfrm>
                    <a:prstGeom prst="rect">
                      <a:avLst/>
                    </a:prstGeom>
                  </pic:spPr>
                </pic:pic>
              </a:graphicData>
            </a:graphic>
          </wp:inline>
        </w:drawing>
      </w:r>
    </w:p>
    <w:p w14:paraId="1228E912" w14:textId="11A284F6" w:rsidR="00B309BA" w:rsidRPr="00541084" w:rsidRDefault="00B309BA" w:rsidP="00BF3F9B">
      <w:pPr>
        <w:pStyle w:val="Caption"/>
        <w:rPr>
          <w:szCs w:val="22"/>
        </w:rPr>
      </w:pPr>
      <w:bookmarkStart w:id="95" w:name="_Ref491872991"/>
      <w:bookmarkStart w:id="96" w:name="_Toc495144720"/>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2</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11</w:t>
      </w:r>
      <w:r w:rsidR="00280FFF">
        <w:rPr>
          <w:szCs w:val="22"/>
        </w:rPr>
        <w:fldChar w:fldCharType="end"/>
      </w:r>
      <w:bookmarkEnd w:id="95"/>
      <w:r w:rsidRPr="00541084">
        <w:rPr>
          <w:szCs w:val="22"/>
        </w:rPr>
        <w:t>. Heterogeneous permeability field, zoom in near wellbore. Mean=1000 md, V</w:t>
      </w:r>
      <w:r w:rsidRPr="00541084">
        <w:rPr>
          <w:szCs w:val="22"/>
          <w:vertAlign w:val="subscript"/>
        </w:rPr>
        <w:t>Dp</w:t>
      </w:r>
      <w:r w:rsidRPr="00541084">
        <w:rPr>
          <w:szCs w:val="22"/>
        </w:rPr>
        <w:t>=0.5.</w:t>
      </w:r>
      <w:bookmarkEnd w:id="96"/>
    </w:p>
    <w:p w14:paraId="468224A4" w14:textId="77777777" w:rsidR="00B309BA" w:rsidRPr="00B33055" w:rsidRDefault="00B309BA" w:rsidP="00F242D4">
      <w:pPr>
        <w:rPr>
          <w:szCs w:val="22"/>
        </w:rPr>
      </w:pPr>
    </w:p>
    <w:p w14:paraId="09C47DE6" w14:textId="77777777" w:rsidR="00F242D4" w:rsidRPr="00B33055" w:rsidRDefault="00F242D4" w:rsidP="00F242D4">
      <w:pPr>
        <w:pStyle w:val="para1"/>
        <w:rPr>
          <w:color w:val="000000" w:themeColor="text1"/>
        </w:rPr>
      </w:pPr>
    </w:p>
    <w:p w14:paraId="521E9D9F" w14:textId="77777777" w:rsidR="00F242D4" w:rsidRPr="00B33055" w:rsidRDefault="00F242D4" w:rsidP="009C12AD">
      <w:pPr>
        <w:pStyle w:val="Heading3"/>
      </w:pPr>
      <w:bookmarkStart w:id="97" w:name="_Toc491875878"/>
      <w:bookmarkStart w:id="98" w:name="_Toc491876437"/>
      <w:bookmarkStart w:id="99" w:name="_Toc494014206"/>
      <w:r w:rsidRPr="00B33055">
        <w:t>Impact of Heterogeneous Oil Saturation</w:t>
      </w:r>
      <w:bookmarkEnd w:id="97"/>
      <w:bookmarkEnd w:id="98"/>
      <w:bookmarkEnd w:id="99"/>
    </w:p>
    <w:p w14:paraId="7B91B805" w14:textId="44D3D8BF" w:rsidR="00F242D4" w:rsidRDefault="00F242D4" w:rsidP="00F242D4">
      <w:r w:rsidRPr="00B33055">
        <w:t>Similar to</w:t>
      </w:r>
      <w:r w:rsidR="0030787B">
        <w:t xml:space="preserve"> the</w:t>
      </w:r>
      <w:r w:rsidRPr="00B33055">
        <w:t xml:space="preserve"> heterogeneous permeability case, a heterogeneous oil saturation field </w:t>
      </w:r>
      <w:r w:rsidR="00295C86">
        <w:t xml:space="preserve">was created </w:t>
      </w:r>
      <w:r w:rsidRPr="00B33055">
        <w:t>in Case 15. It follows normal distribution with mean of 0.7 and sta</w:t>
      </w:r>
      <w:r w:rsidR="00B309BA">
        <w:t>ndard deviation of 0.15 (</w:t>
      </w:r>
      <w:r w:rsidR="00B309BA">
        <w:fldChar w:fldCharType="begin"/>
      </w:r>
      <w:r w:rsidR="00B309BA">
        <w:instrText xml:space="preserve"> REF _Ref491873054 \h </w:instrText>
      </w:r>
      <w:r w:rsidR="00B309BA">
        <w:fldChar w:fldCharType="separate"/>
      </w:r>
      <w:r w:rsidR="00304B8E" w:rsidRPr="00541084">
        <w:rPr>
          <w:szCs w:val="22"/>
        </w:rPr>
        <w:t xml:space="preserve">Figure </w:t>
      </w:r>
      <w:r w:rsidR="00304B8E">
        <w:rPr>
          <w:noProof/>
          <w:szCs w:val="22"/>
        </w:rPr>
        <w:t>2</w:t>
      </w:r>
      <w:r w:rsidR="00304B8E">
        <w:rPr>
          <w:szCs w:val="22"/>
        </w:rPr>
        <w:noBreakHyphen/>
      </w:r>
      <w:r w:rsidR="00304B8E">
        <w:rPr>
          <w:noProof/>
          <w:szCs w:val="22"/>
        </w:rPr>
        <w:t>12</w:t>
      </w:r>
      <w:r w:rsidR="00B309BA">
        <w:fldChar w:fldCharType="end"/>
      </w:r>
      <w:r w:rsidRPr="00B33055">
        <w:t>).  The permeability was homogeneous and the fraction of injected oil/mixture was iden</w:t>
      </w:r>
      <w:r w:rsidR="00B309BA">
        <w:t xml:space="preserve">tical with the base case. </w:t>
      </w:r>
      <w:r w:rsidR="00B309BA">
        <w:fldChar w:fldCharType="begin"/>
      </w:r>
      <w:r w:rsidR="00B309BA">
        <w:instrText xml:space="preserve"> REF _Ref491873121 \h </w:instrText>
      </w:r>
      <w:r w:rsidR="00B309BA">
        <w:fldChar w:fldCharType="separate"/>
      </w:r>
      <w:r w:rsidR="00304B8E" w:rsidRPr="00541084">
        <w:rPr>
          <w:szCs w:val="22"/>
        </w:rPr>
        <w:t xml:space="preserve">Figure </w:t>
      </w:r>
      <w:r w:rsidR="00304B8E">
        <w:rPr>
          <w:noProof/>
          <w:szCs w:val="22"/>
        </w:rPr>
        <w:t>2</w:t>
      </w:r>
      <w:r w:rsidR="00304B8E">
        <w:rPr>
          <w:szCs w:val="22"/>
        </w:rPr>
        <w:noBreakHyphen/>
      </w:r>
      <w:r w:rsidR="00304B8E">
        <w:rPr>
          <w:noProof/>
          <w:szCs w:val="22"/>
        </w:rPr>
        <w:t>13</w:t>
      </w:r>
      <w:r w:rsidR="00B309BA">
        <w:fldChar w:fldCharType="end"/>
      </w:r>
      <w:r w:rsidR="00295C86">
        <w:t xml:space="preserve"> demonstrates that</w:t>
      </w:r>
      <w:r w:rsidRPr="00B33055">
        <w:t xml:space="preserve"> the oil production rate was constant at the beginning because the injection of oil/water mixture had a constant ratio. After about 0.2 day, fluctuation in oil production </w:t>
      </w:r>
      <w:r w:rsidR="00295C86">
        <w:t xml:space="preserve">is observed </w:t>
      </w:r>
      <w:r w:rsidRPr="00B33055">
        <w:t xml:space="preserve">since oil distribution in reservoir was heterogeneous. The result of Case 15 in </w:t>
      </w:r>
      <w:r w:rsidR="0078249D">
        <w:fldChar w:fldCharType="begin"/>
      </w:r>
      <w:r w:rsidR="0078249D">
        <w:instrText xml:space="preserve"> REF _Ref491875428 \h </w:instrText>
      </w:r>
      <w:r w:rsidR="0078249D">
        <w:fldChar w:fldCharType="separate"/>
      </w:r>
      <w:r w:rsidR="00304B8E" w:rsidRPr="00541084">
        <w:rPr>
          <w:szCs w:val="22"/>
        </w:rPr>
        <w:t xml:space="preserve">Table </w:t>
      </w:r>
      <w:r w:rsidR="00304B8E" w:rsidRPr="00541084">
        <w:rPr>
          <w:noProof/>
          <w:szCs w:val="22"/>
        </w:rPr>
        <w:t>2</w:t>
      </w:r>
      <w:r w:rsidR="00304B8E" w:rsidRPr="00541084">
        <w:rPr>
          <w:szCs w:val="22"/>
        </w:rPr>
        <w:noBreakHyphen/>
      </w:r>
      <w:r w:rsidR="00304B8E" w:rsidRPr="00541084">
        <w:rPr>
          <w:noProof/>
          <w:szCs w:val="22"/>
        </w:rPr>
        <w:t>5</w:t>
      </w:r>
      <w:r w:rsidR="0078249D">
        <w:fldChar w:fldCharType="end"/>
      </w:r>
      <w:r w:rsidRPr="00B33055">
        <w:t xml:space="preserve"> illustrates that the oil saturation estimation was close to the input mean value, suggesting saturation from SWCTT is on a volume-averaged basis </w:t>
      </w:r>
      <w:r w:rsidRPr="00B33055">
        <w:lastRenderedPageBreak/>
        <w:t xml:space="preserve">(Shook et al. 2004). On the other hand, the difference between input mean value and estimation was larger than the base case. Tracers that were produced in the non-constant oil rate period influenced the calculation of MoM, which resulted in the larger difference. In addition, the injection oil/water ratio is critical. Because most tracers were produced back at the constant oil rate stage, these tracers will reflect the saturation corresponding to the specific injected oil/mixture ratio. Therefore, even though heterogeneous oil distribution is unfavorable to SWCTT, </w:t>
      </w:r>
      <w:r w:rsidR="00295C86">
        <w:t>the proposed MoM is still able</w:t>
      </w:r>
      <w:r w:rsidRPr="00B33055">
        <w:t xml:space="preserve"> to get a rough estimation of the average oil saturation over the inspected zone by careful design. </w:t>
      </w:r>
    </w:p>
    <w:p w14:paraId="204DA12A" w14:textId="77777777" w:rsidR="00B309BA" w:rsidRDefault="00B309BA" w:rsidP="00923C92">
      <w:pPr>
        <w:pStyle w:val="TableNormal1"/>
      </w:pPr>
      <w:r w:rsidRPr="00B33055">
        <w:drawing>
          <wp:inline distT="0" distB="0" distL="0" distR="0" wp14:anchorId="1365D677" wp14:editId="44E15D42">
            <wp:extent cx="5328161" cy="3864334"/>
            <wp:effectExtent l="0" t="0" r="635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turation Fiel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40421" cy="3873226"/>
                    </a:xfrm>
                    <a:prstGeom prst="rect">
                      <a:avLst/>
                    </a:prstGeom>
                  </pic:spPr>
                </pic:pic>
              </a:graphicData>
            </a:graphic>
          </wp:inline>
        </w:drawing>
      </w:r>
    </w:p>
    <w:p w14:paraId="5D2C79C9" w14:textId="6601888A" w:rsidR="00B309BA" w:rsidRPr="00541084" w:rsidRDefault="00B309BA" w:rsidP="00BF3F9B">
      <w:pPr>
        <w:pStyle w:val="Caption"/>
        <w:rPr>
          <w:szCs w:val="22"/>
        </w:rPr>
      </w:pPr>
      <w:bookmarkStart w:id="100" w:name="_Ref491873054"/>
      <w:bookmarkStart w:id="101" w:name="_Toc495144721"/>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2</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12</w:t>
      </w:r>
      <w:r w:rsidR="00280FFF">
        <w:rPr>
          <w:szCs w:val="22"/>
        </w:rPr>
        <w:fldChar w:fldCharType="end"/>
      </w:r>
      <w:bookmarkEnd w:id="100"/>
      <w:r w:rsidRPr="00541084">
        <w:rPr>
          <w:szCs w:val="22"/>
        </w:rPr>
        <w:t>. Heterogeneous oil saturation field, zoom in near wellbore. Mean = 0.7, std=0.15.</w:t>
      </w:r>
      <w:bookmarkEnd w:id="101"/>
    </w:p>
    <w:p w14:paraId="0E48F056" w14:textId="77777777" w:rsidR="00B309BA" w:rsidRDefault="00B309BA" w:rsidP="00F242D4"/>
    <w:p w14:paraId="1F38BE54" w14:textId="77777777" w:rsidR="00B309BA" w:rsidRDefault="00B309BA" w:rsidP="00923C92">
      <w:pPr>
        <w:pStyle w:val="TableNormal1"/>
      </w:pPr>
      <w:r w:rsidRPr="00B33055">
        <w:lastRenderedPageBreak/>
        <w:drawing>
          <wp:inline distT="0" distB="0" distL="0" distR="0" wp14:anchorId="14C39880" wp14:editId="2EBE3314">
            <wp:extent cx="5486400" cy="3522428"/>
            <wp:effectExtent l="0" t="0" r="0" b="190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EEA6100" w14:textId="387972D2" w:rsidR="00B309BA" w:rsidRPr="00541084" w:rsidRDefault="00B309BA" w:rsidP="00BF3F9B">
      <w:pPr>
        <w:pStyle w:val="Caption"/>
        <w:rPr>
          <w:szCs w:val="22"/>
        </w:rPr>
      </w:pPr>
      <w:bookmarkStart w:id="102" w:name="_Ref491873121"/>
      <w:bookmarkStart w:id="103" w:name="_Toc495144722"/>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2</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13</w:t>
      </w:r>
      <w:r w:rsidR="00280FFF">
        <w:rPr>
          <w:szCs w:val="22"/>
        </w:rPr>
        <w:fldChar w:fldCharType="end"/>
      </w:r>
      <w:bookmarkEnd w:id="102"/>
      <w:r w:rsidRPr="00541084">
        <w:rPr>
          <w:szCs w:val="22"/>
        </w:rPr>
        <w:t>. Oil production rate and tracer production history for Case 15. Heterogeneous oil saturation.</w:t>
      </w:r>
      <w:bookmarkEnd w:id="103"/>
    </w:p>
    <w:p w14:paraId="60981796" w14:textId="77777777" w:rsidR="00F242D4" w:rsidRDefault="00F242D4" w:rsidP="00F242D4">
      <w:pPr>
        <w:pStyle w:val="para1"/>
        <w:rPr>
          <w:color w:val="000000" w:themeColor="text1"/>
        </w:rPr>
      </w:pPr>
    </w:p>
    <w:p w14:paraId="45CDC67C" w14:textId="77777777" w:rsidR="00B309BA" w:rsidRDefault="00B309BA" w:rsidP="00F242D4">
      <w:pPr>
        <w:pStyle w:val="para1"/>
        <w:rPr>
          <w:color w:val="000000" w:themeColor="text1"/>
        </w:rPr>
      </w:pPr>
    </w:p>
    <w:p w14:paraId="02445998" w14:textId="77777777" w:rsidR="00B309BA" w:rsidRPr="00B33055" w:rsidRDefault="00B309BA" w:rsidP="00F242D4">
      <w:pPr>
        <w:pStyle w:val="para1"/>
        <w:rPr>
          <w:color w:val="000000" w:themeColor="text1"/>
        </w:rPr>
      </w:pPr>
    </w:p>
    <w:p w14:paraId="132DC7D5" w14:textId="77777777" w:rsidR="00F242D4" w:rsidRPr="00B33055" w:rsidRDefault="00F242D4" w:rsidP="009C12AD">
      <w:pPr>
        <w:pStyle w:val="Heading3"/>
      </w:pPr>
      <w:bookmarkStart w:id="104" w:name="_Toc491875879"/>
      <w:bookmarkStart w:id="105" w:name="_Toc491876438"/>
      <w:bookmarkStart w:id="106" w:name="_Toc494014207"/>
      <w:r w:rsidRPr="00B33055">
        <w:t>Impact of Dispersion</w:t>
      </w:r>
      <w:bookmarkEnd w:id="104"/>
      <w:bookmarkEnd w:id="105"/>
      <w:bookmarkEnd w:id="106"/>
    </w:p>
    <w:p w14:paraId="5E57DEEA" w14:textId="388B77C2" w:rsidR="00F242D4" w:rsidRPr="00B33055" w:rsidRDefault="00304B8E" w:rsidP="00F242D4">
      <w:r>
        <w:t>The</w:t>
      </w:r>
      <w:r w:rsidR="00F242D4" w:rsidRPr="00B33055">
        <w:t xml:space="preserve"> equation derivation and previous simulation models neglected the dispersion. However, in field application, dispersion is inevitable. </w:t>
      </w:r>
      <w:r w:rsidR="00295C86">
        <w:t xml:space="preserve">This </w:t>
      </w:r>
      <w:r w:rsidR="00F242D4" w:rsidRPr="00B33055">
        <w:t>section</w:t>
      </w:r>
      <w:r w:rsidR="00295C86">
        <w:t xml:space="preserve"> </w:t>
      </w:r>
      <w:r w:rsidR="00F242D4" w:rsidRPr="00B33055">
        <w:t>var</w:t>
      </w:r>
      <w:r w:rsidR="00295C86">
        <w:t>ies</w:t>
      </w:r>
      <w:r w:rsidR="00F242D4" w:rsidRPr="00B33055">
        <w:t xml:space="preserve"> the grid size near wellbore to mimic the dispersion. The base case had the grid size of 0.1 ft. Case 16 and Case 17 had grid size of 0.5 ft and 1 ft near wellbore respectively. To maintain the same reservoir pore volume, the grid number was modified correspondingly. </w:t>
      </w:r>
      <w:r w:rsidR="004D285B">
        <w:fldChar w:fldCharType="begin"/>
      </w:r>
      <w:r w:rsidR="004D285B">
        <w:instrText xml:space="preserve"> REF _Ref491873181 \h </w:instrText>
      </w:r>
      <w:r w:rsidR="004D285B">
        <w:fldChar w:fldCharType="separate"/>
      </w:r>
      <w:r w:rsidRPr="00541084">
        <w:rPr>
          <w:szCs w:val="22"/>
        </w:rPr>
        <w:t xml:space="preserve">Figure </w:t>
      </w:r>
      <w:r>
        <w:rPr>
          <w:noProof/>
          <w:szCs w:val="22"/>
        </w:rPr>
        <w:t>2</w:t>
      </w:r>
      <w:r>
        <w:rPr>
          <w:szCs w:val="22"/>
        </w:rPr>
        <w:noBreakHyphen/>
      </w:r>
      <w:r>
        <w:rPr>
          <w:noProof/>
          <w:szCs w:val="22"/>
        </w:rPr>
        <w:t>14</w:t>
      </w:r>
      <w:r w:rsidR="004D285B">
        <w:fldChar w:fldCharType="end"/>
      </w:r>
      <w:r w:rsidR="00F242D4" w:rsidRPr="00B33055">
        <w:t xml:space="preserve"> shows the conservative tracer (alcohol) production history for all three cases. Along with the increase of grid size, the tracer history is more dispersed due to dispersion. </w:t>
      </w:r>
      <w:r w:rsidR="0030787B">
        <w:t>The p</w:t>
      </w:r>
      <w:r w:rsidR="00F242D4" w:rsidRPr="00B33055">
        <w:t xml:space="preserve">artitioning tracer production history had the similar change with </w:t>
      </w:r>
      <w:r w:rsidR="0030787B">
        <w:t xml:space="preserve">the </w:t>
      </w:r>
      <w:r w:rsidR="00F242D4" w:rsidRPr="00B33055">
        <w:t xml:space="preserve">conservative tracer. </w:t>
      </w:r>
      <w:r w:rsidR="0078249D">
        <w:fldChar w:fldCharType="begin"/>
      </w:r>
      <w:r w:rsidR="0078249D">
        <w:instrText xml:space="preserve"> REF _Ref491875428 \h </w:instrText>
      </w:r>
      <w:r w:rsidR="0078249D">
        <w:fldChar w:fldCharType="separate"/>
      </w:r>
      <w:r w:rsidRPr="00541084">
        <w:rPr>
          <w:szCs w:val="22"/>
        </w:rPr>
        <w:t xml:space="preserve">Table </w:t>
      </w:r>
      <w:r w:rsidRPr="00541084">
        <w:rPr>
          <w:noProof/>
          <w:szCs w:val="22"/>
        </w:rPr>
        <w:t>2</w:t>
      </w:r>
      <w:r w:rsidRPr="00541084">
        <w:rPr>
          <w:szCs w:val="22"/>
        </w:rPr>
        <w:noBreakHyphen/>
      </w:r>
      <w:r w:rsidRPr="00541084">
        <w:rPr>
          <w:noProof/>
          <w:szCs w:val="22"/>
        </w:rPr>
        <w:t>5</w:t>
      </w:r>
      <w:r w:rsidR="0078249D">
        <w:fldChar w:fldCharType="end"/>
      </w:r>
      <w:r w:rsidR="00F242D4" w:rsidRPr="00B33055">
        <w:t xml:space="preserve"> </w:t>
      </w:r>
      <w:r w:rsidR="0030787B">
        <w:t>show</w:t>
      </w:r>
      <w:r w:rsidR="0030787B" w:rsidRPr="00B33055">
        <w:t xml:space="preserve">s </w:t>
      </w:r>
      <w:r w:rsidR="00F242D4" w:rsidRPr="00B33055">
        <w:t xml:space="preserve">the saturations calculated </w:t>
      </w:r>
      <w:r w:rsidR="0030787B">
        <w:t>using</w:t>
      </w:r>
      <w:r w:rsidR="0030787B" w:rsidRPr="00B33055">
        <w:t xml:space="preserve"> </w:t>
      </w:r>
      <w:r w:rsidR="00F242D4" w:rsidRPr="00B33055">
        <w:t xml:space="preserve">the proposed approach. The estimation of saturation did not vary a lot when </w:t>
      </w:r>
      <w:r w:rsidR="0030787B">
        <w:t xml:space="preserve">the </w:t>
      </w:r>
      <w:r w:rsidR="00F242D4" w:rsidRPr="00B33055">
        <w:t xml:space="preserve">grid </w:t>
      </w:r>
      <w:r w:rsidR="00F242D4" w:rsidRPr="00B33055">
        <w:lastRenderedPageBreak/>
        <w:t xml:space="preserve">size as well dispersion became larger. The dispersion does not alter the basic mechanism of tracer velocity affected by oil and water. Thus, although tracer could be more dispersed in the formation, which will be reflected in the production, the answer from proposed approach is trustworthy. </w:t>
      </w:r>
      <w:r w:rsidR="006532E8" w:rsidRPr="00F1614E">
        <w:rPr>
          <w:color w:val="FF0000"/>
        </w:rPr>
        <w:t>In addition, this observation justifies that the selection of 0.1 ft as grid size near the wellbore</w:t>
      </w:r>
      <w:r w:rsidR="00AB7141" w:rsidRPr="00F1614E">
        <w:rPr>
          <w:color w:val="FF0000"/>
        </w:rPr>
        <w:t xml:space="preserve"> is reasonable</w:t>
      </w:r>
      <w:r w:rsidR="006532E8" w:rsidRPr="00F1614E">
        <w:rPr>
          <w:color w:val="FF0000"/>
        </w:rPr>
        <w:t>.</w:t>
      </w:r>
    </w:p>
    <w:p w14:paraId="6C0FB21D" w14:textId="77777777" w:rsidR="004D285B" w:rsidRDefault="004D285B" w:rsidP="00923C92">
      <w:pPr>
        <w:pStyle w:val="TableNormal1"/>
      </w:pPr>
      <w:r w:rsidRPr="00B33055">
        <w:drawing>
          <wp:inline distT="0" distB="0" distL="0" distR="0" wp14:anchorId="51BA522B" wp14:editId="73EF1588">
            <wp:extent cx="5311471" cy="3339465"/>
            <wp:effectExtent l="0" t="0" r="381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130ED16" w14:textId="3C86158E" w:rsidR="004D285B" w:rsidRPr="00541084" w:rsidRDefault="004D285B" w:rsidP="00BF3F9B">
      <w:pPr>
        <w:pStyle w:val="Caption"/>
        <w:rPr>
          <w:szCs w:val="22"/>
        </w:rPr>
      </w:pPr>
      <w:bookmarkStart w:id="107" w:name="_Ref491873181"/>
      <w:bookmarkStart w:id="108" w:name="_Toc495144723"/>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2</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14</w:t>
      </w:r>
      <w:r w:rsidR="00280FFF">
        <w:rPr>
          <w:szCs w:val="22"/>
        </w:rPr>
        <w:fldChar w:fldCharType="end"/>
      </w:r>
      <w:bookmarkEnd w:id="107"/>
      <w:r w:rsidRPr="00541084">
        <w:rPr>
          <w:szCs w:val="22"/>
        </w:rPr>
        <w:t>. Conservative tracer (alcohol) production history comparison.</w:t>
      </w:r>
      <w:bookmarkEnd w:id="108"/>
      <w:r w:rsidRPr="00541084">
        <w:rPr>
          <w:szCs w:val="22"/>
        </w:rPr>
        <w:t xml:space="preserve"> </w:t>
      </w:r>
    </w:p>
    <w:p w14:paraId="3D0423DC" w14:textId="77777777" w:rsidR="00F242D4" w:rsidRDefault="00F242D4" w:rsidP="00F242D4">
      <w:pPr>
        <w:rPr>
          <w:color w:val="000000" w:themeColor="text1"/>
        </w:rPr>
      </w:pPr>
    </w:p>
    <w:p w14:paraId="62E0719B" w14:textId="77777777" w:rsidR="004D285B" w:rsidRPr="00B33055" w:rsidRDefault="004D285B" w:rsidP="00F242D4">
      <w:pPr>
        <w:rPr>
          <w:color w:val="000000" w:themeColor="text1"/>
        </w:rPr>
      </w:pPr>
    </w:p>
    <w:p w14:paraId="57733A79" w14:textId="23B969F7" w:rsidR="00F242D4" w:rsidRPr="00B33055" w:rsidRDefault="00F242D4" w:rsidP="00F242D4">
      <w:pPr>
        <w:pStyle w:val="Heading2"/>
      </w:pPr>
      <w:bookmarkStart w:id="109" w:name="_Toc491875880"/>
      <w:bookmarkStart w:id="110" w:name="_Toc491876439"/>
      <w:bookmarkStart w:id="111" w:name="_Toc494014208"/>
      <w:r w:rsidRPr="00B33055">
        <w:t>Conclusion</w:t>
      </w:r>
      <w:bookmarkEnd w:id="109"/>
      <w:bookmarkEnd w:id="110"/>
      <w:r w:rsidR="0030787B">
        <w:t>s</w:t>
      </w:r>
      <w:bookmarkEnd w:id="111"/>
    </w:p>
    <w:p w14:paraId="7A9714C3" w14:textId="77777777" w:rsidR="00F242D4" w:rsidRPr="00B33055" w:rsidRDefault="00F242D4" w:rsidP="00F242D4">
      <w:r w:rsidRPr="00B33055">
        <w:t>Based on the above results and discussion, the following conclusion can be drawn:</w:t>
      </w:r>
    </w:p>
    <w:p w14:paraId="110470C2" w14:textId="77777777" w:rsidR="00F242D4" w:rsidRPr="00B33055" w:rsidRDefault="00F242D4" w:rsidP="00295701">
      <w:pPr>
        <w:pStyle w:val="ListParagraph"/>
        <w:numPr>
          <w:ilvl w:val="0"/>
          <w:numId w:val="6"/>
        </w:numPr>
      </w:pPr>
      <w:r w:rsidRPr="00B33055">
        <w:t xml:space="preserve">An innovative SWCTT is developed. MoM is modified to estimate mobile oil saturation from the innovative SWCTT. </w:t>
      </w:r>
    </w:p>
    <w:p w14:paraId="726675F3" w14:textId="77777777" w:rsidR="00F242D4" w:rsidRPr="00B33055" w:rsidRDefault="00F242D4" w:rsidP="00295701">
      <w:pPr>
        <w:pStyle w:val="ListParagraph"/>
        <w:numPr>
          <w:ilvl w:val="0"/>
          <w:numId w:val="6"/>
        </w:numPr>
      </w:pPr>
      <w:r w:rsidRPr="00B33055">
        <w:lastRenderedPageBreak/>
        <w:t xml:space="preserve">The new tracer method has been proved using numerical simulations and it provides a reasonably precise measurement of mobile saturations. </w:t>
      </w:r>
    </w:p>
    <w:p w14:paraId="5FC7E350" w14:textId="35C3328E" w:rsidR="00F242D4" w:rsidRPr="00B33055" w:rsidRDefault="00F242D4" w:rsidP="00295701">
      <w:pPr>
        <w:pStyle w:val="ListParagraph"/>
        <w:numPr>
          <w:ilvl w:val="0"/>
          <w:numId w:val="6"/>
        </w:numPr>
      </w:pPr>
      <w:r w:rsidRPr="00B33055">
        <w:t>The new modified MoM is applicable in conventional SWCTT to measure immobile oil saturation and improved the accuracy of conventional MoM.</w:t>
      </w:r>
    </w:p>
    <w:p w14:paraId="12684D9B" w14:textId="77777777" w:rsidR="00F242D4" w:rsidRDefault="00F242D4" w:rsidP="00295701">
      <w:pPr>
        <w:pStyle w:val="ListParagraph"/>
        <w:numPr>
          <w:ilvl w:val="0"/>
          <w:numId w:val="6"/>
        </w:numPr>
      </w:pPr>
      <w:r w:rsidRPr="00B33055">
        <w:t>The new tracer method is</w:t>
      </w:r>
      <w:r w:rsidRPr="00B33055">
        <w:rPr>
          <w:rFonts w:hint="eastAsia"/>
        </w:rPr>
        <w:t xml:space="preserve"> an easy </w:t>
      </w:r>
      <w:r w:rsidRPr="00B33055">
        <w:t xml:space="preserve">and </w:t>
      </w:r>
      <w:r w:rsidRPr="00B33055">
        <w:rPr>
          <w:rFonts w:hint="eastAsia"/>
        </w:rPr>
        <w:t xml:space="preserve">robust in-situ way to measure oil and water saturations near the wellbore at any time </w:t>
      </w:r>
      <w:r w:rsidRPr="00B33055">
        <w:t>of</w:t>
      </w:r>
      <w:r w:rsidRPr="00B33055">
        <w:rPr>
          <w:rFonts w:hint="eastAsia"/>
        </w:rPr>
        <w:t xml:space="preserve"> production, without the limitation of conventional SWCTT analysis. T</w:t>
      </w:r>
      <w:r w:rsidRPr="00B33055">
        <w:t>h</w:t>
      </w:r>
      <w:r w:rsidRPr="00B33055">
        <w:rPr>
          <w:rFonts w:hint="eastAsia"/>
        </w:rPr>
        <w:t xml:space="preserve">e new modified SWCTT can </w:t>
      </w:r>
      <w:r w:rsidRPr="00B33055">
        <w:t xml:space="preserve">better assist </w:t>
      </w:r>
      <w:r w:rsidRPr="00B33055">
        <w:rPr>
          <w:rFonts w:hint="eastAsia"/>
        </w:rPr>
        <w:t xml:space="preserve">engineers </w:t>
      </w:r>
      <w:r w:rsidRPr="00B33055">
        <w:t xml:space="preserve">to </w:t>
      </w:r>
      <w:r w:rsidRPr="00B33055">
        <w:rPr>
          <w:rFonts w:hint="eastAsia"/>
        </w:rPr>
        <w:t xml:space="preserve">monitor the reservoirs and determine the best time to start EOR operations. </w:t>
      </w:r>
    </w:p>
    <w:p w14:paraId="4675E91B" w14:textId="77777777" w:rsidR="008874BD" w:rsidRPr="00B33055" w:rsidRDefault="008874BD" w:rsidP="008874BD">
      <w:pPr>
        <w:pStyle w:val="ListParagraph"/>
        <w:ind w:left="720"/>
      </w:pPr>
    </w:p>
    <w:p w14:paraId="347C9AAF" w14:textId="77777777" w:rsidR="00F242D4" w:rsidRDefault="00F242D4" w:rsidP="00183CBB">
      <w:pPr>
        <w:pStyle w:val="Heading2"/>
        <w:numPr>
          <w:ilvl w:val="0"/>
          <w:numId w:val="0"/>
        </w:numPr>
      </w:pPr>
      <w:bookmarkStart w:id="112" w:name="_Toc491875881"/>
      <w:bookmarkStart w:id="113" w:name="_Toc491876440"/>
      <w:bookmarkStart w:id="114" w:name="_Toc494014209"/>
      <w:r>
        <w:t>Nomenclature</w:t>
      </w:r>
      <w:bookmarkEnd w:id="112"/>
      <w:bookmarkEnd w:id="113"/>
      <w:bookmarkEnd w:id="114"/>
    </w:p>
    <w:p w14:paraId="2B46F84D" w14:textId="5AF5B5C4" w:rsidR="00F242D4" w:rsidRPr="00F242D4" w:rsidRDefault="00F242D4" w:rsidP="00183CBB">
      <w:pPr>
        <w:pStyle w:val="Head2"/>
        <w:spacing w:line="480" w:lineRule="auto"/>
        <w:ind w:firstLine="0"/>
        <w:rPr>
          <w:rFonts w:asciiTheme="minorHAnsi" w:hAnsiTheme="minorHAnsi" w:cstheme="minorHAnsi"/>
          <w:color w:val="000000" w:themeColor="text1"/>
          <w:sz w:val="24"/>
          <w:szCs w:val="24"/>
        </w:rPr>
      </w:pPr>
      <w:r w:rsidRPr="00F242D4">
        <w:rPr>
          <w:rFonts w:asciiTheme="minorHAnsi" w:hAnsiTheme="minorHAnsi" w:cstheme="minorHAnsi"/>
          <w:color w:val="000000" w:themeColor="text1"/>
          <w:sz w:val="24"/>
          <w:szCs w:val="24"/>
        </w:rPr>
        <w:t>Normal</w:t>
      </w:r>
    </w:p>
    <w:p w14:paraId="5CB07BCF" w14:textId="38EC0532" w:rsidR="00F242D4" w:rsidRPr="0087407F" w:rsidRDefault="0087407F" w:rsidP="00183CBB">
      <w:pPr>
        <w:pStyle w:val="Nomenclature"/>
        <w:spacing w:line="480" w:lineRule="auto"/>
        <w:rPr>
          <w:color w:val="000000" w:themeColor="text1"/>
          <w:sz w:val="24"/>
          <w:szCs w:val="24"/>
          <w:vertAlign w:val="superscript"/>
        </w:rPr>
      </w:pPr>
      <m:oMath>
        <m:r>
          <w:rPr>
            <w:rFonts w:ascii="Cambria Math" w:hAnsi="Cambria Math"/>
            <w:color w:val="000000" w:themeColor="text1"/>
            <w:sz w:val="24"/>
            <w:szCs w:val="24"/>
          </w:rPr>
          <m:t>C</m:t>
        </m:r>
      </m:oMath>
      <w:r w:rsidR="00F242D4" w:rsidRPr="0087407F">
        <w:rPr>
          <w:color w:val="000000" w:themeColor="text1"/>
          <w:sz w:val="24"/>
          <w:szCs w:val="24"/>
        </w:rPr>
        <w:tab/>
      </w:r>
      <w:r w:rsidR="00F242D4" w:rsidRPr="0087407F">
        <w:rPr>
          <w:color w:val="000000" w:themeColor="text1"/>
          <w:sz w:val="24"/>
          <w:szCs w:val="24"/>
        </w:rPr>
        <w:tab/>
        <w:t>=tracer concentration, M/L</w:t>
      </w:r>
      <w:r w:rsidR="00F242D4" w:rsidRPr="0087407F">
        <w:rPr>
          <w:color w:val="000000" w:themeColor="text1"/>
          <w:sz w:val="24"/>
          <w:szCs w:val="24"/>
          <w:vertAlign w:val="superscript"/>
        </w:rPr>
        <w:t>3</w:t>
      </w:r>
    </w:p>
    <w:p w14:paraId="798AAC3B" w14:textId="77777777" w:rsidR="00F242D4" w:rsidRPr="0087407F" w:rsidRDefault="0087407F" w:rsidP="00183CBB">
      <w:pPr>
        <w:pStyle w:val="Nomenclature"/>
        <w:spacing w:line="480" w:lineRule="auto"/>
        <w:rPr>
          <w:color w:val="000000" w:themeColor="text1"/>
          <w:sz w:val="24"/>
          <w:szCs w:val="24"/>
        </w:rPr>
      </w:pPr>
      <m:oMath>
        <m:r>
          <w:rPr>
            <w:rFonts w:ascii="Cambria Math" w:hAnsi="Cambria Math"/>
            <w:color w:val="000000" w:themeColor="text1"/>
            <w:sz w:val="24"/>
            <w:szCs w:val="24"/>
          </w:rPr>
          <m:t>F</m:t>
        </m:r>
      </m:oMath>
      <w:r w:rsidR="00F242D4" w:rsidRPr="0087407F">
        <w:rPr>
          <w:color w:val="000000" w:themeColor="text1"/>
          <w:sz w:val="24"/>
          <w:szCs w:val="24"/>
        </w:rPr>
        <w:tab/>
      </w:r>
      <w:r w:rsidR="00F242D4" w:rsidRPr="0087407F">
        <w:rPr>
          <w:color w:val="000000" w:themeColor="text1"/>
          <w:sz w:val="24"/>
          <w:szCs w:val="24"/>
        </w:rPr>
        <w:tab/>
        <w:t>=velocity factor, dimensionless</w:t>
      </w:r>
    </w:p>
    <w:p w14:paraId="57FE532F" w14:textId="77777777" w:rsidR="00F242D4" w:rsidRPr="0087407F" w:rsidRDefault="0087407F" w:rsidP="00183CBB">
      <w:pPr>
        <w:pStyle w:val="Nomenclature"/>
        <w:spacing w:line="480" w:lineRule="auto"/>
        <w:rPr>
          <w:color w:val="000000" w:themeColor="text1"/>
          <w:sz w:val="24"/>
          <w:szCs w:val="24"/>
        </w:rPr>
      </w:pPr>
      <m:oMath>
        <m:r>
          <w:rPr>
            <w:rFonts w:ascii="Cambria Math" w:hAnsi="Cambria Math"/>
            <w:color w:val="000000" w:themeColor="text1"/>
            <w:sz w:val="24"/>
            <w:szCs w:val="24"/>
          </w:rPr>
          <m:t>f</m:t>
        </m:r>
      </m:oMath>
      <w:r w:rsidR="00F242D4" w:rsidRPr="0087407F">
        <w:rPr>
          <w:color w:val="000000" w:themeColor="text1"/>
          <w:sz w:val="24"/>
          <w:szCs w:val="24"/>
        </w:rPr>
        <w:tab/>
      </w:r>
      <w:r w:rsidR="00F242D4" w:rsidRPr="0087407F">
        <w:rPr>
          <w:color w:val="000000" w:themeColor="text1"/>
          <w:sz w:val="24"/>
          <w:szCs w:val="24"/>
        </w:rPr>
        <w:tab/>
        <w:t>=fraction of time partitioning tracer spends in water, dimensionless</w:t>
      </w:r>
    </w:p>
    <w:p w14:paraId="52CA26BD" w14:textId="77777777" w:rsidR="00F242D4" w:rsidRPr="0087407F" w:rsidRDefault="0087407F" w:rsidP="00183CBB">
      <w:pPr>
        <w:pStyle w:val="Nomenclature"/>
        <w:spacing w:line="480" w:lineRule="auto"/>
        <w:rPr>
          <w:color w:val="000000" w:themeColor="text1"/>
          <w:sz w:val="24"/>
          <w:szCs w:val="24"/>
        </w:rPr>
      </w:pPr>
      <m:oMath>
        <m:r>
          <w:rPr>
            <w:rFonts w:ascii="Cambria Math" w:hAnsi="Cambria Math"/>
            <w:color w:val="000000" w:themeColor="text1"/>
            <w:sz w:val="24"/>
            <w:szCs w:val="24"/>
          </w:rPr>
          <m:t>K</m:t>
        </m:r>
      </m:oMath>
      <w:r w:rsidR="00F242D4" w:rsidRPr="0087407F">
        <w:rPr>
          <w:color w:val="000000" w:themeColor="text1"/>
          <w:sz w:val="24"/>
          <w:szCs w:val="24"/>
        </w:rPr>
        <w:tab/>
      </w:r>
      <w:r w:rsidR="00F242D4" w:rsidRPr="0087407F">
        <w:rPr>
          <w:color w:val="000000" w:themeColor="text1"/>
          <w:sz w:val="24"/>
          <w:szCs w:val="24"/>
        </w:rPr>
        <w:tab/>
        <w:t>=partition coefficient, dimensionless</w:t>
      </w:r>
    </w:p>
    <w:p w14:paraId="303CF362" w14:textId="48B6A3C7" w:rsidR="00F242D4" w:rsidRPr="0087407F" w:rsidRDefault="0087407F" w:rsidP="00183CBB">
      <w:pPr>
        <w:pStyle w:val="Nomenclature"/>
        <w:spacing w:line="480" w:lineRule="auto"/>
        <w:rPr>
          <w:color w:val="000000" w:themeColor="text1"/>
          <w:sz w:val="24"/>
          <w:szCs w:val="24"/>
        </w:rPr>
      </w:pPr>
      <m:oMath>
        <m:r>
          <w:rPr>
            <w:rFonts w:ascii="Cambria Math" w:hAnsi="Cambria Math"/>
            <w:color w:val="000000" w:themeColor="text1"/>
            <w:sz w:val="24"/>
            <w:szCs w:val="24"/>
          </w:rPr>
          <m:t>Q</m:t>
        </m:r>
      </m:oMath>
      <w:r w:rsidR="00F242D4" w:rsidRPr="0087407F">
        <w:rPr>
          <w:color w:val="000000" w:themeColor="text1"/>
          <w:sz w:val="24"/>
          <w:szCs w:val="24"/>
        </w:rPr>
        <w:tab/>
      </w:r>
      <w:r w:rsidR="00F242D4" w:rsidRPr="0087407F">
        <w:rPr>
          <w:color w:val="000000" w:themeColor="text1"/>
          <w:sz w:val="24"/>
          <w:szCs w:val="24"/>
        </w:rPr>
        <w:tab/>
        <w:t>=Cumulative production, L</w:t>
      </w:r>
      <w:r w:rsidR="00F242D4" w:rsidRPr="0087407F">
        <w:rPr>
          <w:color w:val="000000" w:themeColor="text1"/>
          <w:sz w:val="24"/>
          <w:szCs w:val="24"/>
          <w:vertAlign w:val="superscript"/>
        </w:rPr>
        <w:t>3</w:t>
      </w:r>
    </w:p>
    <w:p w14:paraId="2D51BE76" w14:textId="09BEF58E" w:rsidR="00F242D4" w:rsidRPr="0087407F" w:rsidRDefault="0087407F" w:rsidP="00183CBB">
      <w:pPr>
        <w:pStyle w:val="Nomenclature"/>
        <w:spacing w:line="480" w:lineRule="auto"/>
        <w:rPr>
          <w:color w:val="000000" w:themeColor="text1"/>
          <w:sz w:val="24"/>
          <w:szCs w:val="24"/>
        </w:rPr>
      </w:pPr>
      <m:oMath>
        <m:r>
          <w:rPr>
            <w:rFonts w:ascii="Cambria Math" w:hAnsi="Cambria Math"/>
            <w:color w:val="000000" w:themeColor="text1"/>
            <w:sz w:val="24"/>
            <w:szCs w:val="24"/>
          </w:rPr>
          <m:t>q</m:t>
        </m:r>
      </m:oMath>
      <w:r w:rsidR="00F242D4" w:rsidRPr="0087407F">
        <w:rPr>
          <w:color w:val="000000" w:themeColor="text1"/>
          <w:sz w:val="24"/>
          <w:szCs w:val="24"/>
        </w:rPr>
        <w:tab/>
      </w:r>
      <w:r w:rsidR="00F242D4" w:rsidRPr="0087407F">
        <w:rPr>
          <w:color w:val="000000" w:themeColor="text1"/>
          <w:sz w:val="24"/>
          <w:szCs w:val="24"/>
        </w:rPr>
        <w:tab/>
        <w:t>=production rate, L</w:t>
      </w:r>
      <w:r w:rsidR="00F242D4" w:rsidRPr="0087407F">
        <w:rPr>
          <w:color w:val="000000" w:themeColor="text1"/>
          <w:sz w:val="24"/>
          <w:szCs w:val="24"/>
          <w:vertAlign w:val="superscript"/>
        </w:rPr>
        <w:t>3</w:t>
      </w:r>
      <w:r w:rsidR="00295C86">
        <w:rPr>
          <w:color w:val="000000" w:themeColor="text1"/>
          <w:sz w:val="24"/>
          <w:szCs w:val="24"/>
        </w:rPr>
        <w:t>/T</w:t>
      </w:r>
    </w:p>
    <w:p w14:paraId="34046FC3" w14:textId="4E72E1CC" w:rsidR="00F242D4" w:rsidRPr="0087407F" w:rsidRDefault="00A53410" w:rsidP="00183CBB">
      <w:pPr>
        <w:pStyle w:val="Nomenclature"/>
        <w:spacing w:line="480" w:lineRule="auto"/>
        <w:rPr>
          <w:color w:val="000000" w:themeColor="text1"/>
          <w:sz w:val="24"/>
          <w:szCs w:val="24"/>
        </w:rPr>
      </w:pPr>
      <m:oMath>
        <m:acc>
          <m:accPr>
            <m:chr m:val="̅"/>
            <m:ctrlPr>
              <w:rPr>
                <w:rFonts w:ascii="Cambria Math" w:hAnsi="Cambria Math"/>
                <w:color w:val="000000" w:themeColor="text1"/>
                <w:sz w:val="24"/>
                <w:szCs w:val="24"/>
              </w:rPr>
            </m:ctrlPr>
          </m:accPr>
          <m:e>
            <m:r>
              <w:rPr>
                <w:rFonts w:ascii="Cambria Math" w:hAnsi="Cambria Math"/>
                <w:color w:val="000000" w:themeColor="text1"/>
                <w:sz w:val="24"/>
                <w:szCs w:val="24"/>
              </w:rPr>
              <m:t>q</m:t>
            </m:r>
          </m:e>
        </m:acc>
      </m:oMath>
      <w:r w:rsidR="00F242D4" w:rsidRPr="0087407F">
        <w:rPr>
          <w:color w:val="000000" w:themeColor="text1"/>
          <w:sz w:val="24"/>
          <w:szCs w:val="24"/>
        </w:rPr>
        <w:tab/>
      </w:r>
      <w:r w:rsidR="00F242D4" w:rsidRPr="0087407F">
        <w:rPr>
          <w:color w:val="000000" w:themeColor="text1"/>
          <w:sz w:val="24"/>
          <w:szCs w:val="24"/>
        </w:rPr>
        <w:tab/>
        <w:t>=average production rate, L</w:t>
      </w:r>
      <w:r w:rsidR="00F242D4" w:rsidRPr="0087407F">
        <w:rPr>
          <w:color w:val="000000" w:themeColor="text1"/>
          <w:sz w:val="24"/>
          <w:szCs w:val="24"/>
          <w:vertAlign w:val="superscript"/>
        </w:rPr>
        <w:t>3</w:t>
      </w:r>
      <w:r w:rsidR="00295C86">
        <w:rPr>
          <w:color w:val="000000" w:themeColor="text1"/>
          <w:sz w:val="24"/>
          <w:szCs w:val="24"/>
        </w:rPr>
        <w:t>/T</w:t>
      </w:r>
    </w:p>
    <w:p w14:paraId="29405CD7" w14:textId="77777777" w:rsidR="00F242D4" w:rsidRPr="0087407F" w:rsidRDefault="0087407F" w:rsidP="00183CBB">
      <w:pPr>
        <w:pStyle w:val="Nomenclature"/>
        <w:spacing w:line="480" w:lineRule="auto"/>
        <w:rPr>
          <w:color w:val="000000" w:themeColor="text1"/>
          <w:sz w:val="24"/>
          <w:szCs w:val="24"/>
        </w:rPr>
      </w:pPr>
      <m:oMath>
        <m:r>
          <w:rPr>
            <w:rFonts w:ascii="Cambria Math" w:hAnsi="Cambria Math"/>
            <w:color w:val="000000" w:themeColor="text1"/>
            <w:sz w:val="24"/>
            <w:szCs w:val="24"/>
          </w:rPr>
          <m:t>S</m:t>
        </m:r>
      </m:oMath>
      <w:r w:rsidR="00F242D4" w:rsidRPr="0087407F">
        <w:rPr>
          <w:color w:val="000000" w:themeColor="text1"/>
          <w:sz w:val="24"/>
          <w:szCs w:val="24"/>
        </w:rPr>
        <w:tab/>
      </w:r>
      <w:r w:rsidR="00F242D4" w:rsidRPr="0087407F">
        <w:rPr>
          <w:color w:val="000000" w:themeColor="text1"/>
          <w:sz w:val="24"/>
          <w:szCs w:val="24"/>
        </w:rPr>
        <w:tab/>
        <w:t>=saturation, dimensionless</w:t>
      </w:r>
    </w:p>
    <w:p w14:paraId="25366525" w14:textId="77777777" w:rsidR="00F242D4" w:rsidRPr="0087407F" w:rsidRDefault="0087407F" w:rsidP="00183CBB">
      <w:pPr>
        <w:pStyle w:val="Nomenclature"/>
        <w:spacing w:line="480" w:lineRule="auto"/>
        <w:rPr>
          <w:color w:val="000000" w:themeColor="text1"/>
          <w:sz w:val="24"/>
          <w:szCs w:val="24"/>
        </w:rPr>
      </w:pPr>
      <m:oMath>
        <m:r>
          <w:rPr>
            <w:rFonts w:ascii="Cambria Math" w:hAnsi="Cambria Math"/>
            <w:color w:val="000000" w:themeColor="text1"/>
            <w:sz w:val="24"/>
            <w:szCs w:val="24"/>
          </w:rPr>
          <m:t>R</m:t>
        </m:r>
      </m:oMath>
      <w:r w:rsidR="00F242D4" w:rsidRPr="0087407F">
        <w:rPr>
          <w:color w:val="000000" w:themeColor="text1"/>
          <w:sz w:val="24"/>
          <w:szCs w:val="24"/>
        </w:rPr>
        <w:tab/>
      </w:r>
      <w:r w:rsidR="00F242D4" w:rsidRPr="0087407F">
        <w:rPr>
          <w:color w:val="000000" w:themeColor="text1"/>
          <w:sz w:val="24"/>
          <w:szCs w:val="24"/>
        </w:rPr>
        <w:tab/>
        <w:t>=swept volume correction ratio, dimensionless</w:t>
      </w:r>
    </w:p>
    <w:p w14:paraId="32D30965" w14:textId="476BF324" w:rsidR="00F242D4" w:rsidRPr="0087407F" w:rsidRDefault="0087407F" w:rsidP="00183CBB">
      <w:pPr>
        <w:pStyle w:val="Nomenclature"/>
        <w:spacing w:line="480" w:lineRule="auto"/>
        <w:rPr>
          <w:color w:val="000000" w:themeColor="text1"/>
          <w:sz w:val="24"/>
          <w:szCs w:val="24"/>
        </w:rPr>
      </w:pPr>
      <m:oMath>
        <m:r>
          <w:rPr>
            <w:rFonts w:ascii="Cambria Math" w:hAnsi="Cambria Math"/>
            <w:color w:val="000000" w:themeColor="text1"/>
            <w:sz w:val="24"/>
            <w:szCs w:val="24"/>
          </w:rPr>
          <m:t>t</m:t>
        </m:r>
      </m:oMath>
      <w:r w:rsidR="00295C86">
        <w:rPr>
          <w:color w:val="000000" w:themeColor="text1"/>
          <w:sz w:val="24"/>
          <w:szCs w:val="24"/>
        </w:rPr>
        <w:tab/>
      </w:r>
      <w:r w:rsidR="00295C86">
        <w:rPr>
          <w:color w:val="000000" w:themeColor="text1"/>
          <w:sz w:val="24"/>
          <w:szCs w:val="24"/>
        </w:rPr>
        <w:tab/>
        <w:t>=time, T</w:t>
      </w:r>
    </w:p>
    <w:p w14:paraId="651C3012" w14:textId="5B3760ED" w:rsidR="00F242D4" w:rsidRPr="0087407F" w:rsidRDefault="00A53410" w:rsidP="00183CBB">
      <w:pPr>
        <w:pStyle w:val="Nomenclature"/>
        <w:spacing w:line="480" w:lineRule="auto"/>
        <w:rPr>
          <w:color w:val="000000" w:themeColor="text1"/>
          <w:sz w:val="24"/>
          <w:szCs w:val="24"/>
        </w:rPr>
      </w:pPr>
      <m:oMath>
        <m:acc>
          <m:accPr>
            <m:chr m:val="̅"/>
            <m:ctrlPr>
              <w:rPr>
                <w:rFonts w:ascii="Cambria Math" w:hAnsi="Cambria Math"/>
                <w:color w:val="000000" w:themeColor="text1"/>
                <w:sz w:val="24"/>
                <w:szCs w:val="24"/>
              </w:rPr>
            </m:ctrlPr>
          </m:accPr>
          <m:e>
            <m:r>
              <w:rPr>
                <w:rFonts w:ascii="Cambria Math" w:hAnsi="Cambria Math"/>
                <w:color w:val="000000" w:themeColor="text1"/>
                <w:sz w:val="24"/>
                <w:szCs w:val="24"/>
              </w:rPr>
              <m:t>t</m:t>
            </m:r>
          </m:e>
        </m:acc>
      </m:oMath>
      <w:r w:rsidR="00295C86">
        <w:rPr>
          <w:color w:val="000000" w:themeColor="text1"/>
          <w:sz w:val="24"/>
          <w:szCs w:val="24"/>
        </w:rPr>
        <w:tab/>
      </w:r>
      <w:r w:rsidR="00295C86">
        <w:rPr>
          <w:color w:val="000000" w:themeColor="text1"/>
          <w:sz w:val="24"/>
          <w:szCs w:val="24"/>
        </w:rPr>
        <w:tab/>
        <w:t>=residence time, T</w:t>
      </w:r>
    </w:p>
    <w:p w14:paraId="056D0E37" w14:textId="2155BE8C" w:rsidR="00F242D4" w:rsidRPr="0087407F" w:rsidRDefault="0087407F" w:rsidP="00183CBB">
      <w:pPr>
        <w:pStyle w:val="Nomenclature"/>
        <w:spacing w:line="480" w:lineRule="auto"/>
        <w:rPr>
          <w:color w:val="000000" w:themeColor="text1"/>
          <w:sz w:val="24"/>
          <w:szCs w:val="24"/>
        </w:rPr>
      </w:pPr>
      <m:oMath>
        <m:r>
          <w:rPr>
            <w:rFonts w:ascii="Cambria Math" w:hAnsi="Cambria Math"/>
            <w:color w:val="000000" w:themeColor="text1"/>
            <w:sz w:val="24"/>
            <w:szCs w:val="24"/>
          </w:rPr>
          <w:lastRenderedPageBreak/>
          <m:t>V</m:t>
        </m:r>
      </m:oMath>
      <w:r w:rsidR="00295C86">
        <w:rPr>
          <w:color w:val="000000" w:themeColor="text1"/>
          <w:sz w:val="24"/>
          <w:szCs w:val="24"/>
        </w:rPr>
        <w:tab/>
      </w:r>
      <w:r w:rsidR="00295C86">
        <w:rPr>
          <w:color w:val="000000" w:themeColor="text1"/>
          <w:sz w:val="24"/>
          <w:szCs w:val="24"/>
        </w:rPr>
        <w:tab/>
        <w:t>=velocity, L/T</w:t>
      </w:r>
    </w:p>
    <w:p w14:paraId="43C70821" w14:textId="77777777" w:rsidR="00F242D4" w:rsidRPr="0087407F" w:rsidRDefault="00A53410" w:rsidP="00183CBB">
      <w:pPr>
        <w:pStyle w:val="Nomenclature"/>
        <w:spacing w:line="480" w:lineRule="auto"/>
        <w:rPr>
          <w:color w:val="000000" w:themeColor="text1"/>
          <w:sz w:val="24"/>
          <w:szCs w:val="24"/>
        </w:rPr>
      </w:pP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V</m:t>
            </m:r>
          </m:e>
          <m:sub>
            <m:r>
              <w:rPr>
                <w:rFonts w:ascii="Cambria Math" w:hAnsi="Cambria Math"/>
                <w:color w:val="000000" w:themeColor="text1"/>
                <w:sz w:val="24"/>
                <w:szCs w:val="24"/>
              </w:rPr>
              <m:t>Dp</m:t>
            </m:r>
          </m:sub>
        </m:sSub>
      </m:oMath>
      <w:r w:rsidR="00F242D4" w:rsidRPr="0087407F">
        <w:rPr>
          <w:color w:val="000000" w:themeColor="text1"/>
          <w:sz w:val="24"/>
          <w:szCs w:val="24"/>
        </w:rPr>
        <w:tab/>
      </w:r>
      <w:r w:rsidR="00F242D4" w:rsidRPr="0087407F">
        <w:rPr>
          <w:color w:val="000000" w:themeColor="text1"/>
          <w:sz w:val="24"/>
          <w:szCs w:val="24"/>
        </w:rPr>
        <w:tab/>
        <w:t>=Dykstra-Parson coefficient, dimensionless</w:t>
      </w:r>
    </w:p>
    <w:p w14:paraId="458FC403" w14:textId="48111E27" w:rsidR="00F242D4" w:rsidRPr="0087407F" w:rsidRDefault="00A53410" w:rsidP="00183CBB">
      <w:pPr>
        <w:pStyle w:val="Nomenclature"/>
        <w:spacing w:line="480" w:lineRule="auto"/>
        <w:rPr>
          <w:color w:val="000000" w:themeColor="text1"/>
          <w:sz w:val="24"/>
          <w:szCs w:val="24"/>
        </w:rPr>
      </w:pPr>
      <m:oMath>
        <m:acc>
          <m:accPr>
            <m:chr m:val="̅"/>
            <m:ctrlPr>
              <w:rPr>
                <w:rFonts w:ascii="Cambria Math" w:hAnsi="Cambria Math"/>
                <w:color w:val="000000" w:themeColor="text1"/>
                <w:sz w:val="24"/>
                <w:szCs w:val="24"/>
              </w:rPr>
            </m:ctrlPr>
          </m:accPr>
          <m:e>
            <m:r>
              <w:rPr>
                <w:rFonts w:ascii="Cambria Math" w:hAnsi="Cambria Math"/>
                <w:color w:val="000000" w:themeColor="text1"/>
                <w:sz w:val="24"/>
                <w:szCs w:val="24"/>
              </w:rPr>
              <m:t>V</m:t>
            </m:r>
          </m:e>
        </m:acc>
      </m:oMath>
      <w:r w:rsidR="00295C86">
        <w:rPr>
          <w:color w:val="000000" w:themeColor="text1"/>
          <w:sz w:val="24"/>
          <w:szCs w:val="24"/>
        </w:rPr>
        <w:tab/>
      </w:r>
      <w:r w:rsidR="00295C86">
        <w:rPr>
          <w:color w:val="000000" w:themeColor="text1"/>
          <w:sz w:val="24"/>
          <w:szCs w:val="24"/>
        </w:rPr>
        <w:tab/>
        <w:t>=average velocity, L/T</w:t>
      </w:r>
    </w:p>
    <w:p w14:paraId="375F81C1" w14:textId="491759F8" w:rsidR="00F242D4" w:rsidRPr="0087407F" w:rsidRDefault="00A53410" w:rsidP="00183CBB">
      <w:pPr>
        <w:pStyle w:val="Nomenclature"/>
        <w:spacing w:line="480" w:lineRule="auto"/>
        <w:rPr>
          <w:color w:val="000000" w:themeColor="text1"/>
          <w:sz w:val="24"/>
          <w:szCs w:val="24"/>
        </w:rPr>
      </w:pPr>
      <m:oMath>
        <m:acc>
          <m:accPr>
            <m:ctrlPr>
              <w:rPr>
                <w:rFonts w:ascii="Cambria Math" w:hAnsi="Cambria Math"/>
                <w:color w:val="000000" w:themeColor="text1"/>
                <w:sz w:val="24"/>
                <w:szCs w:val="24"/>
              </w:rPr>
            </m:ctrlPr>
          </m:accPr>
          <m:e>
            <m:r>
              <w:rPr>
                <w:rFonts w:ascii="Cambria Math" w:hAnsi="Cambria Math"/>
                <w:color w:val="000000" w:themeColor="text1"/>
                <w:sz w:val="24"/>
                <w:szCs w:val="24"/>
              </w:rPr>
              <m:t>V</m:t>
            </m:r>
          </m:e>
        </m:acc>
      </m:oMath>
      <w:r w:rsidR="00F242D4" w:rsidRPr="0087407F">
        <w:rPr>
          <w:color w:val="000000" w:themeColor="text1"/>
          <w:sz w:val="24"/>
          <w:szCs w:val="24"/>
        </w:rPr>
        <w:tab/>
      </w:r>
      <w:r w:rsidR="00F242D4" w:rsidRPr="0087407F">
        <w:rPr>
          <w:color w:val="000000" w:themeColor="text1"/>
          <w:sz w:val="24"/>
          <w:szCs w:val="24"/>
        </w:rPr>
        <w:tab/>
        <w:t>=swept volume, L</w:t>
      </w:r>
      <w:r w:rsidR="00F242D4" w:rsidRPr="0087407F">
        <w:rPr>
          <w:color w:val="000000" w:themeColor="text1"/>
          <w:sz w:val="24"/>
          <w:szCs w:val="24"/>
          <w:vertAlign w:val="superscript"/>
        </w:rPr>
        <w:t>3</w:t>
      </w:r>
    </w:p>
    <w:p w14:paraId="66019AB5" w14:textId="77777777" w:rsidR="00F242D4" w:rsidRPr="0087407F" w:rsidRDefault="0087407F" w:rsidP="00183CBB">
      <w:pPr>
        <w:pStyle w:val="Nomenclature"/>
        <w:spacing w:line="480" w:lineRule="auto"/>
        <w:rPr>
          <w:color w:val="000000" w:themeColor="text1"/>
          <w:sz w:val="24"/>
          <w:szCs w:val="24"/>
        </w:rPr>
      </w:pPr>
      <m:oMath>
        <m:r>
          <w:rPr>
            <w:rFonts w:ascii="Cambria Math" w:hAnsi="Cambria Math"/>
            <w:color w:val="000000" w:themeColor="text1"/>
            <w:sz w:val="24"/>
            <w:szCs w:val="24"/>
          </w:rPr>
          <m:t>σ</m:t>
        </m:r>
      </m:oMath>
      <w:r w:rsidR="00F242D4" w:rsidRPr="0087407F">
        <w:rPr>
          <w:color w:val="000000" w:themeColor="text1"/>
          <w:sz w:val="24"/>
          <w:szCs w:val="24"/>
        </w:rPr>
        <w:tab/>
      </w:r>
      <w:r w:rsidR="00F242D4" w:rsidRPr="0087407F">
        <w:rPr>
          <w:color w:val="000000" w:themeColor="text1"/>
          <w:sz w:val="24"/>
          <w:szCs w:val="24"/>
        </w:rPr>
        <w:tab/>
        <w:t>=standard deviation</w:t>
      </w:r>
    </w:p>
    <w:p w14:paraId="66990A89" w14:textId="77777777" w:rsidR="00F242D4" w:rsidRPr="0087407F" w:rsidRDefault="00F242D4" w:rsidP="00183CBB">
      <w:pPr>
        <w:pStyle w:val="Nomenclature"/>
        <w:spacing w:line="480" w:lineRule="auto"/>
        <w:rPr>
          <w:i w:val="0"/>
          <w:color w:val="000000" w:themeColor="text1"/>
          <w:sz w:val="24"/>
          <w:szCs w:val="24"/>
        </w:rPr>
      </w:pPr>
    </w:p>
    <w:p w14:paraId="1836227B" w14:textId="77777777" w:rsidR="00F242D4" w:rsidRPr="0087407F" w:rsidRDefault="00F242D4" w:rsidP="00183CBB">
      <w:pPr>
        <w:pStyle w:val="Head2"/>
        <w:spacing w:line="480" w:lineRule="auto"/>
        <w:ind w:firstLine="0"/>
        <w:rPr>
          <w:color w:val="000000" w:themeColor="text1"/>
          <w:sz w:val="24"/>
          <w:szCs w:val="24"/>
        </w:rPr>
      </w:pPr>
      <w:r w:rsidRPr="0087407F">
        <w:rPr>
          <w:rFonts w:asciiTheme="minorHAnsi" w:hAnsiTheme="minorHAnsi" w:cstheme="minorHAnsi"/>
          <w:color w:val="000000" w:themeColor="text1"/>
          <w:sz w:val="24"/>
          <w:szCs w:val="24"/>
        </w:rPr>
        <w:t>Subscripts</w:t>
      </w:r>
    </w:p>
    <w:p w14:paraId="6FD5940F" w14:textId="77777777" w:rsidR="00F242D4" w:rsidRPr="0087407F" w:rsidRDefault="0087407F" w:rsidP="00183CBB">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alcohol</m:t>
        </m:r>
      </m:oMath>
      <w:r w:rsidR="00F242D4" w:rsidRPr="0087407F">
        <w:rPr>
          <w:rFonts w:ascii="Cambria Math" w:hAnsi="Cambria Math"/>
          <w:color w:val="000000" w:themeColor="text1"/>
          <w:sz w:val="24"/>
          <w:szCs w:val="24"/>
        </w:rPr>
        <w:tab/>
        <w:t xml:space="preserve">  =component alcohol</w:t>
      </w:r>
    </w:p>
    <w:p w14:paraId="6F9DF94F" w14:textId="77777777" w:rsidR="00F242D4" w:rsidRPr="0087407F" w:rsidRDefault="0087407F" w:rsidP="00183CBB">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ester</m:t>
        </m:r>
      </m:oMath>
      <w:r w:rsidR="00F242D4" w:rsidRPr="0087407F">
        <w:rPr>
          <w:rFonts w:ascii="Cambria Math" w:hAnsi="Cambria Math"/>
          <w:color w:val="000000" w:themeColor="text1"/>
          <w:sz w:val="24"/>
          <w:szCs w:val="24"/>
        </w:rPr>
        <w:tab/>
      </w:r>
      <w:r w:rsidR="00F242D4" w:rsidRPr="0087407F">
        <w:rPr>
          <w:rFonts w:ascii="Cambria Math" w:hAnsi="Cambria Math"/>
          <w:color w:val="000000" w:themeColor="text1"/>
          <w:sz w:val="24"/>
          <w:szCs w:val="24"/>
        </w:rPr>
        <w:tab/>
        <w:t>=component ester</w:t>
      </w:r>
    </w:p>
    <w:p w14:paraId="1A724144" w14:textId="77777777" w:rsidR="00F242D4" w:rsidRPr="0087407F" w:rsidRDefault="0087407F" w:rsidP="00183CBB">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eq</m:t>
        </m:r>
      </m:oMath>
      <w:r w:rsidR="00F242D4" w:rsidRPr="0087407F">
        <w:rPr>
          <w:rFonts w:ascii="Cambria Math" w:hAnsi="Cambria Math"/>
          <w:color w:val="000000" w:themeColor="text1"/>
          <w:sz w:val="24"/>
          <w:szCs w:val="24"/>
        </w:rPr>
        <w:tab/>
      </w:r>
      <w:r w:rsidR="00F242D4" w:rsidRPr="0087407F">
        <w:rPr>
          <w:rFonts w:ascii="Cambria Math" w:hAnsi="Cambria Math"/>
          <w:color w:val="000000" w:themeColor="text1"/>
          <w:sz w:val="24"/>
          <w:szCs w:val="24"/>
        </w:rPr>
        <w:tab/>
        <w:t>=at equilibrium condition</w:t>
      </w:r>
    </w:p>
    <w:p w14:paraId="2C3E8108" w14:textId="77777777" w:rsidR="00F242D4" w:rsidRPr="0087407F" w:rsidRDefault="0087407F" w:rsidP="00183CBB">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k</m:t>
        </m:r>
      </m:oMath>
      <w:r w:rsidR="00F242D4" w:rsidRPr="0087407F">
        <w:rPr>
          <w:rFonts w:ascii="Cambria Math" w:hAnsi="Cambria Math"/>
          <w:color w:val="000000" w:themeColor="text1"/>
          <w:sz w:val="24"/>
          <w:szCs w:val="24"/>
        </w:rPr>
        <w:tab/>
      </w:r>
      <w:r w:rsidR="00F242D4" w:rsidRPr="0087407F">
        <w:rPr>
          <w:rFonts w:ascii="Cambria Math" w:hAnsi="Cambria Math"/>
          <w:color w:val="000000" w:themeColor="text1"/>
          <w:sz w:val="24"/>
          <w:szCs w:val="24"/>
        </w:rPr>
        <w:tab/>
        <w:t>=tracer k</w:t>
      </w:r>
    </w:p>
    <w:p w14:paraId="74E8D3A3" w14:textId="77777777" w:rsidR="00F242D4" w:rsidRPr="0087407F" w:rsidRDefault="0087407F" w:rsidP="00183CBB">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o</m:t>
        </m:r>
      </m:oMath>
      <w:r w:rsidR="00F242D4" w:rsidRPr="0087407F">
        <w:rPr>
          <w:rFonts w:ascii="Cambria Math" w:hAnsi="Cambria Math"/>
          <w:color w:val="000000" w:themeColor="text1"/>
          <w:sz w:val="24"/>
          <w:szCs w:val="24"/>
        </w:rPr>
        <w:tab/>
      </w:r>
      <w:r w:rsidR="00F242D4" w:rsidRPr="0087407F">
        <w:rPr>
          <w:rFonts w:ascii="Cambria Math" w:hAnsi="Cambria Math"/>
          <w:color w:val="000000" w:themeColor="text1"/>
          <w:sz w:val="24"/>
          <w:szCs w:val="24"/>
        </w:rPr>
        <w:tab/>
        <w:t>=oil</w:t>
      </w:r>
    </w:p>
    <w:p w14:paraId="230C1C36" w14:textId="77777777" w:rsidR="00F242D4" w:rsidRPr="0087407F" w:rsidRDefault="0087407F" w:rsidP="00183CBB">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or</m:t>
        </m:r>
      </m:oMath>
      <w:r w:rsidR="00F242D4" w:rsidRPr="0087407F">
        <w:rPr>
          <w:rFonts w:ascii="Cambria Math" w:hAnsi="Cambria Math"/>
          <w:color w:val="000000" w:themeColor="text1"/>
          <w:sz w:val="24"/>
          <w:szCs w:val="24"/>
        </w:rPr>
        <w:tab/>
      </w:r>
      <w:r w:rsidR="00F242D4" w:rsidRPr="0087407F">
        <w:rPr>
          <w:rFonts w:ascii="Cambria Math" w:hAnsi="Cambria Math"/>
          <w:color w:val="000000" w:themeColor="text1"/>
          <w:sz w:val="24"/>
          <w:szCs w:val="24"/>
        </w:rPr>
        <w:tab/>
        <w:t>=residual oil</w:t>
      </w:r>
    </w:p>
    <w:p w14:paraId="22A3112C" w14:textId="77777777" w:rsidR="00F242D4" w:rsidRPr="0087407F" w:rsidRDefault="0087407F" w:rsidP="00183CBB">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peak</m:t>
        </m:r>
      </m:oMath>
      <w:r w:rsidR="00F242D4" w:rsidRPr="0087407F">
        <w:rPr>
          <w:rFonts w:ascii="Cambria Math" w:hAnsi="Cambria Math"/>
          <w:color w:val="000000" w:themeColor="text1"/>
          <w:sz w:val="24"/>
          <w:szCs w:val="24"/>
        </w:rPr>
        <w:tab/>
      </w:r>
      <w:r w:rsidR="00F242D4" w:rsidRPr="0087407F">
        <w:rPr>
          <w:rFonts w:ascii="Cambria Math" w:hAnsi="Cambria Math"/>
          <w:color w:val="000000" w:themeColor="text1"/>
          <w:sz w:val="24"/>
          <w:szCs w:val="24"/>
        </w:rPr>
        <w:tab/>
        <w:t>=peak time</w:t>
      </w:r>
    </w:p>
    <w:p w14:paraId="64D67862" w14:textId="77777777" w:rsidR="00F242D4" w:rsidRPr="0087407F" w:rsidRDefault="00F242D4" w:rsidP="00183CBB">
      <w:pPr>
        <w:pStyle w:val="Nomenclature"/>
        <w:spacing w:line="480" w:lineRule="auto"/>
        <w:rPr>
          <w:rFonts w:ascii="Cambria Math" w:hAnsi="Cambria Math"/>
          <w:color w:val="000000" w:themeColor="text1"/>
          <w:sz w:val="24"/>
          <w:szCs w:val="24"/>
        </w:rPr>
      </w:pPr>
      <w:r w:rsidRPr="0087407F">
        <w:rPr>
          <w:rFonts w:ascii="Cambria Math" w:hAnsi="Cambria Math"/>
          <w:color w:val="000000" w:themeColor="text1"/>
          <w:sz w:val="24"/>
          <w:szCs w:val="24"/>
        </w:rPr>
        <w:t>res</w:t>
      </w:r>
      <w:r w:rsidRPr="0087407F">
        <w:rPr>
          <w:rFonts w:ascii="Cambria Math" w:hAnsi="Cambria Math"/>
          <w:color w:val="000000" w:themeColor="text1"/>
          <w:sz w:val="24"/>
          <w:szCs w:val="24"/>
        </w:rPr>
        <w:tab/>
      </w:r>
      <w:r w:rsidRPr="0087407F">
        <w:rPr>
          <w:rFonts w:ascii="Cambria Math" w:hAnsi="Cambria Math"/>
          <w:color w:val="000000" w:themeColor="text1"/>
          <w:sz w:val="24"/>
          <w:szCs w:val="24"/>
        </w:rPr>
        <w:tab/>
        <w:t>=residence time</w:t>
      </w:r>
    </w:p>
    <w:p w14:paraId="12D538AC" w14:textId="77777777" w:rsidR="00F242D4" w:rsidRPr="0087407F" w:rsidRDefault="0087407F" w:rsidP="00183CBB">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w</m:t>
        </m:r>
      </m:oMath>
      <w:r w:rsidR="00F242D4" w:rsidRPr="0087407F">
        <w:rPr>
          <w:rFonts w:ascii="Cambria Math" w:hAnsi="Cambria Math"/>
          <w:color w:val="000000" w:themeColor="text1"/>
          <w:sz w:val="24"/>
          <w:szCs w:val="24"/>
        </w:rPr>
        <w:tab/>
      </w:r>
      <w:r w:rsidR="00F242D4" w:rsidRPr="0087407F">
        <w:rPr>
          <w:rFonts w:ascii="Cambria Math" w:hAnsi="Cambria Math"/>
          <w:color w:val="000000" w:themeColor="text1"/>
          <w:sz w:val="24"/>
          <w:szCs w:val="24"/>
        </w:rPr>
        <w:tab/>
        <w:t>=water</w:t>
      </w:r>
    </w:p>
    <w:p w14:paraId="18EBD5A2" w14:textId="77777777" w:rsidR="00F242D4" w:rsidRPr="0087407F" w:rsidRDefault="0087407F" w:rsidP="00183CBB">
      <w:pPr>
        <w:pStyle w:val="Nomenclature"/>
        <w:spacing w:line="480" w:lineRule="auto"/>
        <w:rPr>
          <w:rFonts w:ascii="Cambria Math" w:hAnsi="Cambria Math"/>
          <w:color w:val="000000" w:themeColor="text1"/>
          <w:sz w:val="24"/>
          <w:szCs w:val="24"/>
        </w:rPr>
      </w:pPr>
      <w:r>
        <w:rPr>
          <w:rFonts w:ascii="Cambria Math" w:hAnsi="Cambria Math"/>
          <w:color w:val="000000" w:themeColor="text1"/>
          <w:sz w:val="24"/>
          <w:szCs w:val="24"/>
        </w:rPr>
        <w:t>1</w:t>
      </w:r>
      <w:r>
        <w:rPr>
          <w:rFonts w:ascii="Cambria Math" w:hAnsi="Cambria Math"/>
          <w:color w:val="000000" w:themeColor="text1"/>
          <w:sz w:val="24"/>
          <w:szCs w:val="24"/>
        </w:rPr>
        <w:tab/>
      </w:r>
      <w:r w:rsidR="00F242D4" w:rsidRPr="0087407F">
        <w:rPr>
          <w:rFonts w:ascii="Cambria Math" w:hAnsi="Cambria Math"/>
          <w:color w:val="000000" w:themeColor="text1"/>
          <w:sz w:val="24"/>
          <w:szCs w:val="24"/>
        </w:rPr>
        <w:tab/>
        <w:t>=tracer 1</w:t>
      </w:r>
    </w:p>
    <w:p w14:paraId="2A6F75B4" w14:textId="77777777" w:rsidR="00F242D4" w:rsidRPr="0087407F" w:rsidRDefault="0087407F" w:rsidP="00183CBB">
      <w:pPr>
        <w:pStyle w:val="Nomenclature"/>
        <w:spacing w:line="480" w:lineRule="auto"/>
        <w:rPr>
          <w:rFonts w:ascii="Cambria Math" w:hAnsi="Cambria Math"/>
          <w:color w:val="000000" w:themeColor="text1"/>
          <w:sz w:val="24"/>
          <w:szCs w:val="24"/>
        </w:rPr>
      </w:pPr>
      <w:r>
        <w:rPr>
          <w:rFonts w:ascii="Cambria Math" w:hAnsi="Cambria Math"/>
          <w:color w:val="000000" w:themeColor="text1"/>
          <w:sz w:val="24"/>
          <w:szCs w:val="24"/>
        </w:rPr>
        <w:t>2</w:t>
      </w:r>
      <w:r w:rsidR="00F242D4" w:rsidRPr="0087407F">
        <w:rPr>
          <w:rFonts w:ascii="Cambria Math" w:hAnsi="Cambria Math"/>
          <w:color w:val="000000" w:themeColor="text1"/>
          <w:sz w:val="24"/>
          <w:szCs w:val="24"/>
        </w:rPr>
        <w:tab/>
      </w:r>
      <w:r w:rsidR="00F242D4" w:rsidRPr="0087407F">
        <w:rPr>
          <w:rFonts w:ascii="Cambria Math" w:hAnsi="Cambria Math"/>
          <w:color w:val="000000" w:themeColor="text1"/>
          <w:sz w:val="24"/>
          <w:szCs w:val="24"/>
        </w:rPr>
        <w:tab/>
        <w:t>=tracer 2</w:t>
      </w:r>
    </w:p>
    <w:p w14:paraId="110349AB" w14:textId="77777777" w:rsidR="008874BD" w:rsidRDefault="008874BD" w:rsidP="00923C92">
      <w:pPr>
        <w:spacing w:line="240" w:lineRule="auto"/>
        <w:ind w:firstLine="0"/>
        <w:jc w:val="left"/>
        <w:rPr>
          <w:rFonts w:asciiTheme="majorHAnsi" w:hAnsiTheme="majorHAnsi"/>
          <w:b/>
          <w:bCs/>
          <w:sz w:val="28"/>
          <w:szCs w:val="32"/>
        </w:rPr>
      </w:pPr>
      <w:r>
        <w:br w:type="page"/>
      </w:r>
    </w:p>
    <w:p w14:paraId="462DDF57" w14:textId="77777777" w:rsidR="004D1572" w:rsidRDefault="00A85DF8" w:rsidP="00F52532">
      <w:pPr>
        <w:pStyle w:val="Heading1"/>
      </w:pPr>
      <w:bookmarkStart w:id="115" w:name="_Toc491875882"/>
      <w:bookmarkStart w:id="116" w:name="_Toc491876441"/>
      <w:bookmarkStart w:id="117" w:name="_Toc494014210"/>
      <w:bookmarkEnd w:id="115"/>
      <w:bookmarkEnd w:id="116"/>
      <w:r>
        <w:lastRenderedPageBreak/>
        <w:t>Estimation of Hydraulic Fracture Volume utilizing Partitioning Chemical Tracer in Shale Gas Formation</w:t>
      </w:r>
      <w:bookmarkEnd w:id="117"/>
    </w:p>
    <w:p w14:paraId="68DDEB9D" w14:textId="470E6FA8" w:rsidR="00A85DF8" w:rsidRDefault="00A85DF8" w:rsidP="00A85DF8">
      <w:pPr>
        <w:pStyle w:val="Heading2"/>
      </w:pPr>
      <w:bookmarkStart w:id="118" w:name="_Toc494014211"/>
      <w:r>
        <w:t>Introduction</w:t>
      </w:r>
      <w:bookmarkEnd w:id="118"/>
    </w:p>
    <w:p w14:paraId="24A4CC2A" w14:textId="77777777" w:rsidR="00A85DF8" w:rsidRDefault="00A85DF8" w:rsidP="00A85DF8">
      <w:r>
        <w:t xml:space="preserve">Hydraulic fracturing has been applied in shale gas development to increase the contact area with matrix and create permeable conduits for fluid flow. Knowledge of hydraulic fracture volume is essential in determining the stimulation treatment efficiency. However, the fracture volume diagnosis is very challenging because of the complexities of rock property and fracturing process. Davis (2009) summarized capabilities and limitations of numerous fracture diagnostic technologies, including tiltmeters, microseismic mapping and radioactive tracers. Among them, only surface tilt mapping is able to determine the hydraulic fracture volume, while its resolution decreases with depth. </w:t>
      </w:r>
    </w:p>
    <w:p w14:paraId="613930D6" w14:textId="77777777" w:rsidR="00A85DF8" w:rsidRDefault="00A85DF8" w:rsidP="00A85DF8">
      <w:r w:rsidRPr="00150F51">
        <w:t xml:space="preserve">Chemical tracer </w:t>
      </w:r>
      <w:r>
        <w:t xml:space="preserve">is a powerful technology for reservoir characterization (Tomich et al. 1973; Sheely Jr and Baldwin Jr 1982; </w:t>
      </w:r>
      <w:r>
        <w:rPr>
          <w:noProof/>
        </w:rPr>
        <w:t xml:space="preserve">Abbaszadeh-Dehghani and Brigham 1984; </w:t>
      </w:r>
      <w:r>
        <w:t>Allison et al. 1991). In recent years, its application has been extended in hydraulic fracturing to evaluate contribution of each fracture stage to the total hydrocarbon production in a multi-stage horizontal well (</w:t>
      </w:r>
      <w:r>
        <w:rPr>
          <w:noProof/>
        </w:rPr>
        <w:t>Goswick and LaRue 2014, King and Leonard 2011, Catlett et al. 2013)</w:t>
      </w:r>
      <w:r>
        <w:t xml:space="preserve">. Chemical tracer can also help understand interwell communication for fractured wells (Crawford et al. 2014). </w:t>
      </w:r>
    </w:p>
    <w:p w14:paraId="6A1369D1" w14:textId="08F16526" w:rsidR="00A85DF8" w:rsidRDefault="00A85DF8" w:rsidP="00801D28">
      <w:pPr>
        <w:pStyle w:val="ListParagraph"/>
      </w:pPr>
      <w:r>
        <w:t>Chemical tracer is rarely used to estimate hydraulic fracture volume. Gardien et al. (1996) revealed that the tracer response was sensitive to an influence ratio, which was the combination o</w:t>
      </w:r>
      <w:r w:rsidR="0004427B">
        <w:t>f fracture half-</w:t>
      </w:r>
      <w:r>
        <w:t xml:space="preserve">length, fracture height, formation porosity and injected volume. They noticed that tracer response in fractured reservoir was quite </w:t>
      </w:r>
      <w:r>
        <w:lastRenderedPageBreak/>
        <w:t xml:space="preserve">different with a homogeneous reservoir, indicating the possibility of hydraulic fracture diagnosis using chemical tracer. On the other hand, it was impossible to determine the fracture volume directly because fracture width was not included in the ratio. Leong et al. (2015) utilized deuterium tracer to detect the fracture volume based on flowrate and residence time in a well pair setting. They neglected the tracer swept volume in matrix, which could lead to an overestimation of fracture volume eventually. Elahi and </w:t>
      </w:r>
      <w:r w:rsidRPr="007A4765">
        <w:rPr>
          <w:color w:val="000000" w:themeColor="text1"/>
        </w:rPr>
        <w:t>Jafarpour</w:t>
      </w:r>
      <w:r>
        <w:t xml:space="preserve"> (2015) proposed to analyze tracer test data for fracture volume using ensemble Kalman filter. However, this approach is difficult to employ because it required tremendous fracture and matrix information for the data assimilation. </w:t>
      </w:r>
    </w:p>
    <w:p w14:paraId="05CF5C3C" w14:textId="56CBFC46" w:rsidR="00A85DF8" w:rsidRDefault="0081183F" w:rsidP="00A85DF8">
      <w:r>
        <w:t>This chapter</w:t>
      </w:r>
      <w:r w:rsidR="00A85DF8">
        <w:t xml:space="preserve"> describes the use of partitioning chemical tracer to estimate hydraulic fracture volume in shale gas formation. </w:t>
      </w:r>
      <w:r w:rsidR="00A85DF8" w:rsidRPr="0099208F">
        <w:t>To compute the hydraulic fracture vo</w:t>
      </w:r>
      <w:r w:rsidR="00A85DF8">
        <w:t xml:space="preserve">lume, </w:t>
      </w:r>
      <w:r w:rsidR="00E41F44">
        <w:t>method of moments</w:t>
      </w:r>
      <w:r w:rsidR="00A85DF8">
        <w:t xml:space="preserve"> is</w:t>
      </w:r>
      <w:r w:rsidR="00A85DF8" w:rsidRPr="0099208F">
        <w:t xml:space="preserve"> applied </w:t>
      </w:r>
      <w:r w:rsidR="00E41F44">
        <w:t>to</w:t>
      </w:r>
      <w:r w:rsidR="00E41F44" w:rsidRPr="0099208F">
        <w:t xml:space="preserve"> </w:t>
      </w:r>
      <w:r w:rsidR="00A85DF8" w:rsidRPr="0099208F">
        <w:t>the tracer production in both phases</w:t>
      </w:r>
      <w:r w:rsidR="00A85DF8">
        <w:t>, gas and water,</w:t>
      </w:r>
      <w:r w:rsidR="00A85DF8" w:rsidRPr="0099208F">
        <w:t xml:space="preserve"> correspondingly.</w:t>
      </w:r>
      <w:r w:rsidR="00A85DF8">
        <w:t xml:space="preserve"> The impact of tracer invasion into the matrix can be decoupled from the overall tracer data. </w:t>
      </w:r>
      <w:r>
        <w:t xml:space="preserve">In addition, impacts of partition coefficient and adsorption are also investigated. </w:t>
      </w:r>
      <w:r w:rsidR="00A85DF8">
        <w:t xml:space="preserve">Synthetic numerical modeling was used to validate the proposed approach. </w:t>
      </w:r>
    </w:p>
    <w:p w14:paraId="7F120D16" w14:textId="77777777" w:rsidR="00A85DF8" w:rsidRDefault="00792BBD" w:rsidP="00792BBD">
      <w:pPr>
        <w:pStyle w:val="Heading2"/>
      </w:pPr>
      <w:bookmarkStart w:id="119" w:name="_Toc494014212"/>
      <w:r>
        <w:t>Methodology</w:t>
      </w:r>
      <w:bookmarkEnd w:id="119"/>
    </w:p>
    <w:p w14:paraId="728CF408" w14:textId="573FD5E9" w:rsidR="00792BBD" w:rsidRDefault="00792BBD" w:rsidP="00792BBD">
      <w:r>
        <w:t>F</w:t>
      </w:r>
      <w:r w:rsidRPr="0099208F">
        <w:t xml:space="preserve">or most </w:t>
      </w:r>
      <w:r>
        <w:t xml:space="preserve">shale gas </w:t>
      </w:r>
      <w:r w:rsidRPr="0099208F">
        <w:t xml:space="preserve">formations, more than 60% of </w:t>
      </w:r>
      <w:r w:rsidR="00FF054E">
        <w:t xml:space="preserve">injected </w:t>
      </w:r>
      <w:r w:rsidRPr="0099208F">
        <w:t>fracking fluid is not produced back in the early production stage</w:t>
      </w:r>
      <w:r>
        <w:t xml:space="preserve"> according to the field observations (Crafton 2008).</w:t>
      </w:r>
      <w:r w:rsidRPr="0099208F">
        <w:t xml:space="preserve"> </w:t>
      </w:r>
      <w:r>
        <w:t>T</w:t>
      </w:r>
      <w:r w:rsidRPr="0099208F">
        <w:t xml:space="preserve">herefore, </w:t>
      </w:r>
      <w:r>
        <w:t xml:space="preserve">for the fracking fluid soluble tracers (conservative tracers), </w:t>
      </w:r>
      <w:r w:rsidRPr="0099208F">
        <w:t>the</w:t>
      </w:r>
      <w:r>
        <w:t>ir</w:t>
      </w:r>
      <w:r w:rsidRPr="0099208F">
        <w:t xml:space="preserve"> production history </w:t>
      </w:r>
      <w:r>
        <w:t>would be</w:t>
      </w:r>
      <w:r w:rsidRPr="0099208F">
        <w:t xml:space="preserve"> either too limited, which may lead to incorrect estimations o</w:t>
      </w:r>
      <w:r>
        <w:t>f</w:t>
      </w:r>
      <w:r w:rsidRPr="0099208F">
        <w:t xml:space="preserve"> </w:t>
      </w:r>
      <w:r>
        <w:t>fracture volume</w:t>
      </w:r>
      <w:r w:rsidRPr="0099208F">
        <w:t xml:space="preserve">, or the tracer information is too late </w:t>
      </w:r>
      <w:r>
        <w:t>to yield</w:t>
      </w:r>
      <w:r w:rsidRPr="0099208F">
        <w:t xml:space="preserve"> use</w:t>
      </w:r>
      <w:r>
        <w:t>ful information</w:t>
      </w:r>
      <w:r w:rsidRPr="0099208F">
        <w:t>.</w:t>
      </w:r>
      <w:r>
        <w:t xml:space="preserve"> Another type of conservative tracer is gas soluble tracers. G</w:t>
      </w:r>
      <w:r w:rsidRPr="0099208F">
        <w:t xml:space="preserve">iven that gas from the </w:t>
      </w:r>
      <w:r>
        <w:t xml:space="preserve">shale </w:t>
      </w:r>
      <w:r w:rsidRPr="0099208F">
        <w:lastRenderedPageBreak/>
        <w:t>reservoir has a much higher mobility than the fracking fluid and some reservoirs may even have immediate gas production right after completion</w:t>
      </w:r>
      <w:r>
        <w:t xml:space="preserve"> (Asadi et al. 2008), these tracers </w:t>
      </w:r>
      <w:r w:rsidR="00295C86">
        <w:t xml:space="preserve">are anticipated to </w:t>
      </w:r>
      <w:r>
        <w:t xml:space="preserve">quickly flow back. However, on the other hand, gas soluble tracers fail to provide sufficient information about the fracking fluid in the hydraulic fracture, and consequently </w:t>
      </w:r>
      <w:r w:rsidR="00295C86">
        <w:t>it</w:t>
      </w:r>
      <w:r>
        <w:t xml:space="preserve"> cannot accurately evaluate the fracture volume.</w:t>
      </w:r>
    </w:p>
    <w:p w14:paraId="247ADE9A" w14:textId="5F3DB8B4" w:rsidR="00792BBD" w:rsidRDefault="00792BBD" w:rsidP="00792BBD">
      <w:r>
        <w:t xml:space="preserve">Upon previous discussions, </w:t>
      </w:r>
      <w:r w:rsidR="00446C6C">
        <w:t>this study</w:t>
      </w:r>
      <w:r>
        <w:t xml:space="preserve"> propose</w:t>
      </w:r>
      <w:r w:rsidR="00446C6C">
        <w:t>s</w:t>
      </w:r>
      <w:r>
        <w:t xml:space="preserve"> to use partitioning chemical tracer, which is soluble in both gas and fracking fluid. The partitioning coefficient, </w:t>
      </w:r>
      <w:r w:rsidRPr="00B45A0E">
        <w:rPr>
          <w:i/>
        </w:rPr>
        <w:t>K</w:t>
      </w:r>
      <w:r>
        <w:rPr>
          <w:i/>
        </w:rPr>
        <w:t>,</w:t>
      </w:r>
      <w:r>
        <w:t xml:space="preserve"> of tracer is defined as the ratio of tracer mole fraction in gas to its mole fraction in water (Eq. 3-1). Partitioning tracer production data will reflect the both phases that could simultaneously occur in the hydraulic fracture. In addition, it can flow back with gas in a short period of time, suggesting the potential of early interpretation of fracture volume.</w:t>
      </w:r>
    </w:p>
    <w:p w14:paraId="18BA91FD" w14:textId="77777777" w:rsidR="00792BBD" w:rsidRDefault="002B0191" w:rsidP="00792BBD">
      <m:oMath>
        <m:r>
          <m:rPr>
            <m:sty m:val="p"/>
          </m:rPr>
          <w:rPr>
            <w:rFonts w:ascii="Cambria Math" w:hAnsi="Cambria Math"/>
          </w:rPr>
          <m:t>K=</m:t>
        </m:r>
        <m:sSub>
          <m:sSubPr>
            <m:ctrlPr>
              <w:rPr>
                <w:rFonts w:ascii="Cambria Math" w:hAnsi="Cambria Math"/>
                <w:iCs/>
              </w:rPr>
            </m:ctrlPr>
          </m:sSubPr>
          <m:e>
            <m:d>
              <m:dPr>
                <m:ctrlPr>
                  <w:rPr>
                    <w:rFonts w:ascii="Cambria Math" w:hAnsi="Cambria Math"/>
                    <w:iCs/>
                  </w:rPr>
                </m:ctrlPr>
              </m:dPr>
              <m:e>
                <m:f>
                  <m:fPr>
                    <m:ctrlPr>
                      <w:rPr>
                        <w:rFonts w:ascii="Cambria Math" w:hAnsi="Cambria Math"/>
                        <w:iCs/>
                      </w:rPr>
                    </m:ctrlPr>
                  </m:fPr>
                  <m:num>
                    <m:sSub>
                      <m:sSubPr>
                        <m:ctrlPr>
                          <w:rPr>
                            <w:rFonts w:ascii="Cambria Math" w:hAnsi="Cambria Math"/>
                          </w:rPr>
                        </m:ctrlPr>
                      </m:sSubPr>
                      <m:e>
                        <m:r>
                          <m:rPr>
                            <m:sty m:val="p"/>
                          </m:rPr>
                          <w:rPr>
                            <w:rFonts w:ascii="Cambria Math" w:hAnsi="Cambria Math"/>
                          </w:rPr>
                          <m:t>C</m:t>
                        </m:r>
                      </m:e>
                      <m:sub>
                        <m:r>
                          <m:rPr>
                            <m:sty m:val="p"/>
                          </m:rPr>
                          <w:rPr>
                            <w:rFonts w:ascii="Cambria Math" w:hAnsi="Cambria Math"/>
                          </w:rPr>
                          <m:t>g</m:t>
                        </m:r>
                      </m:sub>
                    </m:sSub>
                  </m:num>
                  <m:den>
                    <m:sSub>
                      <m:sSubPr>
                        <m:ctrlPr>
                          <w:rPr>
                            <w:rFonts w:ascii="Cambria Math" w:hAnsi="Cambria Math"/>
                          </w:rPr>
                        </m:ctrlPr>
                      </m:sSubPr>
                      <m:e>
                        <m:r>
                          <m:rPr>
                            <m:sty m:val="p"/>
                          </m:rPr>
                          <w:rPr>
                            <w:rFonts w:ascii="Cambria Math" w:hAnsi="Cambria Math"/>
                          </w:rPr>
                          <m:t>C</m:t>
                        </m:r>
                      </m:e>
                      <m:sub>
                        <m:r>
                          <m:rPr>
                            <m:sty m:val="p"/>
                          </m:rPr>
                          <w:rPr>
                            <w:rFonts w:ascii="Cambria Math" w:hAnsi="Cambria Math"/>
                          </w:rPr>
                          <m:t>w</m:t>
                        </m:r>
                      </m:sub>
                    </m:sSub>
                  </m:den>
                </m:f>
              </m:e>
            </m:d>
          </m:e>
          <m:sub>
            <m:r>
              <m:rPr>
                <m:sty m:val="p"/>
              </m:rPr>
              <w:rPr>
                <w:rFonts w:ascii="Cambria Math" w:hAnsi="Cambria Math"/>
              </w:rPr>
              <m:t>eq</m:t>
            </m:r>
          </m:sub>
        </m:sSub>
      </m:oMath>
      <w:r w:rsidR="00792BBD">
        <w:rPr>
          <w:iCs/>
        </w:rPr>
        <w:tab/>
      </w:r>
      <w:r w:rsidR="00792BBD">
        <w:t>(3-1)</w:t>
      </w:r>
    </w:p>
    <w:p w14:paraId="487F5ACC" w14:textId="77777777" w:rsidR="00792BBD" w:rsidRDefault="00792BBD" w:rsidP="009C12AD">
      <w:pPr>
        <w:pStyle w:val="Heading3"/>
      </w:pPr>
      <w:bookmarkStart w:id="120" w:name="_Toc494014213"/>
      <w:r>
        <w:t>Swept Volume Calculation</w:t>
      </w:r>
      <w:bookmarkEnd w:id="120"/>
    </w:p>
    <w:p w14:paraId="58CB0D50" w14:textId="77777777" w:rsidR="00792BBD" w:rsidRDefault="00792BBD" w:rsidP="00792BBD">
      <w:r>
        <w:t xml:space="preserve">Method of Moments (MoM) has been widely used to interpret tracer production data. First moment gives the tracer swept volume. For the produced tracer concentration versus cumulative produced volume within phase </w:t>
      </w:r>
      <w:r w:rsidRPr="00A33800">
        <w:rPr>
          <w:i/>
        </w:rPr>
        <w:t>i</w:t>
      </w:r>
      <w:r>
        <w:t>, the first moment is calculated as (Oyerinde 2005):</w:t>
      </w:r>
    </w:p>
    <w:p w14:paraId="00CAA1AA" w14:textId="56D88FAE" w:rsidR="00792BBD" w:rsidRDefault="00A53410" w:rsidP="00792BBD">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i,swept</m:t>
            </m:r>
          </m:sub>
        </m:sSub>
        <m:r>
          <m:rPr>
            <m:sty m:val="p"/>
          </m:rPr>
          <w:rPr>
            <w:rFonts w:ascii="Cambria Math" w:hAnsi="Cambria Math"/>
          </w:rPr>
          <m:t>=</m:t>
        </m:r>
        <m:f>
          <m:fPr>
            <m:ctrlPr>
              <w:rPr>
                <w:rFonts w:ascii="Cambria Math" w:hAnsi="Cambria Math"/>
              </w:rPr>
            </m:ctrlPr>
          </m:fPr>
          <m:num>
            <m:nary>
              <m:naryPr>
                <m:limLoc m:val="undOvr"/>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sSub>
                  <m:sSubPr>
                    <m:ctrlPr>
                      <w:rPr>
                        <w:rFonts w:ascii="Cambria Math" w:hAnsi="Cambria Math"/>
                      </w:rPr>
                    </m:ctrlPr>
                  </m:sSubPr>
                  <m:e>
                    <m:r>
                      <m:rPr>
                        <m:sty m:val="p"/>
                      </m:rPr>
                      <w:rPr>
                        <w:rFonts w:ascii="Cambria Math" w:hAnsi="Cambria Math"/>
                      </w:rPr>
                      <m:t>V</m:t>
                    </m:r>
                  </m:e>
                  <m:sub>
                    <m:r>
                      <m:rPr>
                        <m:sty m:val="p"/>
                      </m:rPr>
                      <w:rPr>
                        <w:rFonts w:ascii="Cambria Math" w:hAnsi="Cambria Math"/>
                      </w:rPr>
                      <m:t>i</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i</m:t>
                    </m:r>
                  </m:sub>
                </m:sSub>
                <m:r>
                  <m:rPr>
                    <m:sty m:val="p"/>
                  </m:rPr>
                  <w:rPr>
                    <w:rFonts w:ascii="Cambria Math" w:hAnsi="Cambria Math"/>
                  </w:rPr>
                  <m:t>d</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i</m:t>
                    </m:r>
                  </m:sub>
                </m:sSub>
              </m:e>
            </m:nary>
          </m:num>
          <m:den>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i</m:t>
                    </m:r>
                  </m:sub>
                </m:sSub>
                <m:r>
                  <m:rPr>
                    <m:sty m:val="p"/>
                  </m:rPr>
                  <w:rPr>
                    <w:rFonts w:ascii="Cambria Math" w:hAnsi="Cambria Math"/>
                  </w:rPr>
                  <m:t>d</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i</m:t>
                    </m:r>
                  </m:sub>
                </m:sSub>
              </m:e>
            </m:nary>
          </m:den>
        </m:f>
      </m:oMath>
      <w:r w:rsidR="00792BBD">
        <w:tab/>
        <w:t>(3-2)</w:t>
      </w:r>
    </w:p>
    <w:p w14:paraId="78A8A3F0" w14:textId="76C1290D" w:rsidR="00792BBD" w:rsidRDefault="00792BBD" w:rsidP="00792BBD">
      <w:r>
        <w:t xml:space="preserve">Gas and fracking fluid could exist in the hydraulic fracture at the same time. Since partitioning tracer also exists in both phases, its swept volumes in gas and fracking fluid should be taken into account in order to get the total swept volume in </w:t>
      </w:r>
      <w:r>
        <w:lastRenderedPageBreak/>
        <w:t>hydraulic fractur</w:t>
      </w:r>
      <w:r w:rsidR="002663DE">
        <w:t>e. Because the produced volume is</w:t>
      </w:r>
      <w:r>
        <w:t xml:space="preserve"> measured at surface condition, the formation volume factor </w:t>
      </w:r>
      <w:r w:rsidRPr="004D6CED">
        <w:t>(FVF)</w:t>
      </w:r>
      <w:r>
        <w:rPr>
          <w:i/>
        </w:rPr>
        <w:t xml:space="preserve"> </w:t>
      </w:r>
      <w:r>
        <w:t>at producing bottom-hole pressure (BHP) is needed to convert volume from surface to subsurface condition (Eq. 3-3)</w:t>
      </w:r>
    </w:p>
    <w:p w14:paraId="78A61C55" w14:textId="77777777" w:rsidR="00792BBD" w:rsidRDefault="00A53410" w:rsidP="00792BBD">
      <w:pPr>
        <w:rPr>
          <w:rFonts w:eastAsia="Times New Roman"/>
        </w:rPr>
      </w:pPr>
      <m:oMath>
        <m:sSub>
          <m:sSubPr>
            <m:ctrlPr>
              <w:rPr>
                <w:rFonts w:ascii="Cambria Math" w:eastAsia="Times New Roman" w:hAnsi="Cambria Math"/>
              </w:rPr>
            </m:ctrlPr>
          </m:sSubPr>
          <m:e>
            <m:r>
              <m:rPr>
                <m:sty m:val="p"/>
              </m:rPr>
              <w:rPr>
                <w:rFonts w:ascii="Cambria Math" w:eastAsia="Times New Roman" w:hAnsi="Cambria Math"/>
              </w:rPr>
              <m:t>V</m:t>
            </m:r>
          </m:e>
          <m:sub>
            <m:r>
              <m:rPr>
                <m:sty m:val="p"/>
              </m:rPr>
              <w:rPr>
                <w:rFonts w:ascii="Cambria Math" w:eastAsia="Times New Roman" w:hAnsi="Cambria Math"/>
              </w:rPr>
              <m:t>swept</m:t>
            </m:r>
          </m:sub>
        </m:sSub>
        <m:r>
          <m:rPr>
            <m:sty m:val="p"/>
          </m:rPr>
          <w:rPr>
            <w:rFonts w:ascii="Cambria Math" w:eastAsia="Times New Roman" w:hAnsi="Cambria Math"/>
          </w:rPr>
          <m:t>=</m:t>
        </m:r>
        <m:sSub>
          <m:sSubPr>
            <m:ctrlPr>
              <w:rPr>
                <w:rFonts w:ascii="Cambria Math" w:eastAsia="Times New Roman" w:hAnsi="Cambria Math"/>
              </w:rPr>
            </m:ctrlPr>
          </m:sSubPr>
          <m:e>
            <m:r>
              <m:rPr>
                <m:sty m:val="p"/>
              </m:rPr>
              <w:rPr>
                <w:rFonts w:ascii="Cambria Math" w:eastAsia="Times New Roman" w:hAnsi="Cambria Math"/>
              </w:rPr>
              <m:t>B</m:t>
            </m:r>
          </m:e>
          <m:sub>
            <m:r>
              <m:rPr>
                <m:sty m:val="p"/>
              </m:rPr>
              <w:rPr>
                <w:rFonts w:ascii="Cambria Math" w:eastAsia="Times New Roman" w:hAnsi="Cambria Math"/>
              </w:rPr>
              <m:t>g,BHP</m:t>
            </m:r>
          </m:sub>
        </m:sSub>
        <m:sSub>
          <m:sSubPr>
            <m:ctrlPr>
              <w:rPr>
                <w:rFonts w:ascii="Cambria Math" w:eastAsia="Times New Roman" w:hAnsi="Cambria Math"/>
              </w:rPr>
            </m:ctrlPr>
          </m:sSubPr>
          <m:e>
            <m:r>
              <m:rPr>
                <m:sty m:val="p"/>
              </m:rPr>
              <w:rPr>
                <w:rFonts w:ascii="Cambria Math" w:eastAsia="Times New Roman" w:hAnsi="Cambria Math"/>
              </w:rPr>
              <m:t>V</m:t>
            </m:r>
          </m:e>
          <m:sub>
            <m:r>
              <m:rPr>
                <m:sty m:val="p"/>
              </m:rPr>
              <w:rPr>
                <w:rFonts w:ascii="Cambria Math" w:eastAsia="Times New Roman" w:hAnsi="Cambria Math"/>
              </w:rPr>
              <m:t>g,swept</m:t>
            </m:r>
          </m:sub>
        </m:sSub>
        <m:r>
          <m:rPr>
            <m:sty m:val="p"/>
          </m:rPr>
          <w:rPr>
            <w:rFonts w:ascii="Cambria Math" w:eastAsia="Times New Roman" w:hAnsi="Cambria Math"/>
          </w:rPr>
          <m:t>+</m:t>
        </m:r>
        <m:sSub>
          <m:sSubPr>
            <m:ctrlPr>
              <w:rPr>
                <w:rFonts w:ascii="Cambria Math" w:eastAsia="Times New Roman" w:hAnsi="Cambria Math"/>
              </w:rPr>
            </m:ctrlPr>
          </m:sSubPr>
          <m:e>
            <m:r>
              <m:rPr>
                <m:sty m:val="p"/>
              </m:rPr>
              <w:rPr>
                <w:rFonts w:ascii="Cambria Math" w:eastAsia="Times New Roman" w:hAnsi="Cambria Math"/>
              </w:rPr>
              <m:t>B</m:t>
            </m:r>
          </m:e>
          <m:sub>
            <m:r>
              <m:rPr>
                <m:sty m:val="p"/>
              </m:rPr>
              <w:rPr>
                <w:rFonts w:ascii="Cambria Math" w:eastAsia="Times New Roman" w:hAnsi="Cambria Math"/>
              </w:rPr>
              <m:t>w, BHP</m:t>
            </m:r>
          </m:sub>
        </m:sSub>
        <m:sSub>
          <m:sSubPr>
            <m:ctrlPr>
              <w:rPr>
                <w:rFonts w:ascii="Cambria Math" w:eastAsia="Times New Roman" w:hAnsi="Cambria Math"/>
              </w:rPr>
            </m:ctrlPr>
          </m:sSubPr>
          <m:e>
            <m:r>
              <m:rPr>
                <m:sty m:val="p"/>
              </m:rPr>
              <w:rPr>
                <w:rFonts w:ascii="Cambria Math" w:eastAsia="Times New Roman" w:hAnsi="Cambria Math"/>
              </w:rPr>
              <m:t>V</m:t>
            </m:r>
          </m:e>
          <m:sub>
            <m:r>
              <m:rPr>
                <m:sty m:val="p"/>
              </m:rPr>
              <w:rPr>
                <w:rFonts w:ascii="Cambria Math" w:eastAsia="Times New Roman" w:hAnsi="Cambria Math"/>
              </w:rPr>
              <m:t>w,swept</m:t>
            </m:r>
          </m:sub>
        </m:sSub>
      </m:oMath>
      <w:r w:rsidR="00792BBD">
        <w:rPr>
          <w:rFonts w:eastAsia="Times New Roman"/>
        </w:rPr>
        <w:tab/>
        <w:t>(3-3)</w:t>
      </w:r>
    </w:p>
    <w:p w14:paraId="1799CEB6" w14:textId="77777777" w:rsidR="009C12AD" w:rsidRPr="00336F37" w:rsidRDefault="009C12AD" w:rsidP="00792BBD">
      <w:pPr>
        <w:rPr>
          <w:rFonts w:eastAsia="Times New Roman"/>
        </w:rPr>
      </w:pPr>
    </w:p>
    <w:p w14:paraId="029BC9E7" w14:textId="77777777" w:rsidR="00792BBD" w:rsidRDefault="00D00B44" w:rsidP="00D00B44">
      <w:pPr>
        <w:pStyle w:val="Heading3"/>
      </w:pPr>
      <w:bookmarkStart w:id="121" w:name="_Toc494014214"/>
      <w:r>
        <w:t>Exponential Decline</w:t>
      </w:r>
      <w:bookmarkEnd w:id="121"/>
    </w:p>
    <w:p w14:paraId="2D9D55B9" w14:textId="700FD24C" w:rsidR="00D00B44" w:rsidRDefault="00D00B44" w:rsidP="00D00B44">
      <w:r>
        <w:t xml:space="preserve">The tracer concentration declines exponentially in a homogeneous formation near the wellbore. There is linear relationship of </w:t>
      </w:r>
      <w:r w:rsidRPr="00682F6D">
        <w:rPr>
          <w:i/>
        </w:rPr>
        <w:t>ln(C)</w:t>
      </w:r>
      <w:r>
        <w:t xml:space="preserve"> versus cumulative production at the later time. This </w:t>
      </w:r>
      <w:r w:rsidR="008F18DB">
        <w:t>assumption can be used</w:t>
      </w:r>
      <w:r>
        <w:t xml:space="preserve"> to </w:t>
      </w:r>
      <w:r w:rsidR="008F18DB">
        <w:t>extrapolate tracer history</w:t>
      </w:r>
      <w:r>
        <w:t>. Mathematically, the tracer tail can be expressed by (Sharma et al. 2014):</w:t>
      </w:r>
    </w:p>
    <w:p w14:paraId="07EE5389" w14:textId="77777777" w:rsidR="00D00B44" w:rsidRDefault="00D00B44" w:rsidP="00D00B44">
      <m:oMath>
        <m:r>
          <m:rPr>
            <m:sty m:val="p"/>
          </m:rPr>
          <w:rPr>
            <w:rFonts w:ascii="Cambria Math" w:hAnsi="Cambria Math"/>
          </w:rPr>
          <m:t>C</m:t>
        </m:r>
        <m:d>
          <m:dPr>
            <m:ctrlPr>
              <w:rPr>
                <w:rFonts w:ascii="Cambria Math" w:hAnsi="Cambria Math"/>
              </w:rPr>
            </m:ctrlPr>
          </m:dPr>
          <m:e>
            <m:r>
              <m:rPr>
                <m:sty m:val="p"/>
              </m:rPr>
              <w:rPr>
                <w:rFonts w:ascii="Cambria Math" w:hAnsi="Cambria Math"/>
              </w:rPr>
              <m:t>V</m:t>
            </m:r>
          </m:e>
        </m:d>
        <m:r>
          <m:rPr>
            <m:sty m:val="p"/>
          </m:rPr>
          <w:rPr>
            <w:rFonts w:ascii="Cambria Math" w:hAnsi="Cambria Math"/>
          </w:rPr>
          <m:t>=b</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-aV</m:t>
            </m:r>
          </m:sup>
        </m:sSup>
        <m:r>
          <m:rPr>
            <m:sty m:val="p"/>
          </m:rPr>
          <w:rPr>
            <w:rFonts w:ascii="Cambria Math" w:hAnsi="Cambria Math"/>
          </w:rPr>
          <m:t xml:space="preserve"> for V&gt;</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e</m:t>
            </m:r>
          </m:sub>
        </m:sSub>
      </m:oMath>
      <w:r>
        <w:tab/>
        <w:t>(3-4)</w:t>
      </w:r>
    </w:p>
    <w:p w14:paraId="5D075129" w14:textId="4036881E" w:rsidR="00D00B44" w:rsidRDefault="00D00B44" w:rsidP="00D00B44">
      <w:r>
        <w:t>When the fracture exists, the tracer behavior will be different (Gardien et al. 1996). By plotting the tracer tail in a semi-log plot, two distinct linear relationships</w:t>
      </w:r>
      <w:r w:rsidR="00446C6C">
        <w:t xml:space="preserve"> are observed</w:t>
      </w:r>
      <w:r>
        <w:t xml:space="preserve">, which help to distinguish the tracer swept volume in matrix and fracture respectively. </w:t>
      </w:r>
      <w:r w:rsidR="00446C6C">
        <w:t>The following contents</w:t>
      </w:r>
      <w:r>
        <w:t xml:space="preserve"> will illustrate how to analyze the tracer tail in a hydraulically fractured shale reservoir in the later section.  </w:t>
      </w:r>
    </w:p>
    <w:p w14:paraId="7CC17A0B" w14:textId="77777777" w:rsidR="00D00B44" w:rsidRDefault="00D00B44" w:rsidP="00D00B44"/>
    <w:p w14:paraId="2573E445" w14:textId="77777777" w:rsidR="00D00B44" w:rsidRDefault="00D00B44" w:rsidP="00D00B44">
      <w:pPr>
        <w:pStyle w:val="Heading2"/>
      </w:pPr>
      <w:bookmarkStart w:id="122" w:name="_Toc494014215"/>
      <w:r>
        <w:t>Validation and Discussion</w:t>
      </w:r>
      <w:bookmarkEnd w:id="122"/>
    </w:p>
    <w:p w14:paraId="6A08F0AC" w14:textId="77777777" w:rsidR="00D00B44" w:rsidRDefault="00D00B44" w:rsidP="00D00B44">
      <w:pPr>
        <w:pStyle w:val="Heading3"/>
      </w:pPr>
      <w:bookmarkStart w:id="123" w:name="_Toc494014216"/>
      <w:r>
        <w:t>Hydraulic Fracture Volume Estimation</w:t>
      </w:r>
      <w:bookmarkEnd w:id="123"/>
    </w:p>
    <w:p w14:paraId="7405ECDE" w14:textId="281BB209" w:rsidR="00D00B44" w:rsidRDefault="00D00B44" w:rsidP="00D00B44">
      <w:r>
        <w:t>A synthetic numerical model is used to validate the proposed approach in determining the swept fracture volume. In this section, to eliminate the impact of adjacent matrix, only half of the hydraulic fracture is simulated (</w:t>
      </w:r>
      <w:r>
        <w:fldChar w:fldCharType="begin"/>
      </w:r>
      <w:r>
        <w:instrText xml:space="preserve"> REF _Ref491959385 \h </w:instrText>
      </w:r>
      <w:r>
        <w:fldChar w:fldCharType="separate"/>
      </w:r>
      <w:r>
        <w:t xml:space="preserve">Figure </w:t>
      </w:r>
      <w:r>
        <w:rPr>
          <w:noProof/>
        </w:rPr>
        <w:t>3</w:t>
      </w:r>
      <w:r>
        <w:noBreakHyphen/>
      </w:r>
      <w:r>
        <w:rPr>
          <w:noProof/>
        </w:rPr>
        <w:t>1</w:t>
      </w:r>
      <w:r>
        <w:fldChar w:fldCharType="end"/>
      </w:r>
      <w:r w:rsidR="00C56C84">
        <w:fldChar w:fldCharType="begin"/>
      </w:r>
      <w:r w:rsidR="00C56C84">
        <w:instrText xml:space="preserve"> REF _Ref437951776 \h  \* MERGEFORMAT </w:instrText>
      </w:r>
      <w:r w:rsidR="00C56C84">
        <w:fldChar w:fldCharType="end"/>
      </w:r>
      <w:r>
        <w:t xml:space="preserve">). The fracture half-length is 300 ft and fracture height is 30 ft. Fracture flowing capacity is </w:t>
      </w:r>
      <w:r>
        <w:lastRenderedPageBreak/>
        <w:t>controlled by conductivity, which is defined constant as 20 md-ft. The fracture width could be larger than the actual width as long as the conductivity is maintained the same (Cipol</w:t>
      </w:r>
      <w:r w:rsidR="00304B8E">
        <w:t>la et al. 2010). Therefore, in the</w:t>
      </w:r>
      <w:r>
        <w:t xml:space="preserve"> model, the fracture width is 2 ft and the fracture permeability is 10 md. The fracture properties are listed in</w:t>
      </w:r>
      <w:r w:rsidR="003C325C">
        <w:t xml:space="preserve"> </w:t>
      </w:r>
      <w:r w:rsidR="003C325C">
        <w:fldChar w:fldCharType="begin"/>
      </w:r>
      <w:r w:rsidR="003C325C">
        <w:instrText xml:space="preserve"> REF _Ref437951699 \h </w:instrText>
      </w:r>
      <w:r w:rsidR="003C325C">
        <w:fldChar w:fldCharType="separate"/>
      </w:r>
      <w:r w:rsidR="003C325C">
        <w:t xml:space="preserve">Table </w:t>
      </w:r>
      <w:r w:rsidR="003C325C">
        <w:rPr>
          <w:noProof/>
        </w:rPr>
        <w:t>3</w:t>
      </w:r>
      <w:r w:rsidR="003C325C">
        <w:noBreakHyphen/>
      </w:r>
      <w:r w:rsidR="003C325C">
        <w:rPr>
          <w:noProof/>
        </w:rPr>
        <w:t>1</w:t>
      </w:r>
      <w:r w:rsidR="003C325C">
        <w:fldChar w:fldCharType="end"/>
      </w:r>
      <w:r>
        <w:t>.</w:t>
      </w:r>
      <w:r w:rsidRPr="00995091">
        <w:t xml:space="preserve"> </w:t>
      </w:r>
      <w:r>
        <w:t>Dispersion, adsorption and capillary pressure effects are neglected in the simulation.</w:t>
      </w:r>
    </w:p>
    <w:p w14:paraId="225D008E" w14:textId="77777777" w:rsidR="00D00B44" w:rsidRDefault="00D00B44" w:rsidP="00D00B44">
      <w:pPr>
        <w:pStyle w:val="TableNormal1"/>
      </w:pPr>
      <w:r>
        <w:drawing>
          <wp:inline distT="0" distB="0" distL="0" distR="0" wp14:anchorId="361A0169" wp14:editId="1EB4EE7D">
            <wp:extent cx="5303520" cy="1568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10350" cy="1570470"/>
                    </a:xfrm>
                    <a:prstGeom prst="rect">
                      <a:avLst/>
                    </a:prstGeom>
                  </pic:spPr>
                </pic:pic>
              </a:graphicData>
            </a:graphic>
          </wp:inline>
        </w:drawing>
      </w:r>
    </w:p>
    <w:p w14:paraId="64EAFD75" w14:textId="63496C14" w:rsidR="00D00B44" w:rsidRPr="00541084" w:rsidRDefault="00D00B44" w:rsidP="00BF3F9B">
      <w:pPr>
        <w:pStyle w:val="Caption"/>
        <w:rPr>
          <w:szCs w:val="22"/>
        </w:rPr>
      </w:pPr>
      <w:bookmarkStart w:id="124" w:name="_Ref491959385"/>
      <w:bookmarkStart w:id="125" w:name="_Toc495144724"/>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w:t>
      </w:r>
      <w:r w:rsidR="00280FFF">
        <w:rPr>
          <w:szCs w:val="22"/>
        </w:rPr>
        <w:fldChar w:fldCharType="end"/>
      </w:r>
      <w:bookmarkEnd w:id="124"/>
      <w:r w:rsidRPr="00541084">
        <w:rPr>
          <w:szCs w:val="22"/>
        </w:rPr>
        <w:t>. Illustration of hydraulic fracture configuration. Each grid is 1 ft long. There are 300 grids and the well perforates at one end.</w:t>
      </w:r>
      <w:bookmarkEnd w:id="125"/>
    </w:p>
    <w:p w14:paraId="260A6259" w14:textId="77777777" w:rsidR="00D00B44" w:rsidRDefault="00D00B44" w:rsidP="00D00B44">
      <w:pPr>
        <w:pStyle w:val="para1"/>
      </w:pPr>
    </w:p>
    <w:p w14:paraId="776BB8EF" w14:textId="77777777" w:rsidR="00D00B44" w:rsidRPr="00541084" w:rsidRDefault="00D00B44" w:rsidP="00BF3F9B">
      <w:pPr>
        <w:pStyle w:val="Caption"/>
        <w:rPr>
          <w:szCs w:val="22"/>
        </w:rPr>
      </w:pPr>
    </w:p>
    <w:p w14:paraId="7AA2A966" w14:textId="77777777" w:rsidR="00D00B44" w:rsidRPr="00541084" w:rsidRDefault="00D00B44" w:rsidP="00BF3F9B">
      <w:pPr>
        <w:pStyle w:val="Caption"/>
        <w:rPr>
          <w:szCs w:val="22"/>
        </w:rPr>
      </w:pPr>
    </w:p>
    <w:tbl>
      <w:tblPr>
        <w:tblStyle w:val="LightShading"/>
        <w:tblW w:w="0" w:type="auto"/>
        <w:tblLook w:val="04A0" w:firstRow="1" w:lastRow="0" w:firstColumn="1" w:lastColumn="0" w:noHBand="0" w:noVBand="1"/>
      </w:tblPr>
      <w:tblGrid>
        <w:gridCol w:w="3897"/>
        <w:gridCol w:w="2274"/>
        <w:gridCol w:w="2325"/>
      </w:tblGrid>
      <w:tr w:rsidR="00D00B44" w14:paraId="1CEE7FE7" w14:textId="77777777" w:rsidTr="001356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D49A291" w14:textId="77777777" w:rsidR="00D00B44" w:rsidRDefault="00D00B44" w:rsidP="003C325C">
            <w:pPr>
              <w:pStyle w:val="TableNormal1"/>
            </w:pPr>
            <w:bookmarkStart w:id="126" w:name="_Ref437951699"/>
            <w:bookmarkStart w:id="127" w:name="_Toc494014261"/>
            <w:r>
              <w:t xml:space="preserve">Table </w:t>
            </w:r>
            <w:r w:rsidR="00A67B82">
              <w:fldChar w:fldCharType="begin"/>
            </w:r>
            <w:r w:rsidR="00A67B82">
              <w:instrText xml:space="preserve"> STYLEREF 1 \s </w:instrText>
            </w:r>
            <w:r w:rsidR="00A67B82">
              <w:fldChar w:fldCharType="separate"/>
            </w:r>
            <w:r w:rsidR="00A67B82">
              <w:t>3</w:t>
            </w:r>
            <w:r w:rsidR="00A67B82">
              <w:fldChar w:fldCharType="end"/>
            </w:r>
            <w:r w:rsidR="00A67B82">
              <w:noBreakHyphen/>
            </w:r>
            <w:r w:rsidR="00A67B82">
              <w:fldChar w:fldCharType="begin"/>
            </w:r>
            <w:r w:rsidR="00A67B82">
              <w:instrText xml:space="preserve"> SEQ Table \* ARABIC \s 1 </w:instrText>
            </w:r>
            <w:r w:rsidR="00A67B82">
              <w:fldChar w:fldCharType="separate"/>
            </w:r>
            <w:r w:rsidR="00A67B82">
              <w:t>1</w:t>
            </w:r>
            <w:r w:rsidR="00A67B82">
              <w:fldChar w:fldCharType="end"/>
            </w:r>
            <w:bookmarkEnd w:id="126"/>
            <w:r>
              <w:t>. Generic Hydraulic Fracture Properties</w:t>
            </w:r>
            <w:bookmarkEnd w:id="127"/>
          </w:p>
        </w:tc>
      </w:tr>
      <w:tr w:rsidR="00D00B44" w14:paraId="21B6D213" w14:textId="77777777" w:rsidTr="00135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7" w:type="dxa"/>
            <w:tcBorders>
              <w:top w:val="single" w:sz="4" w:space="0" w:color="auto"/>
              <w:left w:val="single" w:sz="4" w:space="0" w:color="auto"/>
              <w:bottom w:val="single" w:sz="4" w:space="0" w:color="auto"/>
              <w:right w:val="none" w:sz="0" w:space="0" w:color="auto"/>
            </w:tcBorders>
            <w:shd w:val="clear" w:color="auto" w:fill="FFFFFF" w:themeFill="background1"/>
          </w:tcPr>
          <w:p w14:paraId="04AD71A0" w14:textId="77777777" w:rsidR="00D00B44" w:rsidRDefault="00D00B44" w:rsidP="003C325C">
            <w:pPr>
              <w:pStyle w:val="TableNormal1"/>
            </w:pPr>
            <w:r>
              <w:t>Parameter</w:t>
            </w:r>
          </w:p>
        </w:tc>
        <w:tc>
          <w:tcPr>
            <w:tcW w:w="2274" w:type="dxa"/>
            <w:tcBorders>
              <w:top w:val="single" w:sz="4" w:space="0" w:color="auto"/>
              <w:left w:val="none" w:sz="0" w:space="0" w:color="auto"/>
              <w:bottom w:val="single" w:sz="4" w:space="0" w:color="auto"/>
              <w:right w:val="none" w:sz="0" w:space="0" w:color="auto"/>
            </w:tcBorders>
            <w:shd w:val="clear" w:color="auto" w:fill="FFFFFF" w:themeFill="background1"/>
          </w:tcPr>
          <w:p w14:paraId="0CECBD27" w14:textId="77777777" w:rsidR="00D00B44" w:rsidRPr="007A1087" w:rsidRDefault="00D00B44" w:rsidP="003C325C">
            <w:pPr>
              <w:pStyle w:val="TableNormal1"/>
              <w:cnfStyle w:val="000000100000" w:firstRow="0" w:lastRow="0" w:firstColumn="0" w:lastColumn="0" w:oddVBand="0" w:evenVBand="0" w:oddHBand="1" w:evenHBand="0" w:firstRowFirstColumn="0" w:firstRowLastColumn="0" w:lastRowFirstColumn="0" w:lastRowLastColumn="0"/>
            </w:pPr>
            <w:r w:rsidRPr="007A1087">
              <w:t>Value</w:t>
            </w:r>
          </w:p>
        </w:tc>
        <w:tc>
          <w:tcPr>
            <w:tcW w:w="2325" w:type="dxa"/>
            <w:tcBorders>
              <w:top w:val="single" w:sz="4" w:space="0" w:color="auto"/>
              <w:left w:val="none" w:sz="0" w:space="0" w:color="auto"/>
              <w:bottom w:val="single" w:sz="4" w:space="0" w:color="auto"/>
              <w:right w:val="single" w:sz="4" w:space="0" w:color="auto"/>
            </w:tcBorders>
            <w:shd w:val="clear" w:color="auto" w:fill="FFFFFF" w:themeFill="background1"/>
          </w:tcPr>
          <w:p w14:paraId="71213338" w14:textId="77777777" w:rsidR="00D00B44" w:rsidRPr="007A1087" w:rsidRDefault="00D00B44" w:rsidP="003C325C">
            <w:pPr>
              <w:pStyle w:val="TableNormal1"/>
              <w:cnfStyle w:val="000000100000" w:firstRow="0" w:lastRow="0" w:firstColumn="0" w:lastColumn="0" w:oddVBand="0" w:evenVBand="0" w:oddHBand="1" w:evenHBand="0" w:firstRowFirstColumn="0" w:firstRowLastColumn="0" w:lastRowFirstColumn="0" w:lastRowLastColumn="0"/>
            </w:pPr>
            <w:r w:rsidRPr="007A1087">
              <w:t>Unit</w:t>
            </w:r>
          </w:p>
        </w:tc>
      </w:tr>
      <w:tr w:rsidR="00D00B44" w14:paraId="4CA3F67B" w14:textId="77777777" w:rsidTr="00183CBB">
        <w:tc>
          <w:tcPr>
            <w:cnfStyle w:val="001000000000" w:firstRow="0" w:lastRow="0" w:firstColumn="1" w:lastColumn="0" w:oddVBand="0" w:evenVBand="0" w:oddHBand="0" w:evenHBand="0" w:firstRowFirstColumn="0" w:firstRowLastColumn="0" w:lastRowFirstColumn="0" w:lastRowLastColumn="0"/>
            <w:tcW w:w="3897" w:type="dxa"/>
            <w:tcBorders>
              <w:top w:val="single" w:sz="4" w:space="0" w:color="auto"/>
              <w:left w:val="single" w:sz="4" w:space="0" w:color="auto"/>
            </w:tcBorders>
            <w:shd w:val="clear" w:color="auto" w:fill="FFFFFF"/>
          </w:tcPr>
          <w:p w14:paraId="7DA5D793" w14:textId="77777777" w:rsidR="00D00B44" w:rsidRDefault="00D00B44" w:rsidP="003C325C">
            <w:pPr>
              <w:pStyle w:val="TableNormal1"/>
            </w:pPr>
            <w:r>
              <w:t xml:space="preserve">Number of Reservoir Girds </w:t>
            </w:r>
          </w:p>
        </w:tc>
        <w:tc>
          <w:tcPr>
            <w:tcW w:w="2274" w:type="dxa"/>
            <w:tcBorders>
              <w:top w:val="single" w:sz="4" w:space="0" w:color="auto"/>
            </w:tcBorders>
            <w:shd w:val="clear" w:color="auto" w:fill="FFFFFF"/>
          </w:tcPr>
          <w:p w14:paraId="5E4C16D7" w14:textId="77777777" w:rsidR="00D00B44" w:rsidRPr="00E041F1" w:rsidRDefault="00D00B44" w:rsidP="003C325C">
            <w:pPr>
              <w:pStyle w:val="TableNormal1"/>
              <w:cnfStyle w:val="000000000000" w:firstRow="0" w:lastRow="0" w:firstColumn="0" w:lastColumn="0" w:oddVBand="0" w:evenVBand="0" w:oddHBand="0" w:evenHBand="0" w:firstRowFirstColumn="0" w:firstRowLastColumn="0" w:lastRowFirstColumn="0" w:lastRowLastColumn="0"/>
            </w:pPr>
            <w:r>
              <w:t xml:space="preserve"> </w:t>
            </w:r>
            <m:oMath>
              <m:r>
                <w:rPr>
                  <w:rFonts w:ascii="Cambria Math" w:hAnsi="Cambria Math"/>
                </w:rPr>
                <m:t>(1,300,1)</m:t>
              </m:r>
            </m:oMath>
          </w:p>
        </w:tc>
        <w:tc>
          <w:tcPr>
            <w:tcW w:w="2325" w:type="dxa"/>
            <w:tcBorders>
              <w:top w:val="single" w:sz="4" w:space="0" w:color="auto"/>
              <w:right w:val="single" w:sz="4" w:space="0" w:color="auto"/>
            </w:tcBorders>
            <w:shd w:val="clear" w:color="auto" w:fill="FFFFFF"/>
          </w:tcPr>
          <w:p w14:paraId="28151A70" w14:textId="77777777" w:rsidR="00D00B44" w:rsidRPr="00E041F1" w:rsidRDefault="00D00B44" w:rsidP="003C325C">
            <w:pPr>
              <w:pStyle w:val="TableNormal1"/>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(x,y,z)</m:t>
                </m:r>
              </m:oMath>
            </m:oMathPara>
          </w:p>
        </w:tc>
      </w:tr>
      <w:tr w:rsidR="00D00B44" w14:paraId="50FA06F2" w14:textId="77777777" w:rsidTr="00183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7" w:type="dxa"/>
            <w:tcBorders>
              <w:left w:val="single" w:sz="4" w:space="0" w:color="auto"/>
              <w:right w:val="none" w:sz="0" w:space="0" w:color="auto"/>
            </w:tcBorders>
            <w:shd w:val="clear" w:color="auto" w:fill="FFFFFF"/>
          </w:tcPr>
          <w:p w14:paraId="4933A493" w14:textId="41DDF0D9" w:rsidR="00D00B44" w:rsidRDefault="00D00B44" w:rsidP="0004427B">
            <w:pPr>
              <w:pStyle w:val="TableNormal1"/>
            </w:pPr>
            <w:r>
              <w:t>Fracture Half</w:t>
            </w:r>
            <w:r w:rsidR="0004427B">
              <w:t>-</w:t>
            </w:r>
            <w:r>
              <w:t>Length</w:t>
            </w:r>
          </w:p>
        </w:tc>
        <w:tc>
          <w:tcPr>
            <w:tcW w:w="2274" w:type="dxa"/>
            <w:tcBorders>
              <w:left w:val="none" w:sz="0" w:space="0" w:color="auto"/>
              <w:right w:val="none" w:sz="0" w:space="0" w:color="auto"/>
            </w:tcBorders>
            <w:shd w:val="clear" w:color="auto" w:fill="FFFFFF"/>
          </w:tcPr>
          <w:p w14:paraId="5D3D77B6" w14:textId="77777777" w:rsidR="00D00B44" w:rsidRDefault="00D00B44" w:rsidP="003C325C">
            <w:pPr>
              <w:pStyle w:val="TableNormal1"/>
              <w:cnfStyle w:val="000000100000" w:firstRow="0" w:lastRow="0" w:firstColumn="0" w:lastColumn="0" w:oddVBand="0" w:evenVBand="0" w:oddHBand="1" w:evenHBand="0" w:firstRowFirstColumn="0" w:firstRowLastColumn="0" w:lastRowFirstColumn="0" w:lastRowLastColumn="0"/>
            </w:pPr>
            <w:r>
              <w:t>300</w:t>
            </w:r>
          </w:p>
        </w:tc>
        <w:tc>
          <w:tcPr>
            <w:tcW w:w="2325" w:type="dxa"/>
            <w:tcBorders>
              <w:left w:val="none" w:sz="0" w:space="0" w:color="auto"/>
              <w:right w:val="single" w:sz="4" w:space="0" w:color="auto"/>
            </w:tcBorders>
            <w:shd w:val="clear" w:color="auto" w:fill="FFFFFF"/>
          </w:tcPr>
          <w:p w14:paraId="1A2678EE" w14:textId="77777777" w:rsidR="00D00B44" w:rsidRDefault="00D00B44" w:rsidP="003C325C">
            <w:pPr>
              <w:pStyle w:val="TableNormal1"/>
              <w:cnfStyle w:val="000000100000" w:firstRow="0" w:lastRow="0" w:firstColumn="0" w:lastColumn="0" w:oddVBand="0" w:evenVBand="0" w:oddHBand="1" w:evenHBand="0" w:firstRowFirstColumn="0" w:firstRowLastColumn="0" w:lastRowFirstColumn="0" w:lastRowLastColumn="0"/>
            </w:pPr>
            <w:r>
              <w:t>ft</w:t>
            </w:r>
          </w:p>
        </w:tc>
      </w:tr>
      <w:tr w:rsidR="00D00B44" w14:paraId="64F8A078" w14:textId="77777777" w:rsidTr="00183CBB">
        <w:tc>
          <w:tcPr>
            <w:cnfStyle w:val="001000000000" w:firstRow="0" w:lastRow="0" w:firstColumn="1" w:lastColumn="0" w:oddVBand="0" w:evenVBand="0" w:oddHBand="0" w:evenHBand="0" w:firstRowFirstColumn="0" w:firstRowLastColumn="0" w:lastRowFirstColumn="0" w:lastRowLastColumn="0"/>
            <w:tcW w:w="3897" w:type="dxa"/>
            <w:tcBorders>
              <w:left w:val="single" w:sz="4" w:space="0" w:color="auto"/>
            </w:tcBorders>
            <w:shd w:val="clear" w:color="auto" w:fill="FFFFFF"/>
          </w:tcPr>
          <w:p w14:paraId="22E94C81" w14:textId="77777777" w:rsidR="00D00B44" w:rsidRDefault="00D00B44" w:rsidP="003C325C">
            <w:pPr>
              <w:pStyle w:val="TableNormal1"/>
            </w:pPr>
            <w:r>
              <w:t>Fracture Height</w:t>
            </w:r>
          </w:p>
        </w:tc>
        <w:tc>
          <w:tcPr>
            <w:tcW w:w="2274" w:type="dxa"/>
            <w:shd w:val="clear" w:color="auto" w:fill="FFFFFF"/>
          </w:tcPr>
          <w:p w14:paraId="6B28BB7D" w14:textId="77777777" w:rsidR="00D00B44" w:rsidRDefault="00D00B44" w:rsidP="003C325C">
            <w:pPr>
              <w:pStyle w:val="TableNormal1"/>
              <w:cnfStyle w:val="000000000000" w:firstRow="0" w:lastRow="0" w:firstColumn="0" w:lastColumn="0" w:oddVBand="0" w:evenVBand="0" w:oddHBand="0" w:evenHBand="0" w:firstRowFirstColumn="0" w:firstRowLastColumn="0" w:lastRowFirstColumn="0" w:lastRowLastColumn="0"/>
            </w:pPr>
            <w:r>
              <w:t>30</w:t>
            </w:r>
          </w:p>
        </w:tc>
        <w:tc>
          <w:tcPr>
            <w:tcW w:w="2325" w:type="dxa"/>
            <w:tcBorders>
              <w:right w:val="single" w:sz="4" w:space="0" w:color="auto"/>
            </w:tcBorders>
            <w:shd w:val="clear" w:color="auto" w:fill="FFFFFF"/>
          </w:tcPr>
          <w:p w14:paraId="14ADA752" w14:textId="77777777" w:rsidR="00D00B44" w:rsidRDefault="00D00B44" w:rsidP="003C325C">
            <w:pPr>
              <w:pStyle w:val="TableNormal1"/>
              <w:cnfStyle w:val="000000000000" w:firstRow="0" w:lastRow="0" w:firstColumn="0" w:lastColumn="0" w:oddVBand="0" w:evenVBand="0" w:oddHBand="0" w:evenHBand="0" w:firstRowFirstColumn="0" w:firstRowLastColumn="0" w:lastRowFirstColumn="0" w:lastRowLastColumn="0"/>
            </w:pPr>
            <w:r>
              <w:t>ft</w:t>
            </w:r>
          </w:p>
        </w:tc>
      </w:tr>
      <w:tr w:rsidR="00D00B44" w14:paraId="74318BD6" w14:textId="77777777" w:rsidTr="00183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7" w:type="dxa"/>
            <w:tcBorders>
              <w:left w:val="single" w:sz="4" w:space="0" w:color="auto"/>
            </w:tcBorders>
            <w:shd w:val="clear" w:color="auto" w:fill="FFFFFF"/>
          </w:tcPr>
          <w:p w14:paraId="313117D3" w14:textId="77777777" w:rsidR="00D00B44" w:rsidRDefault="00D00B44" w:rsidP="003C325C">
            <w:pPr>
              <w:pStyle w:val="TableNormal1"/>
            </w:pPr>
            <w:r>
              <w:t>Fracture Width</w:t>
            </w:r>
          </w:p>
        </w:tc>
        <w:tc>
          <w:tcPr>
            <w:tcW w:w="2274" w:type="dxa"/>
            <w:shd w:val="clear" w:color="auto" w:fill="FFFFFF"/>
          </w:tcPr>
          <w:p w14:paraId="436BD9A3" w14:textId="77777777" w:rsidR="00D00B44" w:rsidRDefault="00D00B44" w:rsidP="003C325C">
            <w:pPr>
              <w:pStyle w:val="TableNormal1"/>
              <w:cnfStyle w:val="000000100000" w:firstRow="0" w:lastRow="0" w:firstColumn="0" w:lastColumn="0" w:oddVBand="0" w:evenVBand="0" w:oddHBand="1" w:evenHBand="0" w:firstRowFirstColumn="0" w:firstRowLastColumn="0" w:lastRowFirstColumn="0" w:lastRowLastColumn="0"/>
            </w:pPr>
            <w:r>
              <w:t>2</w:t>
            </w:r>
          </w:p>
        </w:tc>
        <w:tc>
          <w:tcPr>
            <w:tcW w:w="2325" w:type="dxa"/>
            <w:tcBorders>
              <w:right w:val="single" w:sz="4" w:space="0" w:color="auto"/>
            </w:tcBorders>
            <w:shd w:val="clear" w:color="auto" w:fill="FFFFFF"/>
          </w:tcPr>
          <w:p w14:paraId="1B890FD8" w14:textId="77777777" w:rsidR="00D00B44" w:rsidRDefault="00D00B44" w:rsidP="003C325C">
            <w:pPr>
              <w:pStyle w:val="TableNormal1"/>
              <w:cnfStyle w:val="000000100000" w:firstRow="0" w:lastRow="0" w:firstColumn="0" w:lastColumn="0" w:oddVBand="0" w:evenVBand="0" w:oddHBand="1" w:evenHBand="0" w:firstRowFirstColumn="0" w:firstRowLastColumn="0" w:lastRowFirstColumn="0" w:lastRowLastColumn="0"/>
            </w:pPr>
            <w:r>
              <w:t>ft</w:t>
            </w:r>
          </w:p>
        </w:tc>
      </w:tr>
      <w:tr w:rsidR="00D00B44" w14:paraId="6ED96FFF" w14:textId="77777777" w:rsidTr="00183CBB">
        <w:tc>
          <w:tcPr>
            <w:cnfStyle w:val="001000000000" w:firstRow="0" w:lastRow="0" w:firstColumn="1" w:lastColumn="0" w:oddVBand="0" w:evenVBand="0" w:oddHBand="0" w:evenHBand="0" w:firstRowFirstColumn="0" w:firstRowLastColumn="0" w:lastRowFirstColumn="0" w:lastRowLastColumn="0"/>
            <w:tcW w:w="3897" w:type="dxa"/>
            <w:tcBorders>
              <w:left w:val="single" w:sz="4" w:space="0" w:color="auto"/>
            </w:tcBorders>
            <w:shd w:val="clear" w:color="auto" w:fill="FFFFFF"/>
          </w:tcPr>
          <w:p w14:paraId="2BCE7DB1" w14:textId="77777777" w:rsidR="00D00B44" w:rsidRDefault="00D00B44" w:rsidP="003C325C">
            <w:pPr>
              <w:pStyle w:val="TableNormal1"/>
            </w:pPr>
            <w:r>
              <w:t>Fracture Permeability</w:t>
            </w:r>
          </w:p>
        </w:tc>
        <w:tc>
          <w:tcPr>
            <w:tcW w:w="2274" w:type="dxa"/>
            <w:shd w:val="clear" w:color="auto" w:fill="FFFFFF"/>
          </w:tcPr>
          <w:p w14:paraId="2BB8A6F9" w14:textId="77777777" w:rsidR="00D00B44" w:rsidRDefault="00D00B44" w:rsidP="003C325C">
            <w:pPr>
              <w:pStyle w:val="TableNormal1"/>
              <w:cnfStyle w:val="000000000000" w:firstRow="0" w:lastRow="0" w:firstColumn="0" w:lastColumn="0" w:oddVBand="0" w:evenVBand="0" w:oddHBand="0" w:evenHBand="0" w:firstRowFirstColumn="0" w:firstRowLastColumn="0" w:lastRowFirstColumn="0" w:lastRowLastColumn="0"/>
            </w:pPr>
            <w:r>
              <w:t>10</w:t>
            </w:r>
          </w:p>
        </w:tc>
        <w:tc>
          <w:tcPr>
            <w:tcW w:w="2325" w:type="dxa"/>
            <w:tcBorders>
              <w:right w:val="single" w:sz="4" w:space="0" w:color="auto"/>
            </w:tcBorders>
            <w:shd w:val="clear" w:color="auto" w:fill="FFFFFF"/>
          </w:tcPr>
          <w:p w14:paraId="65EA76B8" w14:textId="77777777" w:rsidR="00D00B44" w:rsidRDefault="00D00B44" w:rsidP="003C325C">
            <w:pPr>
              <w:pStyle w:val="TableNormal1"/>
              <w:cnfStyle w:val="000000000000" w:firstRow="0" w:lastRow="0" w:firstColumn="0" w:lastColumn="0" w:oddVBand="0" w:evenVBand="0" w:oddHBand="0" w:evenHBand="0" w:firstRowFirstColumn="0" w:firstRowLastColumn="0" w:lastRowFirstColumn="0" w:lastRowLastColumn="0"/>
            </w:pPr>
            <w:r>
              <w:t>md</w:t>
            </w:r>
          </w:p>
        </w:tc>
      </w:tr>
      <w:tr w:rsidR="00D00B44" w14:paraId="0709A67B" w14:textId="77777777" w:rsidTr="00183C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7" w:type="dxa"/>
            <w:tcBorders>
              <w:left w:val="single" w:sz="4" w:space="0" w:color="auto"/>
              <w:bottom w:val="single" w:sz="4" w:space="0" w:color="auto"/>
            </w:tcBorders>
            <w:shd w:val="clear" w:color="auto" w:fill="FFFFFF"/>
          </w:tcPr>
          <w:p w14:paraId="26AA6CD8" w14:textId="77777777" w:rsidR="00D00B44" w:rsidRDefault="00D00B44" w:rsidP="003C325C">
            <w:pPr>
              <w:pStyle w:val="TableNormal1"/>
            </w:pPr>
            <w:r>
              <w:t>Fracture Porosity</w:t>
            </w:r>
          </w:p>
        </w:tc>
        <w:tc>
          <w:tcPr>
            <w:tcW w:w="2274" w:type="dxa"/>
            <w:tcBorders>
              <w:bottom w:val="single" w:sz="4" w:space="0" w:color="auto"/>
            </w:tcBorders>
            <w:shd w:val="clear" w:color="auto" w:fill="FFFFFF"/>
          </w:tcPr>
          <w:p w14:paraId="731E60D3" w14:textId="77777777" w:rsidR="00D00B44" w:rsidRDefault="00D00B44" w:rsidP="003C325C">
            <w:pPr>
              <w:pStyle w:val="TableNormal1"/>
              <w:cnfStyle w:val="000000100000" w:firstRow="0" w:lastRow="0" w:firstColumn="0" w:lastColumn="0" w:oddVBand="0" w:evenVBand="0" w:oddHBand="1" w:evenHBand="0" w:firstRowFirstColumn="0" w:firstRowLastColumn="0" w:lastRowFirstColumn="0" w:lastRowLastColumn="0"/>
            </w:pPr>
            <w:r>
              <w:t>0.05</w:t>
            </w:r>
          </w:p>
        </w:tc>
        <w:tc>
          <w:tcPr>
            <w:tcW w:w="2325" w:type="dxa"/>
            <w:tcBorders>
              <w:bottom w:val="single" w:sz="4" w:space="0" w:color="auto"/>
              <w:right w:val="single" w:sz="4" w:space="0" w:color="auto"/>
            </w:tcBorders>
            <w:shd w:val="clear" w:color="auto" w:fill="FFFFFF"/>
          </w:tcPr>
          <w:p w14:paraId="6F756DFE" w14:textId="77777777" w:rsidR="00D00B44" w:rsidRDefault="00D00B44" w:rsidP="003C325C">
            <w:pPr>
              <w:pStyle w:val="TableNormal1"/>
              <w:cnfStyle w:val="000000100000" w:firstRow="0" w:lastRow="0" w:firstColumn="0" w:lastColumn="0" w:oddVBand="0" w:evenVBand="0" w:oddHBand="1" w:evenHBand="0" w:firstRowFirstColumn="0" w:firstRowLastColumn="0" w:lastRowFirstColumn="0" w:lastRowLastColumn="0"/>
            </w:pPr>
            <w:r>
              <w:t>fraction</w:t>
            </w:r>
          </w:p>
        </w:tc>
      </w:tr>
    </w:tbl>
    <w:p w14:paraId="1844843E" w14:textId="77777777" w:rsidR="003C325C" w:rsidRDefault="003C325C" w:rsidP="003C325C"/>
    <w:p w14:paraId="179203E9" w14:textId="4337091D" w:rsidR="003C325C" w:rsidRDefault="00D00B44" w:rsidP="003C325C">
      <w:r>
        <w:t xml:space="preserve">Four steps are followed in </w:t>
      </w:r>
      <w:r w:rsidR="00304B8E">
        <w:t>the</w:t>
      </w:r>
      <w:r w:rsidR="00CB5CF3">
        <w:t xml:space="preserve"> simulations:</w:t>
      </w:r>
    </w:p>
    <w:p w14:paraId="57ACBCC3" w14:textId="73FA0BFC" w:rsidR="003C325C" w:rsidRPr="003C325C" w:rsidRDefault="003B28C4" w:rsidP="00295701">
      <w:pPr>
        <w:pStyle w:val="ListParagraph"/>
        <w:numPr>
          <w:ilvl w:val="0"/>
          <w:numId w:val="7"/>
        </w:numPr>
        <w:ind w:left="720"/>
      </w:pPr>
      <w:r>
        <w:t xml:space="preserve">Inject </w:t>
      </w:r>
      <w:r w:rsidR="00D00B44" w:rsidRPr="003C325C">
        <w:t xml:space="preserve">partitioning tracer </w:t>
      </w:r>
      <w:r>
        <w:t xml:space="preserve">as a slug </w:t>
      </w:r>
      <w:r w:rsidR="00D00B44" w:rsidRPr="003C325C">
        <w:t xml:space="preserve">with the fracking fluid; </w:t>
      </w:r>
    </w:p>
    <w:p w14:paraId="18D26ABF" w14:textId="503C8E17" w:rsidR="003C325C" w:rsidRPr="003C325C" w:rsidRDefault="003C325C" w:rsidP="00295701">
      <w:pPr>
        <w:pStyle w:val="ListParagraph"/>
        <w:numPr>
          <w:ilvl w:val="0"/>
          <w:numId w:val="7"/>
        </w:numPr>
        <w:ind w:left="720"/>
      </w:pPr>
      <w:r w:rsidRPr="003C325C">
        <w:lastRenderedPageBreak/>
        <w:t>I</w:t>
      </w:r>
      <w:r w:rsidR="00D00B44" w:rsidRPr="003C325C">
        <w:t xml:space="preserve">nject fracking fluid without the partitioning tracer, displacing the tracer farther into the fracture; </w:t>
      </w:r>
    </w:p>
    <w:p w14:paraId="5B55D60F" w14:textId="77777777" w:rsidR="003C325C" w:rsidRPr="003C325C" w:rsidRDefault="003C325C" w:rsidP="00295701">
      <w:pPr>
        <w:pStyle w:val="ListParagraph"/>
        <w:numPr>
          <w:ilvl w:val="0"/>
          <w:numId w:val="7"/>
        </w:numPr>
        <w:ind w:left="720"/>
      </w:pPr>
      <w:r w:rsidRPr="003C325C">
        <w:t>S</w:t>
      </w:r>
      <w:r w:rsidR="00D00B44" w:rsidRPr="003C325C">
        <w:t xml:space="preserve">hut in the well for a short time interval (water soaking) as the well is not initiated back to produce right after the treatment (Haddad et al. 2015); </w:t>
      </w:r>
    </w:p>
    <w:p w14:paraId="0701F1E4" w14:textId="7F5F0205" w:rsidR="003C325C" w:rsidRPr="003C325C" w:rsidRDefault="003C325C" w:rsidP="00295701">
      <w:pPr>
        <w:pStyle w:val="ListParagraph"/>
        <w:numPr>
          <w:ilvl w:val="0"/>
          <w:numId w:val="7"/>
        </w:numPr>
        <w:ind w:left="720"/>
      </w:pPr>
      <w:r w:rsidRPr="003C325C">
        <w:t>O</w:t>
      </w:r>
      <w:r w:rsidR="00D00B44" w:rsidRPr="003C325C">
        <w:t xml:space="preserve">pen the well </w:t>
      </w:r>
      <w:r w:rsidR="003B28C4">
        <w:t xml:space="preserve">to </w:t>
      </w:r>
      <w:r w:rsidR="00D00B44" w:rsidRPr="003C325C">
        <w:t>produce</w:t>
      </w:r>
      <w:r w:rsidR="003B28C4">
        <w:t xml:space="preserve"> gas and fracking fluid</w:t>
      </w:r>
      <w:r w:rsidR="004E13D7">
        <w:t xml:space="preserve"> as well as the partitioning tracer</w:t>
      </w:r>
      <w:r w:rsidR="00D00B44" w:rsidRPr="003C325C">
        <w:t xml:space="preserve">. </w:t>
      </w:r>
    </w:p>
    <w:p w14:paraId="70A975A4" w14:textId="5E6250F8" w:rsidR="00D00B44" w:rsidRDefault="00D00B44" w:rsidP="003C325C">
      <w:r>
        <w:t>The first two steps are designed to simulate the hydraulic fracturing process. For injection, the well is constrained by the maximum BHP of 20,000 psi and maximum production rate of 2,000 bbl/day. The production minimum BHP is 500 psi.</w:t>
      </w:r>
      <w:r w:rsidR="00801D28">
        <w:t xml:space="preserve"> </w:t>
      </w:r>
      <w:r w:rsidR="00970092">
        <w:fldChar w:fldCharType="begin"/>
      </w:r>
      <w:r w:rsidR="00970092">
        <w:instrText xml:space="preserve"> REF _Ref493938110 \h </w:instrText>
      </w:r>
      <w:r w:rsidR="00970092">
        <w:fldChar w:fldCharType="separate"/>
      </w:r>
      <w:r w:rsidR="00970092" w:rsidRPr="00541084">
        <w:rPr>
          <w:szCs w:val="22"/>
        </w:rPr>
        <w:t xml:space="preserve">Figure </w:t>
      </w:r>
      <w:r w:rsidR="00970092">
        <w:rPr>
          <w:noProof/>
          <w:szCs w:val="22"/>
        </w:rPr>
        <w:t>3</w:t>
      </w:r>
      <w:r w:rsidR="00970092">
        <w:rPr>
          <w:szCs w:val="22"/>
        </w:rPr>
        <w:noBreakHyphen/>
      </w:r>
      <w:r w:rsidR="00970092">
        <w:rPr>
          <w:noProof/>
          <w:szCs w:val="22"/>
        </w:rPr>
        <w:t>2</w:t>
      </w:r>
      <w:r w:rsidR="00970092">
        <w:fldChar w:fldCharType="end"/>
      </w:r>
      <w:r w:rsidR="00970092">
        <w:t xml:space="preserve"> </w:t>
      </w:r>
      <w:r>
        <w:t xml:space="preserve">shows the details of the well setting. </w:t>
      </w:r>
    </w:p>
    <w:p w14:paraId="30130F29" w14:textId="77777777" w:rsidR="00801D28" w:rsidRDefault="00801D28" w:rsidP="00801D28">
      <w:pPr>
        <w:pStyle w:val="TableNormal1"/>
      </w:pPr>
      <w:r>
        <w:drawing>
          <wp:inline distT="0" distB="0" distL="0" distR="0" wp14:anchorId="1E2E06FB" wp14:editId="66CE8F4B">
            <wp:extent cx="4900930" cy="261139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 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07792" cy="2615051"/>
                    </a:xfrm>
                    <a:prstGeom prst="rect">
                      <a:avLst/>
                    </a:prstGeom>
                  </pic:spPr>
                </pic:pic>
              </a:graphicData>
            </a:graphic>
          </wp:inline>
        </w:drawing>
      </w:r>
    </w:p>
    <w:p w14:paraId="66397807" w14:textId="55138AAB" w:rsidR="00801D28" w:rsidRDefault="00801D28" w:rsidP="00BF3F9B">
      <w:pPr>
        <w:pStyle w:val="Caption"/>
        <w:rPr>
          <w:szCs w:val="22"/>
        </w:rPr>
      </w:pPr>
      <w:bookmarkStart w:id="128" w:name="_Ref493938110"/>
      <w:bookmarkStart w:id="129" w:name="_Ref491960617"/>
      <w:bookmarkStart w:id="130" w:name="_Toc495144725"/>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2</w:t>
      </w:r>
      <w:r w:rsidR="00280FFF">
        <w:rPr>
          <w:szCs w:val="22"/>
        </w:rPr>
        <w:fldChar w:fldCharType="end"/>
      </w:r>
      <w:bookmarkEnd w:id="128"/>
      <w:r w:rsidRPr="00541084">
        <w:rPr>
          <w:szCs w:val="22"/>
        </w:rPr>
        <w:t>. The four steps of well plan</w:t>
      </w:r>
      <w:bookmarkEnd w:id="129"/>
      <w:bookmarkEnd w:id="130"/>
    </w:p>
    <w:p w14:paraId="1BAE0666" w14:textId="21764E83" w:rsidR="00970092" w:rsidRDefault="00970092" w:rsidP="00970092"/>
    <w:p w14:paraId="52AEB089" w14:textId="6A67E3E9" w:rsidR="00970092" w:rsidRDefault="00970092" w:rsidP="00970092"/>
    <w:p w14:paraId="2E9F582F" w14:textId="31BB301F" w:rsidR="00970092" w:rsidRDefault="00970092" w:rsidP="00970092"/>
    <w:p w14:paraId="7531D253" w14:textId="130DAC7C" w:rsidR="00970092" w:rsidRDefault="00970092" w:rsidP="00970092"/>
    <w:p w14:paraId="3845644D" w14:textId="77777777" w:rsidR="00801D28" w:rsidRDefault="00801D28" w:rsidP="0004427B">
      <w:pPr>
        <w:pStyle w:val="Caption"/>
        <w:jc w:val="both"/>
        <w:rPr>
          <w:rFonts w:eastAsiaTheme="minorEastAsia"/>
          <w:b w:val="0"/>
          <w:color w:val="auto"/>
          <w:sz w:val="24"/>
          <w:szCs w:val="24"/>
        </w:rPr>
      </w:pPr>
    </w:p>
    <w:p w14:paraId="323CF051" w14:textId="77777777" w:rsidR="0004427B" w:rsidRPr="0004427B" w:rsidRDefault="0004427B" w:rsidP="0004427B"/>
    <w:tbl>
      <w:tblPr>
        <w:tblStyle w:val="LightShading"/>
        <w:tblW w:w="5000" w:type="pct"/>
        <w:tblLook w:val="04A0" w:firstRow="1" w:lastRow="0" w:firstColumn="1" w:lastColumn="0" w:noHBand="0" w:noVBand="1"/>
      </w:tblPr>
      <w:tblGrid>
        <w:gridCol w:w="5076"/>
        <w:gridCol w:w="1272"/>
        <w:gridCol w:w="2364"/>
      </w:tblGrid>
      <w:tr w:rsidR="00801D28" w14:paraId="1443782E" w14:textId="77777777" w:rsidTr="009700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925A54E" w14:textId="6E4B54D6" w:rsidR="00801D28" w:rsidRDefault="00801D28" w:rsidP="00183CBB">
            <w:pPr>
              <w:jc w:val="center"/>
            </w:pPr>
            <w:bookmarkStart w:id="131" w:name="_Ref437954779"/>
            <w:bookmarkStart w:id="132" w:name="_Toc494014262"/>
            <w:r>
              <w:lastRenderedPageBreak/>
              <w:t xml:space="preserve">Table </w:t>
            </w:r>
            <w:fldSimple w:instr=" STYLEREF 1 \s ">
              <w:r w:rsidR="00A67B82">
                <w:rPr>
                  <w:noProof/>
                </w:rPr>
                <w:t>3</w:t>
              </w:r>
            </w:fldSimple>
            <w:r w:rsidR="00A67B82">
              <w:noBreakHyphen/>
            </w:r>
            <w:fldSimple w:instr=" SEQ Table \* ARABIC \s 1 ">
              <w:r w:rsidR="00A67B82">
                <w:rPr>
                  <w:noProof/>
                </w:rPr>
                <w:t>2</w:t>
              </w:r>
            </w:fldSimple>
            <w:bookmarkEnd w:id="131"/>
            <w:r>
              <w:t xml:space="preserve">. Well </w:t>
            </w:r>
            <w:r w:rsidR="0095624C">
              <w:t>Constraints and F</w:t>
            </w:r>
            <w:r w:rsidR="00970092">
              <w:t xml:space="preserve">luid </w:t>
            </w:r>
            <w:r w:rsidR="0095624C">
              <w:t>P</w:t>
            </w:r>
            <w:r w:rsidR="00970092">
              <w:t>roperties</w:t>
            </w:r>
            <w:bookmarkEnd w:id="132"/>
          </w:p>
        </w:tc>
      </w:tr>
      <w:tr w:rsidR="00183CBB" w14:paraId="7CFC328B" w14:textId="77777777" w:rsidTr="009700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3" w:type="pct"/>
            <w:tcBorders>
              <w:top w:val="single" w:sz="4" w:space="0" w:color="auto"/>
              <w:left w:val="single" w:sz="4" w:space="0" w:color="auto"/>
              <w:bottom w:val="single" w:sz="4" w:space="0" w:color="auto"/>
            </w:tcBorders>
            <w:shd w:val="clear" w:color="auto" w:fill="FFFFFF" w:themeFill="background1"/>
          </w:tcPr>
          <w:p w14:paraId="7B664430" w14:textId="77777777" w:rsidR="00801D28" w:rsidRDefault="00801D28" w:rsidP="00801D28">
            <w:pPr>
              <w:pStyle w:val="TableNormal1"/>
            </w:pPr>
            <w:r>
              <w:t>Well Controls</w:t>
            </w:r>
          </w:p>
        </w:tc>
        <w:tc>
          <w:tcPr>
            <w:tcW w:w="730" w:type="pct"/>
            <w:tcBorders>
              <w:top w:val="single" w:sz="4" w:space="0" w:color="auto"/>
              <w:bottom w:val="single" w:sz="4" w:space="0" w:color="auto"/>
            </w:tcBorders>
            <w:shd w:val="clear" w:color="auto" w:fill="FFFFFF" w:themeFill="background1"/>
          </w:tcPr>
          <w:p w14:paraId="1D52F095" w14:textId="77777777" w:rsidR="00801D28" w:rsidRPr="00801D28" w:rsidRDefault="00801D28" w:rsidP="00801D28">
            <w:pPr>
              <w:pStyle w:val="TableNormal1"/>
              <w:cnfStyle w:val="000000100000" w:firstRow="0" w:lastRow="0" w:firstColumn="0" w:lastColumn="0" w:oddVBand="0" w:evenVBand="0" w:oddHBand="1" w:evenHBand="0" w:firstRowFirstColumn="0" w:firstRowLastColumn="0" w:lastRowFirstColumn="0" w:lastRowLastColumn="0"/>
              <w:rPr>
                <w:b/>
              </w:rPr>
            </w:pPr>
            <w:r w:rsidRPr="00801D28">
              <w:rPr>
                <w:b/>
              </w:rPr>
              <w:t>Value</w:t>
            </w:r>
          </w:p>
        </w:tc>
        <w:tc>
          <w:tcPr>
            <w:tcW w:w="1357" w:type="pct"/>
            <w:tcBorders>
              <w:top w:val="single" w:sz="4" w:space="0" w:color="auto"/>
              <w:bottom w:val="single" w:sz="4" w:space="0" w:color="auto"/>
              <w:right w:val="single" w:sz="4" w:space="0" w:color="auto"/>
            </w:tcBorders>
            <w:shd w:val="clear" w:color="auto" w:fill="FFFFFF" w:themeFill="background1"/>
          </w:tcPr>
          <w:p w14:paraId="11E44372" w14:textId="77777777" w:rsidR="00801D28" w:rsidRPr="00801D28" w:rsidRDefault="00801D28" w:rsidP="00801D28">
            <w:pPr>
              <w:pStyle w:val="TableNormal1"/>
              <w:cnfStyle w:val="000000100000" w:firstRow="0" w:lastRow="0" w:firstColumn="0" w:lastColumn="0" w:oddVBand="0" w:evenVBand="0" w:oddHBand="1" w:evenHBand="0" w:firstRowFirstColumn="0" w:firstRowLastColumn="0" w:lastRowFirstColumn="0" w:lastRowLastColumn="0"/>
              <w:rPr>
                <w:b/>
              </w:rPr>
            </w:pPr>
            <w:r w:rsidRPr="00801D28">
              <w:rPr>
                <w:b/>
              </w:rPr>
              <w:t>Unit</w:t>
            </w:r>
          </w:p>
        </w:tc>
      </w:tr>
      <w:tr w:rsidR="00183CBB" w14:paraId="4A39D87B" w14:textId="77777777" w:rsidTr="00970092">
        <w:tc>
          <w:tcPr>
            <w:cnfStyle w:val="001000000000" w:firstRow="0" w:lastRow="0" w:firstColumn="1" w:lastColumn="0" w:oddVBand="0" w:evenVBand="0" w:oddHBand="0" w:evenHBand="0" w:firstRowFirstColumn="0" w:firstRowLastColumn="0" w:lastRowFirstColumn="0" w:lastRowLastColumn="0"/>
            <w:tcW w:w="2913" w:type="pct"/>
            <w:tcBorders>
              <w:left w:val="single" w:sz="4" w:space="0" w:color="auto"/>
            </w:tcBorders>
            <w:shd w:val="clear" w:color="auto" w:fill="FFFFFF"/>
          </w:tcPr>
          <w:p w14:paraId="722BFF4C" w14:textId="77777777" w:rsidR="00801D28" w:rsidRDefault="00801D28" w:rsidP="00801D28">
            <w:pPr>
              <w:pStyle w:val="TableNormal1"/>
            </w:pPr>
            <w:r>
              <w:t>Injection Maximum Bottom Hole Pressure</w:t>
            </w:r>
          </w:p>
        </w:tc>
        <w:tc>
          <w:tcPr>
            <w:tcW w:w="730" w:type="pct"/>
            <w:shd w:val="clear" w:color="auto" w:fill="FFFFFF"/>
          </w:tcPr>
          <w:p w14:paraId="1CEDE9BE" w14:textId="77777777" w:rsidR="00801D28" w:rsidRDefault="00801D28" w:rsidP="00801D28">
            <w:pPr>
              <w:pStyle w:val="TableNormal1"/>
              <w:cnfStyle w:val="000000000000" w:firstRow="0" w:lastRow="0" w:firstColumn="0" w:lastColumn="0" w:oddVBand="0" w:evenVBand="0" w:oddHBand="0" w:evenHBand="0" w:firstRowFirstColumn="0" w:firstRowLastColumn="0" w:lastRowFirstColumn="0" w:lastRowLastColumn="0"/>
            </w:pPr>
            <w:r>
              <w:t>20000</w:t>
            </w:r>
          </w:p>
        </w:tc>
        <w:tc>
          <w:tcPr>
            <w:tcW w:w="1357" w:type="pct"/>
            <w:tcBorders>
              <w:right w:val="single" w:sz="4" w:space="0" w:color="auto"/>
            </w:tcBorders>
            <w:shd w:val="clear" w:color="auto" w:fill="FFFFFF"/>
          </w:tcPr>
          <w:p w14:paraId="6E2CDD7C" w14:textId="77777777" w:rsidR="00801D28" w:rsidRDefault="00801D28" w:rsidP="00801D28">
            <w:pPr>
              <w:pStyle w:val="TableNormal1"/>
              <w:cnfStyle w:val="000000000000" w:firstRow="0" w:lastRow="0" w:firstColumn="0" w:lastColumn="0" w:oddVBand="0" w:evenVBand="0" w:oddHBand="0" w:evenHBand="0" w:firstRowFirstColumn="0" w:firstRowLastColumn="0" w:lastRowFirstColumn="0" w:lastRowLastColumn="0"/>
            </w:pPr>
            <w:r>
              <w:t>psi</w:t>
            </w:r>
          </w:p>
        </w:tc>
      </w:tr>
      <w:tr w:rsidR="00183CBB" w14:paraId="723659F0" w14:textId="77777777" w:rsidTr="009700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3" w:type="pct"/>
            <w:tcBorders>
              <w:left w:val="single" w:sz="4" w:space="0" w:color="auto"/>
            </w:tcBorders>
            <w:shd w:val="clear" w:color="auto" w:fill="FFFFFF"/>
          </w:tcPr>
          <w:p w14:paraId="2832B908" w14:textId="77777777" w:rsidR="00801D28" w:rsidRDefault="00801D28" w:rsidP="00801D28">
            <w:pPr>
              <w:pStyle w:val="TableNormal1"/>
            </w:pPr>
            <w:r>
              <w:t>Injection Maximum Rate</w:t>
            </w:r>
          </w:p>
        </w:tc>
        <w:tc>
          <w:tcPr>
            <w:tcW w:w="730" w:type="pct"/>
            <w:shd w:val="clear" w:color="auto" w:fill="FFFFFF"/>
          </w:tcPr>
          <w:p w14:paraId="3CF13349" w14:textId="77777777" w:rsidR="00801D28" w:rsidRDefault="00801D28" w:rsidP="00801D28">
            <w:pPr>
              <w:pStyle w:val="TableNormal1"/>
              <w:cnfStyle w:val="000000100000" w:firstRow="0" w:lastRow="0" w:firstColumn="0" w:lastColumn="0" w:oddVBand="0" w:evenVBand="0" w:oddHBand="1" w:evenHBand="0" w:firstRowFirstColumn="0" w:firstRowLastColumn="0" w:lastRowFirstColumn="0" w:lastRowLastColumn="0"/>
            </w:pPr>
            <w:r>
              <w:t>2000</w:t>
            </w:r>
          </w:p>
        </w:tc>
        <w:tc>
          <w:tcPr>
            <w:tcW w:w="1357" w:type="pct"/>
            <w:tcBorders>
              <w:right w:val="single" w:sz="4" w:space="0" w:color="auto"/>
            </w:tcBorders>
            <w:shd w:val="clear" w:color="auto" w:fill="FFFFFF"/>
          </w:tcPr>
          <w:p w14:paraId="0C494706" w14:textId="77777777" w:rsidR="00801D28" w:rsidRDefault="00801D28" w:rsidP="00801D28">
            <w:pPr>
              <w:pStyle w:val="TableNormal1"/>
              <w:cnfStyle w:val="000000100000" w:firstRow="0" w:lastRow="0" w:firstColumn="0" w:lastColumn="0" w:oddVBand="0" w:evenVBand="0" w:oddHBand="1" w:evenHBand="0" w:firstRowFirstColumn="0" w:firstRowLastColumn="0" w:lastRowFirstColumn="0" w:lastRowLastColumn="0"/>
            </w:pPr>
            <w:r>
              <w:t>bbl/day</w:t>
            </w:r>
          </w:p>
        </w:tc>
      </w:tr>
      <w:tr w:rsidR="00183CBB" w14:paraId="24AA3021" w14:textId="77777777" w:rsidTr="00970092">
        <w:tc>
          <w:tcPr>
            <w:cnfStyle w:val="001000000000" w:firstRow="0" w:lastRow="0" w:firstColumn="1" w:lastColumn="0" w:oddVBand="0" w:evenVBand="0" w:oddHBand="0" w:evenHBand="0" w:firstRowFirstColumn="0" w:firstRowLastColumn="0" w:lastRowFirstColumn="0" w:lastRowLastColumn="0"/>
            <w:tcW w:w="2913" w:type="pct"/>
            <w:tcBorders>
              <w:left w:val="single" w:sz="4" w:space="0" w:color="auto"/>
              <w:bottom w:val="nil"/>
            </w:tcBorders>
            <w:shd w:val="clear" w:color="auto" w:fill="FFFFFF"/>
          </w:tcPr>
          <w:p w14:paraId="5A41D7FF" w14:textId="77777777" w:rsidR="00801D28" w:rsidRDefault="00801D28" w:rsidP="00801D28">
            <w:pPr>
              <w:pStyle w:val="TableNormal1"/>
            </w:pPr>
            <w:r>
              <w:t>Production Minimum Bottom Hole Pressure</w:t>
            </w:r>
          </w:p>
          <w:p w14:paraId="5A084761" w14:textId="59E895EB" w:rsidR="00970092" w:rsidRDefault="00970092" w:rsidP="00801D28">
            <w:pPr>
              <w:pStyle w:val="TableNormal1"/>
            </w:pPr>
            <w:r>
              <w:t>Water FVF at 500 psi</w:t>
            </w:r>
          </w:p>
          <w:p w14:paraId="2A254533" w14:textId="43A7F95E" w:rsidR="00970092" w:rsidRDefault="00970092" w:rsidP="00801D28">
            <w:pPr>
              <w:pStyle w:val="TableNormal1"/>
            </w:pPr>
            <w:r>
              <w:t>Gas FVF at 500 psi</w:t>
            </w:r>
          </w:p>
        </w:tc>
        <w:tc>
          <w:tcPr>
            <w:tcW w:w="730" w:type="pct"/>
            <w:tcBorders>
              <w:bottom w:val="nil"/>
            </w:tcBorders>
            <w:shd w:val="clear" w:color="auto" w:fill="FFFFFF"/>
          </w:tcPr>
          <w:p w14:paraId="052CC745" w14:textId="77777777" w:rsidR="00801D28" w:rsidRDefault="00801D28" w:rsidP="00801D28">
            <w:pPr>
              <w:pStyle w:val="TableNormal1"/>
              <w:cnfStyle w:val="000000000000" w:firstRow="0" w:lastRow="0" w:firstColumn="0" w:lastColumn="0" w:oddVBand="0" w:evenVBand="0" w:oddHBand="0" w:evenHBand="0" w:firstRowFirstColumn="0" w:firstRowLastColumn="0" w:lastRowFirstColumn="0" w:lastRowLastColumn="0"/>
            </w:pPr>
            <w:r>
              <w:t>500</w:t>
            </w:r>
          </w:p>
          <w:p w14:paraId="1DC152E0" w14:textId="290F7449" w:rsidR="00970092" w:rsidRDefault="00970092" w:rsidP="00801D28">
            <w:pPr>
              <w:pStyle w:val="TableNormal1"/>
              <w:cnfStyle w:val="000000000000" w:firstRow="0" w:lastRow="0" w:firstColumn="0" w:lastColumn="0" w:oddVBand="0" w:evenVBand="0" w:oddHBand="0" w:evenHBand="0" w:firstRowFirstColumn="0" w:firstRowLastColumn="0" w:lastRowFirstColumn="0" w:lastRowLastColumn="0"/>
            </w:pPr>
            <w:r>
              <w:t>1.0</w:t>
            </w:r>
          </w:p>
          <w:p w14:paraId="72DC767D" w14:textId="4302155F" w:rsidR="00970092" w:rsidRDefault="00970092" w:rsidP="00801D28">
            <w:pPr>
              <w:pStyle w:val="TableNormal1"/>
              <w:cnfStyle w:val="000000000000" w:firstRow="0" w:lastRow="0" w:firstColumn="0" w:lastColumn="0" w:oddVBand="0" w:evenVBand="0" w:oddHBand="0" w:evenHBand="0" w:firstRowFirstColumn="0" w:firstRowLastColumn="0" w:lastRowFirstColumn="0" w:lastRowLastColumn="0"/>
            </w:pPr>
            <w:r>
              <w:t>0.037</w:t>
            </w:r>
          </w:p>
        </w:tc>
        <w:tc>
          <w:tcPr>
            <w:tcW w:w="1357" w:type="pct"/>
            <w:tcBorders>
              <w:bottom w:val="nil"/>
              <w:right w:val="single" w:sz="4" w:space="0" w:color="auto"/>
            </w:tcBorders>
            <w:shd w:val="clear" w:color="auto" w:fill="FFFFFF"/>
          </w:tcPr>
          <w:p w14:paraId="1FD205DF" w14:textId="26262DB3" w:rsidR="00801D28" w:rsidRDefault="00970092" w:rsidP="00801D28">
            <w:pPr>
              <w:pStyle w:val="TableNormal1"/>
              <w:cnfStyle w:val="000000000000" w:firstRow="0" w:lastRow="0" w:firstColumn="0" w:lastColumn="0" w:oddVBand="0" w:evenVBand="0" w:oddHBand="0" w:evenHBand="0" w:firstRowFirstColumn="0" w:firstRowLastColumn="0" w:lastRowFirstColumn="0" w:lastRowLastColumn="0"/>
            </w:pPr>
            <w:r>
              <w:t>p</w:t>
            </w:r>
            <w:r w:rsidR="00801D28">
              <w:t>si</w:t>
            </w:r>
          </w:p>
          <w:p w14:paraId="044D61CC" w14:textId="4C96341B" w:rsidR="00970092" w:rsidRDefault="00970092" w:rsidP="00801D28">
            <w:pPr>
              <w:pStyle w:val="TableNormal1"/>
              <w:cnfStyle w:val="000000000000" w:firstRow="0" w:lastRow="0" w:firstColumn="0" w:lastColumn="0" w:oddVBand="0" w:evenVBand="0" w:oddHBand="0" w:evenHBand="0" w:firstRowFirstColumn="0" w:firstRowLastColumn="0" w:lastRowFirstColumn="0" w:lastRowLastColumn="0"/>
            </w:pPr>
            <w:r>
              <w:t>rbbl/stb</w:t>
            </w:r>
          </w:p>
          <w:p w14:paraId="0EBA85C3" w14:textId="2A520713" w:rsidR="00970092" w:rsidRDefault="00970092" w:rsidP="00801D28">
            <w:pPr>
              <w:pStyle w:val="TableNormal1"/>
              <w:cnfStyle w:val="000000000000" w:firstRow="0" w:lastRow="0" w:firstColumn="0" w:lastColumn="0" w:oddVBand="0" w:evenVBand="0" w:oddHBand="0" w:evenHBand="0" w:firstRowFirstColumn="0" w:firstRowLastColumn="0" w:lastRowFirstColumn="0" w:lastRowLastColumn="0"/>
            </w:pPr>
            <w:r>
              <w:t>rsf/scf</w:t>
            </w:r>
          </w:p>
        </w:tc>
      </w:tr>
      <w:tr w:rsidR="00970092" w14:paraId="184C0C0B" w14:textId="77777777" w:rsidTr="009700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3" w:type="pct"/>
            <w:tcBorders>
              <w:top w:val="nil"/>
              <w:left w:val="single" w:sz="4" w:space="0" w:color="auto"/>
              <w:bottom w:val="nil"/>
            </w:tcBorders>
            <w:shd w:val="clear" w:color="auto" w:fill="FFFFFF"/>
          </w:tcPr>
          <w:p w14:paraId="68793C90" w14:textId="31CE5F56" w:rsidR="00970092" w:rsidRDefault="00970092" w:rsidP="00801D28">
            <w:pPr>
              <w:pStyle w:val="TableNormal1"/>
            </w:pPr>
            <w:r>
              <w:t>Water Viscosity</w:t>
            </w:r>
          </w:p>
        </w:tc>
        <w:tc>
          <w:tcPr>
            <w:tcW w:w="730" w:type="pct"/>
            <w:tcBorders>
              <w:top w:val="nil"/>
              <w:bottom w:val="nil"/>
            </w:tcBorders>
            <w:shd w:val="clear" w:color="auto" w:fill="FFFFFF"/>
          </w:tcPr>
          <w:p w14:paraId="0E1555E1" w14:textId="552C4001" w:rsidR="00970092" w:rsidRDefault="00970092" w:rsidP="00801D28">
            <w:pPr>
              <w:pStyle w:val="TableNormal1"/>
              <w:cnfStyle w:val="000000100000" w:firstRow="0" w:lastRow="0" w:firstColumn="0" w:lastColumn="0" w:oddVBand="0" w:evenVBand="0" w:oddHBand="1" w:evenHBand="0" w:firstRowFirstColumn="0" w:firstRowLastColumn="0" w:lastRowFirstColumn="0" w:lastRowLastColumn="0"/>
            </w:pPr>
            <w:r>
              <w:t>0.3</w:t>
            </w:r>
          </w:p>
        </w:tc>
        <w:tc>
          <w:tcPr>
            <w:tcW w:w="1357" w:type="pct"/>
            <w:tcBorders>
              <w:top w:val="nil"/>
              <w:bottom w:val="nil"/>
              <w:right w:val="single" w:sz="4" w:space="0" w:color="auto"/>
            </w:tcBorders>
            <w:shd w:val="clear" w:color="auto" w:fill="FFFFFF"/>
          </w:tcPr>
          <w:p w14:paraId="638C4BFD" w14:textId="1DA0576F" w:rsidR="00970092" w:rsidRDefault="00970092" w:rsidP="00801D28">
            <w:pPr>
              <w:pStyle w:val="TableNormal1"/>
              <w:cnfStyle w:val="000000100000" w:firstRow="0" w:lastRow="0" w:firstColumn="0" w:lastColumn="0" w:oddVBand="0" w:evenVBand="0" w:oddHBand="1" w:evenHBand="0" w:firstRowFirstColumn="0" w:firstRowLastColumn="0" w:lastRowFirstColumn="0" w:lastRowLastColumn="0"/>
            </w:pPr>
            <w:r>
              <w:t>cp</w:t>
            </w:r>
          </w:p>
        </w:tc>
      </w:tr>
      <w:tr w:rsidR="00970092" w14:paraId="1D85BAD3" w14:textId="77777777" w:rsidTr="00970092">
        <w:tc>
          <w:tcPr>
            <w:cnfStyle w:val="001000000000" w:firstRow="0" w:lastRow="0" w:firstColumn="1" w:lastColumn="0" w:oddVBand="0" w:evenVBand="0" w:oddHBand="0" w:evenHBand="0" w:firstRowFirstColumn="0" w:firstRowLastColumn="0" w:lastRowFirstColumn="0" w:lastRowLastColumn="0"/>
            <w:tcW w:w="2913" w:type="pct"/>
            <w:tcBorders>
              <w:top w:val="nil"/>
              <w:left w:val="single" w:sz="4" w:space="0" w:color="auto"/>
              <w:bottom w:val="nil"/>
            </w:tcBorders>
            <w:shd w:val="clear" w:color="auto" w:fill="FFFFFF"/>
          </w:tcPr>
          <w:p w14:paraId="03591656" w14:textId="5C1D93CE" w:rsidR="00970092" w:rsidRDefault="00970092" w:rsidP="00970092">
            <w:pPr>
              <w:pStyle w:val="TableNormal1"/>
            </w:pPr>
            <w:r>
              <w:t>Gas Viscosity</w:t>
            </w:r>
          </w:p>
        </w:tc>
        <w:tc>
          <w:tcPr>
            <w:tcW w:w="730" w:type="pct"/>
            <w:tcBorders>
              <w:top w:val="nil"/>
              <w:bottom w:val="nil"/>
            </w:tcBorders>
            <w:shd w:val="clear" w:color="auto" w:fill="FFFFFF"/>
          </w:tcPr>
          <w:p w14:paraId="0BBA8CDB" w14:textId="5142718A" w:rsidR="00970092" w:rsidRDefault="00970092" w:rsidP="00970092">
            <w:pPr>
              <w:pStyle w:val="TableNormal1"/>
              <w:cnfStyle w:val="000000000000" w:firstRow="0" w:lastRow="0" w:firstColumn="0" w:lastColumn="0" w:oddVBand="0" w:evenVBand="0" w:oddHBand="0" w:evenHBand="0" w:firstRowFirstColumn="0" w:firstRowLastColumn="0" w:lastRowFirstColumn="0" w:lastRowLastColumn="0"/>
            </w:pPr>
            <w:r>
              <w:t>0.02</w:t>
            </w:r>
          </w:p>
        </w:tc>
        <w:tc>
          <w:tcPr>
            <w:tcW w:w="1357" w:type="pct"/>
            <w:tcBorders>
              <w:top w:val="nil"/>
              <w:bottom w:val="nil"/>
              <w:right w:val="single" w:sz="4" w:space="0" w:color="auto"/>
            </w:tcBorders>
            <w:shd w:val="clear" w:color="auto" w:fill="FFFFFF"/>
          </w:tcPr>
          <w:p w14:paraId="0EBA5619" w14:textId="1ACB1D14" w:rsidR="00970092" w:rsidRDefault="00970092" w:rsidP="00970092">
            <w:pPr>
              <w:pStyle w:val="TableNormal1"/>
              <w:cnfStyle w:val="000000000000" w:firstRow="0" w:lastRow="0" w:firstColumn="0" w:lastColumn="0" w:oddVBand="0" w:evenVBand="0" w:oddHBand="0" w:evenHBand="0" w:firstRowFirstColumn="0" w:firstRowLastColumn="0" w:lastRowFirstColumn="0" w:lastRowLastColumn="0"/>
            </w:pPr>
            <w:r>
              <w:t>cp</w:t>
            </w:r>
          </w:p>
        </w:tc>
      </w:tr>
      <w:tr w:rsidR="00970092" w14:paraId="171543FA" w14:textId="77777777" w:rsidTr="009700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3" w:type="pct"/>
            <w:tcBorders>
              <w:top w:val="nil"/>
              <w:left w:val="single" w:sz="4" w:space="0" w:color="auto"/>
              <w:bottom w:val="nil"/>
            </w:tcBorders>
            <w:shd w:val="clear" w:color="auto" w:fill="FFFFFF"/>
          </w:tcPr>
          <w:p w14:paraId="7E9C9245" w14:textId="67DD9AA8" w:rsidR="00970092" w:rsidRDefault="00970092" w:rsidP="00970092">
            <w:pPr>
              <w:pStyle w:val="TableNormal1"/>
            </w:pPr>
            <w:r>
              <w:t>Initial Water Saturation</w:t>
            </w:r>
          </w:p>
        </w:tc>
        <w:tc>
          <w:tcPr>
            <w:tcW w:w="730" w:type="pct"/>
            <w:tcBorders>
              <w:top w:val="nil"/>
              <w:bottom w:val="nil"/>
            </w:tcBorders>
            <w:shd w:val="clear" w:color="auto" w:fill="FFFFFF"/>
          </w:tcPr>
          <w:p w14:paraId="57A44BFD" w14:textId="2BC8C6B8" w:rsidR="00970092" w:rsidRDefault="00970092" w:rsidP="00970092">
            <w:pPr>
              <w:pStyle w:val="TableNormal1"/>
              <w:cnfStyle w:val="000000100000" w:firstRow="0" w:lastRow="0" w:firstColumn="0" w:lastColumn="0" w:oddVBand="0" w:evenVBand="0" w:oddHBand="1" w:evenHBand="0" w:firstRowFirstColumn="0" w:firstRowLastColumn="0" w:lastRowFirstColumn="0" w:lastRowLastColumn="0"/>
            </w:pPr>
            <w:r>
              <w:t>0.3</w:t>
            </w:r>
          </w:p>
        </w:tc>
        <w:tc>
          <w:tcPr>
            <w:tcW w:w="1357" w:type="pct"/>
            <w:tcBorders>
              <w:top w:val="nil"/>
              <w:bottom w:val="nil"/>
              <w:right w:val="single" w:sz="4" w:space="0" w:color="auto"/>
            </w:tcBorders>
            <w:shd w:val="clear" w:color="auto" w:fill="FFFFFF"/>
          </w:tcPr>
          <w:p w14:paraId="55040A8A" w14:textId="4A2925DB" w:rsidR="00970092" w:rsidRDefault="00970092" w:rsidP="00970092">
            <w:pPr>
              <w:pStyle w:val="TableNormal1"/>
              <w:cnfStyle w:val="000000100000" w:firstRow="0" w:lastRow="0" w:firstColumn="0" w:lastColumn="0" w:oddVBand="0" w:evenVBand="0" w:oddHBand="1" w:evenHBand="0" w:firstRowFirstColumn="0" w:firstRowLastColumn="0" w:lastRowFirstColumn="0" w:lastRowLastColumn="0"/>
            </w:pPr>
            <w:r>
              <w:t>fraction</w:t>
            </w:r>
          </w:p>
        </w:tc>
      </w:tr>
      <w:tr w:rsidR="00970092" w14:paraId="1FF81CE5" w14:textId="77777777" w:rsidTr="00970092">
        <w:tc>
          <w:tcPr>
            <w:cnfStyle w:val="001000000000" w:firstRow="0" w:lastRow="0" w:firstColumn="1" w:lastColumn="0" w:oddVBand="0" w:evenVBand="0" w:oddHBand="0" w:evenHBand="0" w:firstRowFirstColumn="0" w:firstRowLastColumn="0" w:lastRowFirstColumn="0" w:lastRowLastColumn="0"/>
            <w:tcW w:w="2913" w:type="pct"/>
            <w:tcBorders>
              <w:top w:val="nil"/>
              <w:left w:val="single" w:sz="4" w:space="0" w:color="auto"/>
              <w:bottom w:val="single" w:sz="4" w:space="0" w:color="auto"/>
            </w:tcBorders>
            <w:shd w:val="clear" w:color="auto" w:fill="FFFFFF"/>
          </w:tcPr>
          <w:p w14:paraId="2C139001" w14:textId="76165959" w:rsidR="00970092" w:rsidRDefault="00970092" w:rsidP="00970092">
            <w:pPr>
              <w:pStyle w:val="TableNormal1"/>
            </w:pPr>
            <w:r>
              <w:t>Partitioning Coefficient</w:t>
            </w:r>
          </w:p>
        </w:tc>
        <w:tc>
          <w:tcPr>
            <w:tcW w:w="730" w:type="pct"/>
            <w:tcBorders>
              <w:top w:val="nil"/>
              <w:bottom w:val="single" w:sz="4" w:space="0" w:color="auto"/>
            </w:tcBorders>
            <w:shd w:val="clear" w:color="auto" w:fill="FFFFFF"/>
          </w:tcPr>
          <w:p w14:paraId="05885381" w14:textId="77985C77" w:rsidR="00970092" w:rsidRDefault="00970092" w:rsidP="00970092">
            <w:pPr>
              <w:pStyle w:val="TableNormal1"/>
              <w:cnfStyle w:val="000000000000" w:firstRow="0" w:lastRow="0" w:firstColumn="0" w:lastColumn="0" w:oddVBand="0" w:evenVBand="0" w:oddHBand="0" w:evenHBand="0" w:firstRowFirstColumn="0" w:firstRowLastColumn="0" w:lastRowFirstColumn="0" w:lastRowLastColumn="0"/>
            </w:pPr>
            <w:r>
              <w:t>25</w:t>
            </w:r>
          </w:p>
        </w:tc>
        <w:tc>
          <w:tcPr>
            <w:tcW w:w="1357" w:type="pct"/>
            <w:tcBorders>
              <w:top w:val="nil"/>
              <w:bottom w:val="single" w:sz="4" w:space="0" w:color="auto"/>
              <w:right w:val="single" w:sz="4" w:space="0" w:color="auto"/>
            </w:tcBorders>
            <w:shd w:val="clear" w:color="auto" w:fill="FFFFFF"/>
          </w:tcPr>
          <w:p w14:paraId="59F826DF" w14:textId="0FABEECD" w:rsidR="00970092" w:rsidRDefault="00970092" w:rsidP="00970092">
            <w:pPr>
              <w:pStyle w:val="TableNormal1"/>
              <w:cnfStyle w:val="000000000000" w:firstRow="0" w:lastRow="0" w:firstColumn="0" w:lastColumn="0" w:oddVBand="0" w:evenVBand="0" w:oddHBand="0" w:evenHBand="0" w:firstRowFirstColumn="0" w:firstRowLastColumn="0" w:lastRowFirstColumn="0" w:lastRowLastColumn="0"/>
            </w:pPr>
            <w:r>
              <w:t>fraction</w:t>
            </w:r>
          </w:p>
        </w:tc>
      </w:tr>
    </w:tbl>
    <w:p w14:paraId="300534DC" w14:textId="77777777" w:rsidR="00801D28" w:rsidRDefault="00801D28" w:rsidP="00801D28"/>
    <w:p w14:paraId="52C9B1B7" w14:textId="47DAF179" w:rsidR="00801D28" w:rsidRDefault="00801D28" w:rsidP="00801D28">
      <w:r>
        <w:t xml:space="preserve">The </w:t>
      </w:r>
      <w:r w:rsidRPr="00910470">
        <w:t>initial</w:t>
      </w:r>
      <w:r>
        <w:t xml:space="preserve"> pressure of hydraulic fracture </w:t>
      </w:r>
      <w:r w:rsidR="00FE3B38">
        <w:t xml:space="preserve">was 4925 psi. There were two phases, </w:t>
      </w:r>
      <w:r>
        <w:t>gaseous and aqueous, in the system initial</w:t>
      </w:r>
      <w:r w:rsidR="00FE3B38">
        <w:t>ly. The aqueous phase represented</w:t>
      </w:r>
      <w:r>
        <w:t xml:space="preserve"> the initial water and the injected fracking flu</w:t>
      </w:r>
      <w:r w:rsidR="00FE3B38">
        <w:t>id. The gaseous phase stand for</w:t>
      </w:r>
      <w:r>
        <w:t xml:space="preserve"> the shale gas</w:t>
      </w:r>
      <w:r w:rsidR="00FE3B38">
        <w:t xml:space="preserve">. </w:t>
      </w:r>
      <w:r w:rsidR="002B3527">
        <w:t xml:space="preserve">Other </w:t>
      </w:r>
      <w:r w:rsidR="00FE3B38">
        <w:t>fluid properties we</w:t>
      </w:r>
      <w:r>
        <w:t xml:space="preserve">re summarized in </w:t>
      </w:r>
      <w:r w:rsidR="00970092">
        <w:fldChar w:fldCharType="begin"/>
      </w:r>
      <w:r w:rsidR="00970092">
        <w:instrText xml:space="preserve"> REF _Ref437954779 \h </w:instrText>
      </w:r>
      <w:r w:rsidR="00970092">
        <w:fldChar w:fldCharType="separate"/>
      </w:r>
      <w:r w:rsidR="00970092">
        <w:t xml:space="preserve">Table </w:t>
      </w:r>
      <w:r w:rsidR="00970092">
        <w:rPr>
          <w:noProof/>
        </w:rPr>
        <w:t>3</w:t>
      </w:r>
      <w:r w:rsidR="00970092">
        <w:noBreakHyphen/>
      </w:r>
      <w:r w:rsidR="00970092">
        <w:rPr>
          <w:noProof/>
        </w:rPr>
        <w:t>2</w:t>
      </w:r>
      <w:r w:rsidR="00970092">
        <w:fldChar w:fldCharType="end"/>
      </w:r>
      <w:r>
        <w:fldChar w:fldCharType="begin"/>
      </w:r>
      <w:r>
        <w:instrText xml:space="preserve"> REF _Ref437974504 \h </w:instrText>
      </w:r>
      <w:r>
        <w:fldChar w:fldCharType="end"/>
      </w:r>
      <w:r>
        <w:t>.</w:t>
      </w:r>
      <w:r w:rsidR="00970092">
        <w:t xml:space="preserve"> </w:t>
      </w:r>
      <w:r>
        <w:t xml:space="preserve">To </w:t>
      </w:r>
      <w:r w:rsidR="00FE3B38">
        <w:t>complete</w:t>
      </w:r>
      <w:r>
        <w:t xml:space="preserve"> the model description, the relative permeability curve for</w:t>
      </w:r>
      <w:r w:rsidR="00FE3B38">
        <w:t xml:space="preserve"> hydraulic fracture is shown </w:t>
      </w:r>
      <w:r>
        <w:t xml:space="preserve">in </w:t>
      </w:r>
      <w:r>
        <w:fldChar w:fldCharType="begin"/>
      </w:r>
      <w:r>
        <w:instrText xml:space="preserve"> REF _Ref437974066 \h </w:instrText>
      </w:r>
      <w:r>
        <w:fldChar w:fldCharType="separate"/>
      </w:r>
      <w:r w:rsidR="00183CBB">
        <w:t xml:space="preserve">Figure </w:t>
      </w:r>
      <w:r w:rsidR="00183CBB">
        <w:rPr>
          <w:noProof/>
        </w:rPr>
        <w:t>3</w:t>
      </w:r>
      <w:r w:rsidR="00183CBB">
        <w:noBreakHyphen/>
      </w:r>
      <w:r w:rsidR="00183CBB">
        <w:rPr>
          <w:noProof/>
        </w:rPr>
        <w:t>3</w:t>
      </w:r>
      <w:r>
        <w:fldChar w:fldCharType="end"/>
      </w:r>
      <w:r>
        <w:t xml:space="preserve">. </w:t>
      </w:r>
    </w:p>
    <w:p w14:paraId="1EB3927F" w14:textId="77777777" w:rsidR="00801D28" w:rsidRDefault="00801D28" w:rsidP="00801D28">
      <w:pPr>
        <w:pStyle w:val="para1"/>
      </w:pPr>
    </w:p>
    <w:p w14:paraId="764C7AC5" w14:textId="77777777" w:rsidR="00801D28" w:rsidRDefault="00801D28" w:rsidP="00801D28">
      <w:pPr>
        <w:pStyle w:val="para1"/>
      </w:pPr>
    </w:p>
    <w:p w14:paraId="6F0EDF2F" w14:textId="77777777" w:rsidR="00801D28" w:rsidRDefault="00801D28" w:rsidP="00801D28">
      <w:pPr>
        <w:pStyle w:val="TableNormal1"/>
      </w:pPr>
      <w:r w:rsidRPr="00F92381">
        <w:lastRenderedPageBreak/>
        <w:drawing>
          <wp:inline distT="0" distB="0" distL="0" distR="0" wp14:anchorId="1D5C0E5C" wp14:editId="6F9F984A">
            <wp:extent cx="5239910" cy="34867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51094" cy="3494227"/>
                    </a:xfrm>
                    <a:prstGeom prst="rect">
                      <a:avLst/>
                    </a:prstGeom>
                    <a:noFill/>
                    <a:ln>
                      <a:noFill/>
                    </a:ln>
                  </pic:spPr>
                </pic:pic>
              </a:graphicData>
            </a:graphic>
          </wp:inline>
        </w:drawing>
      </w:r>
    </w:p>
    <w:p w14:paraId="28950596" w14:textId="6CDA0FFA" w:rsidR="00801D28" w:rsidRPr="00541084" w:rsidRDefault="00801D28" w:rsidP="00BF3F9B">
      <w:pPr>
        <w:pStyle w:val="Caption"/>
        <w:rPr>
          <w:szCs w:val="22"/>
        </w:rPr>
      </w:pPr>
      <w:bookmarkStart w:id="133" w:name="_Ref437974066"/>
      <w:bookmarkStart w:id="134" w:name="_Toc495144726"/>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3</w:t>
      </w:r>
      <w:r w:rsidR="00280FFF">
        <w:rPr>
          <w:szCs w:val="22"/>
        </w:rPr>
        <w:fldChar w:fldCharType="end"/>
      </w:r>
      <w:bookmarkEnd w:id="133"/>
      <w:r w:rsidRPr="00541084">
        <w:rPr>
          <w:szCs w:val="22"/>
        </w:rPr>
        <w:t>. Relative permeability curves in matrix and hydraulic fracture (modified from Cheng (2012))</w:t>
      </w:r>
      <w:bookmarkEnd w:id="134"/>
    </w:p>
    <w:p w14:paraId="78041A8A" w14:textId="77777777" w:rsidR="00801D28" w:rsidRPr="00A142E9" w:rsidRDefault="00801D28" w:rsidP="00801D28"/>
    <w:p w14:paraId="507B122C" w14:textId="029479F7" w:rsidR="00801D28" w:rsidRPr="00A142E9" w:rsidRDefault="00801D28" w:rsidP="00801D28">
      <w:r>
        <w:fldChar w:fldCharType="begin"/>
      </w:r>
      <w:r>
        <w:instrText xml:space="preserve"> REF _Ref437975287 \h  \* MERGEFORMAT </w:instrText>
      </w:r>
      <w:r>
        <w:fldChar w:fldCharType="separate"/>
      </w:r>
      <w:r w:rsidR="00183CBB">
        <w:t xml:space="preserve">Figure </w:t>
      </w:r>
      <w:r w:rsidR="00183CBB">
        <w:rPr>
          <w:noProof/>
        </w:rPr>
        <w:t>3</w:t>
      </w:r>
      <w:r w:rsidR="00183CBB">
        <w:rPr>
          <w:noProof/>
        </w:rPr>
        <w:noBreakHyphen/>
        <w:t>4</w:t>
      </w:r>
      <w:r>
        <w:fldChar w:fldCharType="end"/>
      </w:r>
      <w:r>
        <w:t xml:space="preserve"> is the result of tracer production data in gas in a semi-log plot. The tracer tail section, the red section in graph, could be well fitted by an exponential decline function as shown in the </w:t>
      </w:r>
      <w:r>
        <w:fldChar w:fldCharType="begin"/>
      </w:r>
      <w:r>
        <w:instrText xml:space="preserve"> REF _Ref437975287 \h  \* MERGEFORMAT </w:instrText>
      </w:r>
      <w:r>
        <w:fldChar w:fldCharType="separate"/>
      </w:r>
      <w:r w:rsidR="00183CBB">
        <w:t xml:space="preserve">Figure </w:t>
      </w:r>
      <w:r w:rsidR="00183CBB">
        <w:rPr>
          <w:noProof/>
        </w:rPr>
        <w:t>3</w:t>
      </w:r>
      <w:r w:rsidR="00183CBB">
        <w:rPr>
          <w:noProof/>
        </w:rPr>
        <w:noBreakHyphen/>
        <w:t>4</w:t>
      </w:r>
      <w:r>
        <w:fldChar w:fldCharType="end"/>
      </w:r>
      <w:r>
        <w:t xml:space="preserve">. Applying Eq. </w:t>
      </w:r>
      <w:r w:rsidR="00B8472C">
        <w:t>3-</w:t>
      </w:r>
      <w:r>
        <w:t>2, tracer swept volume in gas at surface condition is 4605 ft</w:t>
      </w:r>
      <w:r w:rsidRPr="00A142E9">
        <w:rPr>
          <w:vertAlign w:val="superscript"/>
        </w:rPr>
        <w:t>3</w:t>
      </w:r>
      <w:r>
        <w:t xml:space="preserve"> and swept volume in water is 122 ft</w:t>
      </w:r>
      <w:r w:rsidRPr="00A142E9">
        <w:rPr>
          <w:vertAlign w:val="superscript"/>
        </w:rPr>
        <w:t>3</w:t>
      </w:r>
      <w:r>
        <w:t xml:space="preserve">. </w:t>
      </w:r>
      <w:r w:rsidR="00B8472C">
        <w:t>T</w:t>
      </w:r>
      <w:r>
        <w:t xml:space="preserve">he total swept pore volume at subsurface through Eq. </w:t>
      </w:r>
      <w:r w:rsidR="00B8472C">
        <w:t>3-</w:t>
      </w:r>
      <w:r>
        <w:t>3 is 293 ft</w:t>
      </w:r>
      <w:r w:rsidRPr="00FE1143">
        <w:rPr>
          <w:vertAlign w:val="superscript"/>
        </w:rPr>
        <w:t>3</w:t>
      </w:r>
      <w:r>
        <w:t xml:space="preserve">. </w:t>
      </w:r>
    </w:p>
    <w:p w14:paraId="1C750D82" w14:textId="77777777" w:rsidR="00801D28" w:rsidRDefault="00801D28" w:rsidP="00801D28">
      <w:pPr>
        <w:pStyle w:val="TableNormal1"/>
      </w:pPr>
      <w:r w:rsidRPr="00A17940">
        <w:lastRenderedPageBreak/>
        <w:drawing>
          <wp:inline distT="0" distB="0" distL="0" distR="0" wp14:anchorId="58A249EA" wp14:editId="64FA79BC">
            <wp:extent cx="5340350" cy="405908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41462" cy="4059932"/>
                    </a:xfrm>
                    <a:prstGeom prst="rect">
                      <a:avLst/>
                    </a:prstGeom>
                    <a:noFill/>
                    <a:ln>
                      <a:noFill/>
                    </a:ln>
                  </pic:spPr>
                </pic:pic>
              </a:graphicData>
            </a:graphic>
          </wp:inline>
        </w:drawing>
      </w:r>
    </w:p>
    <w:p w14:paraId="519400CD" w14:textId="02431C6F" w:rsidR="00801D28" w:rsidRPr="00541084" w:rsidRDefault="00801D28" w:rsidP="00BF3F9B">
      <w:pPr>
        <w:pStyle w:val="Caption"/>
        <w:rPr>
          <w:szCs w:val="22"/>
        </w:rPr>
      </w:pPr>
      <w:bookmarkStart w:id="135" w:name="_Ref437975287"/>
      <w:bookmarkStart w:id="136" w:name="_Toc495144727"/>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4</w:t>
      </w:r>
      <w:r w:rsidR="00280FFF">
        <w:rPr>
          <w:szCs w:val="22"/>
        </w:rPr>
        <w:fldChar w:fldCharType="end"/>
      </w:r>
      <w:bookmarkEnd w:id="135"/>
      <w:r w:rsidRPr="00541084">
        <w:rPr>
          <w:szCs w:val="22"/>
        </w:rPr>
        <w:t>. Tracer concentration vs. cumulative gas production. The dashed line is the best fitted line. Its R-square is 0.983, indicating the tracer tail is almost a straight line.</w:t>
      </w:r>
      <w:bookmarkEnd w:id="136"/>
    </w:p>
    <w:p w14:paraId="35EFAABD" w14:textId="77777777" w:rsidR="00801D28" w:rsidRDefault="00801D28" w:rsidP="00801D28"/>
    <w:p w14:paraId="4675EE93" w14:textId="75375997" w:rsidR="00801D28" w:rsidRDefault="00801D28" w:rsidP="00801D28">
      <w:r>
        <w:fldChar w:fldCharType="begin"/>
      </w:r>
      <w:r>
        <w:instrText xml:space="preserve"> REF _Ref437975741 \h  \* MERGEFORMAT </w:instrText>
      </w:r>
      <w:r>
        <w:fldChar w:fldCharType="separate"/>
      </w:r>
      <w:r w:rsidR="00183CBB">
        <w:t xml:space="preserve">Figure </w:t>
      </w:r>
      <w:r w:rsidR="00183CBB">
        <w:rPr>
          <w:noProof/>
        </w:rPr>
        <w:t>3</w:t>
      </w:r>
      <w:r w:rsidR="00183CBB">
        <w:rPr>
          <w:noProof/>
        </w:rPr>
        <w:noBreakHyphen/>
        <w:t>5</w:t>
      </w:r>
      <w:r>
        <w:fldChar w:fldCharType="end"/>
      </w:r>
      <w:r>
        <w:t xml:space="preserve"> is the tracer distribution profile at the end of shut in period. The horizontal axis is the distance from the wellbore. It shows that the injected tracer has been pushed to the location of 100 ft away from the wellbore and the total contacted pore volume, if calculated based on </w:t>
      </w:r>
      <w:r>
        <w:fldChar w:fldCharType="begin"/>
      </w:r>
      <w:r>
        <w:instrText xml:space="preserve"> REF _Ref437975741 \h  \* MERGEFORMAT </w:instrText>
      </w:r>
      <w:r>
        <w:fldChar w:fldCharType="separate"/>
      </w:r>
      <w:r w:rsidR="00183CBB">
        <w:t xml:space="preserve">Figure </w:t>
      </w:r>
      <w:r w:rsidR="00183CBB">
        <w:rPr>
          <w:noProof/>
        </w:rPr>
        <w:t>3</w:t>
      </w:r>
      <w:r w:rsidR="00183CBB">
        <w:rPr>
          <w:noProof/>
        </w:rPr>
        <w:noBreakHyphen/>
        <w:t>5</w:t>
      </w:r>
      <w:r>
        <w:fldChar w:fldCharType="end"/>
      </w:r>
      <w:r>
        <w:t>, is</w:t>
      </w:r>
      <w:r w:rsidR="005027A4">
        <w:t xml:space="preserve"> </w:t>
      </w:r>
      <m:oMath>
        <m:r>
          <w:rPr>
            <w:rFonts w:ascii="Cambria Math" w:hAnsi="Cambria Math"/>
          </w:rPr>
          <m:t xml:space="preserve">300 </m:t>
        </m:r>
        <m:r>
          <m:rPr>
            <m:sty m:val="p"/>
          </m:rPr>
          <w:rPr>
            <w:rFonts w:ascii="Cambria Math" w:hAnsi="Cambria Math"/>
          </w:rPr>
          <m:t>f</m:t>
        </m:r>
        <m:sSup>
          <m:sSupPr>
            <m:ctrlPr>
              <w:rPr>
                <w:rFonts w:ascii="Cambria Math" w:hAnsi="Cambria Math"/>
              </w:rPr>
            </m:ctrlPr>
          </m:sSupPr>
          <m:e>
            <m:r>
              <m:rPr>
                <m:sty m:val="p"/>
              </m:rPr>
              <w:rPr>
                <w:rFonts w:ascii="Cambria Math" w:hAnsi="Cambria Math"/>
              </w:rPr>
              <m:t>t</m:t>
            </m:r>
          </m:e>
          <m:sup>
            <m:r>
              <m:rPr>
                <m:sty m:val="p"/>
              </m:rPr>
              <w:rPr>
                <w:rFonts w:ascii="Cambria Math" w:hAnsi="Cambria Math"/>
              </w:rPr>
              <m:t>3</m:t>
            </m:r>
          </m:sup>
        </m:sSup>
      </m:oMath>
      <w:r w:rsidR="00033040">
        <w:t xml:space="preserve"> </w:t>
      </w:r>
      <w:r>
        <w:t xml:space="preserve"> This value is in a good agreement with the previous swept volume obtained from tracer production data.</w:t>
      </w:r>
    </w:p>
    <w:p w14:paraId="354E560B" w14:textId="77777777" w:rsidR="00801D28" w:rsidRDefault="00801D28" w:rsidP="00801D28">
      <w:pPr>
        <w:pStyle w:val="TableNormal1"/>
      </w:pPr>
      <w:r w:rsidRPr="00E51465">
        <w:lastRenderedPageBreak/>
        <w:drawing>
          <wp:inline distT="0" distB="0" distL="0" distR="0" wp14:anchorId="781D186E" wp14:editId="0F3F2CD3">
            <wp:extent cx="5279666" cy="445579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83325" cy="4458883"/>
                    </a:xfrm>
                    <a:prstGeom prst="rect">
                      <a:avLst/>
                    </a:prstGeom>
                    <a:noFill/>
                    <a:ln>
                      <a:noFill/>
                    </a:ln>
                  </pic:spPr>
                </pic:pic>
              </a:graphicData>
            </a:graphic>
          </wp:inline>
        </w:drawing>
      </w:r>
    </w:p>
    <w:p w14:paraId="1947B944" w14:textId="6361296C" w:rsidR="00801D28" w:rsidRPr="00541084" w:rsidRDefault="00801D28" w:rsidP="00BF3F9B">
      <w:pPr>
        <w:pStyle w:val="Caption"/>
        <w:rPr>
          <w:szCs w:val="22"/>
        </w:rPr>
      </w:pPr>
      <w:bookmarkStart w:id="137" w:name="_Ref437975741"/>
      <w:bookmarkStart w:id="138" w:name="_Toc495144728"/>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5</w:t>
      </w:r>
      <w:r w:rsidR="00280FFF">
        <w:rPr>
          <w:szCs w:val="22"/>
        </w:rPr>
        <w:fldChar w:fldCharType="end"/>
      </w:r>
      <w:bookmarkEnd w:id="137"/>
      <w:r w:rsidRPr="00541084">
        <w:rPr>
          <w:szCs w:val="22"/>
        </w:rPr>
        <w:t>. Tracer distribution inside fracture at the end of shut in</w:t>
      </w:r>
      <w:bookmarkEnd w:id="138"/>
    </w:p>
    <w:p w14:paraId="6F9B344D" w14:textId="77777777" w:rsidR="00801D28" w:rsidRDefault="00801D28" w:rsidP="00801D28"/>
    <w:p w14:paraId="30325C91" w14:textId="4AB0AEE4" w:rsidR="00801D28" w:rsidRDefault="00801D28" w:rsidP="00801D28">
      <w:r>
        <w:t xml:space="preserve">Although the hydraulic fracture is 300 ft, the tracer only reaches the 100 ft from wellbore because of the pressure increase in the system. </w:t>
      </w:r>
      <w:r w:rsidR="005027A4">
        <w:t xml:space="preserve">The tracer swept volume calculated from </w:t>
      </w:r>
      <w:r w:rsidR="005027A4">
        <w:fldChar w:fldCharType="begin"/>
      </w:r>
      <w:r w:rsidR="005027A4">
        <w:instrText xml:space="preserve"> REF _Ref437975287 \h </w:instrText>
      </w:r>
      <w:r w:rsidR="005027A4">
        <w:fldChar w:fldCharType="separate"/>
      </w:r>
      <w:r w:rsidR="005027A4" w:rsidRPr="00541084">
        <w:rPr>
          <w:szCs w:val="22"/>
        </w:rPr>
        <w:t xml:space="preserve">Figure </w:t>
      </w:r>
      <w:r w:rsidR="005027A4">
        <w:rPr>
          <w:noProof/>
          <w:szCs w:val="22"/>
        </w:rPr>
        <w:t>3</w:t>
      </w:r>
      <w:r w:rsidR="005027A4">
        <w:rPr>
          <w:szCs w:val="22"/>
        </w:rPr>
        <w:noBreakHyphen/>
      </w:r>
      <w:r w:rsidR="005027A4">
        <w:rPr>
          <w:noProof/>
          <w:szCs w:val="22"/>
        </w:rPr>
        <w:t>4</w:t>
      </w:r>
      <w:r w:rsidR="005027A4">
        <w:fldChar w:fldCharType="end"/>
      </w:r>
      <w:r w:rsidR="005027A4">
        <w:t xml:space="preserve"> </w:t>
      </w:r>
      <w:r>
        <w:t>verifies that MoM is capable in estimating such volume swept by the tracer. In other words, tracer production data could directly tell where the tracer goes during the</w:t>
      </w:r>
      <w:r w:rsidR="00446C6C">
        <w:t xml:space="preserve"> injection process. </w:t>
      </w:r>
    </w:p>
    <w:p w14:paraId="773247ED" w14:textId="7F22AD12" w:rsidR="00433649" w:rsidRDefault="00433649" w:rsidP="00801D28"/>
    <w:p w14:paraId="705693AE" w14:textId="77777777" w:rsidR="00433649" w:rsidRDefault="00433649" w:rsidP="00801D28"/>
    <w:p w14:paraId="1145EAD5" w14:textId="77777777" w:rsidR="00183CBB" w:rsidRDefault="00183CBB" w:rsidP="00183CBB">
      <w:pPr>
        <w:pStyle w:val="Heading3"/>
      </w:pPr>
      <w:bookmarkStart w:id="139" w:name="_Toc494014217"/>
      <w:r>
        <w:lastRenderedPageBreak/>
        <w:t>Matrix Impact</w:t>
      </w:r>
      <w:bookmarkEnd w:id="139"/>
    </w:p>
    <w:p w14:paraId="424EA8B9" w14:textId="66DC19C8" w:rsidR="00183CBB" w:rsidRDefault="00183CBB" w:rsidP="00183CBB">
      <w:r>
        <w:t>Previous case</w:t>
      </w:r>
      <w:r w:rsidR="005027A4">
        <w:t xml:space="preserve"> in section 3.3.1 </w:t>
      </w:r>
      <w:r>
        <w:t xml:space="preserve">simulates one single hydraulic fracture without matrix. </w:t>
      </w:r>
      <w:r w:rsidR="005027A4">
        <w:t>Fracturing pressure is</w:t>
      </w:r>
      <w:r w:rsidR="0022467D">
        <w:t xml:space="preserve"> usually much</w:t>
      </w:r>
      <w:r>
        <w:t xml:space="preserve"> higher than the matrix </w:t>
      </w:r>
      <w:r w:rsidR="0022467D">
        <w:t xml:space="preserve">pore </w:t>
      </w:r>
      <w:r>
        <w:t>pressure</w:t>
      </w:r>
      <w:r w:rsidR="0022467D">
        <w:t>, which leads to</w:t>
      </w:r>
      <w:r>
        <w:t xml:space="preserve"> the fracking fluid </w:t>
      </w:r>
      <w:r w:rsidR="00A80041">
        <w:t>intrusion</w:t>
      </w:r>
      <w:r>
        <w:t xml:space="preserve"> into the matrix (Warpinski et al. 1998). The penetration distance of fracturing fluid into the matrix is relevant with matrix permeability. For high permeable reservoir, the injected fluid could penetrate deeper and vice versa (Chitrala et al. 2011). Such leak-off would complicate the tracer diagnosis. This section addresses the impact of matrix when using partitioning tracer to detect fracture volume.</w:t>
      </w:r>
    </w:p>
    <w:p w14:paraId="5EAB95A6" w14:textId="1D2019F9" w:rsidR="00183CBB" w:rsidRDefault="00A80041" w:rsidP="00183CBB">
      <w:r>
        <w:t>Assuming bi-wing model of the fracture, a</w:t>
      </w:r>
      <w:r w:rsidR="00183CBB">
        <w:t xml:space="preserve"> quarter of the hydraulic fracture and its adjacent matrix are simulated. There are 18 grids in x direction and 50 grids in y direction. The hydraulic fracture is located at the right side, whose x coordinate is 18. Local grid refinement is implemented near the hydraulic fracture with logarithmic grid size (</w:t>
      </w:r>
      <w:r w:rsidR="00183CBB">
        <w:fldChar w:fldCharType="begin"/>
      </w:r>
      <w:r w:rsidR="00183CBB">
        <w:instrText xml:space="preserve"> REF _Ref438023401 \h </w:instrText>
      </w:r>
      <w:r w:rsidR="00183CBB">
        <w:fldChar w:fldCharType="separate"/>
      </w:r>
      <w:r w:rsidR="0095624C" w:rsidRPr="00541084">
        <w:rPr>
          <w:szCs w:val="22"/>
        </w:rPr>
        <w:t xml:space="preserve">Figure </w:t>
      </w:r>
      <w:r w:rsidR="0095624C">
        <w:rPr>
          <w:noProof/>
          <w:szCs w:val="22"/>
        </w:rPr>
        <w:t>3</w:t>
      </w:r>
      <w:r w:rsidR="0095624C">
        <w:rPr>
          <w:szCs w:val="22"/>
        </w:rPr>
        <w:noBreakHyphen/>
      </w:r>
      <w:r w:rsidR="0095624C">
        <w:rPr>
          <w:noProof/>
          <w:szCs w:val="22"/>
        </w:rPr>
        <w:t>6</w:t>
      </w:r>
      <w:r w:rsidR="00183CBB">
        <w:fldChar w:fldCharType="end"/>
      </w:r>
      <w:r w:rsidR="00183CBB">
        <w:t>). Matrix porosity and initial water saturation are kept same with the hydraulic fracture (</w:t>
      </w:r>
      <w:r w:rsidR="00183CBB">
        <w:fldChar w:fldCharType="begin"/>
      </w:r>
      <w:r w:rsidR="00183CBB">
        <w:instrText xml:space="preserve"> REF _Ref438026383 \h </w:instrText>
      </w:r>
      <w:r w:rsidR="00183CBB">
        <w:fldChar w:fldCharType="separate"/>
      </w:r>
      <w:r w:rsidR="0095624C">
        <w:t xml:space="preserve">Table </w:t>
      </w:r>
      <w:r w:rsidR="0095624C">
        <w:rPr>
          <w:noProof/>
        </w:rPr>
        <w:t>3</w:t>
      </w:r>
      <w:r w:rsidR="0095624C">
        <w:noBreakHyphen/>
      </w:r>
      <w:r w:rsidR="0095624C">
        <w:rPr>
          <w:noProof/>
        </w:rPr>
        <w:t>3</w:t>
      </w:r>
      <w:r w:rsidR="00183CBB">
        <w:fldChar w:fldCharType="end"/>
      </w:r>
      <w:r w:rsidR="00183CBB">
        <w:t>). With larger matrix permeability, the partitioning chemical tracer may invade deeper into the formation. To investigate the invasion zone impact, matrix permeability varies from 50 nd to 5000 nd. Instead of using the absolute permeability magnitud</w:t>
      </w:r>
      <w:r w:rsidR="00304B8E">
        <w:t>e,</w:t>
      </w:r>
      <w:r w:rsidR="00183CBB">
        <w:t xml:space="preserve"> </w:t>
      </w:r>
      <w:r w:rsidR="00304B8E">
        <w:t xml:space="preserve">a </w:t>
      </w:r>
      <w:r w:rsidR="00183CBB">
        <w:t>dimensionless permeability ratio of fracture permeability over matrix permeability (Eq. 3-5)</w:t>
      </w:r>
      <w:r w:rsidR="00304B8E">
        <w:t xml:space="preserve"> was used</w:t>
      </w:r>
      <w:r w:rsidR="00183CBB">
        <w:t xml:space="preserve"> for comparison. The fluid properties, hydraulic fracture and well information are same with the previous case. </w:t>
      </w:r>
    </w:p>
    <w:p w14:paraId="7798F657" w14:textId="5B0FF7CD" w:rsidR="00183CBB" w:rsidRDefault="00183CBB" w:rsidP="00183CBB">
      <m:oMath>
        <m:r>
          <m:rPr>
            <m:sty m:val="p"/>
          </m:rPr>
          <w:rPr>
            <w:rFonts w:ascii="Cambria Math" w:hAnsi="Cambria Math"/>
          </w:rPr>
          <m:t>R=</m:t>
        </m:r>
        <m:f>
          <m:fPr>
            <m:ctrlPr>
              <w:rPr>
                <w:rFonts w:ascii="Cambria Math" w:hAnsi="Cambria Math"/>
              </w:rPr>
            </m:ctrlPr>
          </m:fPr>
          <m:num>
            <m:sSub>
              <m:sSubPr>
                <m:ctrlPr>
                  <w:rPr>
                    <w:rFonts w:ascii="Cambria Math" w:hAnsi="Cambria Math"/>
                    <w:i/>
                  </w:rPr>
                </m:ctrlPr>
              </m:sSubPr>
              <m:e>
                <m:r>
                  <w:rPr>
                    <w:rFonts w:ascii="Cambria Math" w:hAnsi="Cambria Math"/>
                  </w:rPr>
                  <m:t>K</m:t>
                </m:r>
              </m:e>
              <m:sub>
                <m:r>
                  <w:rPr>
                    <w:rFonts w:ascii="Cambria Math" w:hAnsi="Cambria Math"/>
                  </w:rPr>
                  <m:t>f</m:t>
                </m:r>
              </m:sub>
            </m:sSub>
          </m:num>
          <m:den>
            <m:sSub>
              <m:sSubPr>
                <m:ctrlPr>
                  <w:rPr>
                    <w:rFonts w:ascii="Cambria Math" w:hAnsi="Cambria Math"/>
                    <w:i/>
                  </w:rPr>
                </m:ctrlPr>
              </m:sSubPr>
              <m:e>
                <m:r>
                  <w:rPr>
                    <w:rFonts w:ascii="Cambria Math" w:hAnsi="Cambria Math"/>
                  </w:rPr>
                  <m:t>K</m:t>
                </m:r>
              </m:e>
              <m:sub>
                <m:r>
                  <w:rPr>
                    <w:rFonts w:ascii="Cambria Math" w:hAnsi="Cambria Math"/>
                  </w:rPr>
                  <m:t>m</m:t>
                </m:r>
              </m:sub>
            </m:sSub>
          </m:den>
        </m:f>
      </m:oMath>
      <w:r>
        <w:tab/>
        <w:t>(3-5)</w:t>
      </w:r>
    </w:p>
    <w:p w14:paraId="0EA24AEB" w14:textId="77777777" w:rsidR="005027A4" w:rsidRDefault="005027A4" w:rsidP="00183CBB"/>
    <w:p w14:paraId="422F5D2B" w14:textId="77777777" w:rsidR="00183CBB" w:rsidRPr="00541084" w:rsidRDefault="00183CBB" w:rsidP="00BF3F9B">
      <w:pPr>
        <w:pStyle w:val="Caption"/>
        <w:rPr>
          <w:szCs w:val="22"/>
        </w:rPr>
      </w:pPr>
    </w:p>
    <w:p w14:paraId="2E161450" w14:textId="77777777" w:rsidR="00183CBB" w:rsidRPr="00541084" w:rsidRDefault="00183CBB" w:rsidP="00BF3F9B">
      <w:pPr>
        <w:pStyle w:val="Caption"/>
        <w:rPr>
          <w:szCs w:val="22"/>
        </w:rPr>
      </w:pPr>
    </w:p>
    <w:tbl>
      <w:tblPr>
        <w:tblStyle w:val="LightShading"/>
        <w:tblW w:w="5000" w:type="pct"/>
        <w:tblLook w:val="04A0" w:firstRow="1" w:lastRow="0" w:firstColumn="1" w:lastColumn="0" w:noHBand="0" w:noVBand="1"/>
      </w:tblPr>
      <w:tblGrid>
        <w:gridCol w:w="3995"/>
        <w:gridCol w:w="2333"/>
        <w:gridCol w:w="2384"/>
      </w:tblGrid>
      <w:tr w:rsidR="00183CBB" w14:paraId="07C2E7BF" w14:textId="77777777" w:rsidTr="001356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01604CD" w14:textId="4BEA46D4" w:rsidR="00183CBB" w:rsidRDefault="00183CBB" w:rsidP="00183CBB">
            <w:pPr>
              <w:jc w:val="center"/>
            </w:pPr>
            <w:bookmarkStart w:id="140" w:name="_Ref438026383"/>
            <w:bookmarkStart w:id="141" w:name="_Toc494014263"/>
            <w:r>
              <w:lastRenderedPageBreak/>
              <w:t xml:space="preserve">Table </w:t>
            </w:r>
            <w:fldSimple w:instr=" STYLEREF 1 \s ">
              <w:r w:rsidR="0095624C">
                <w:rPr>
                  <w:noProof/>
                </w:rPr>
                <w:t>3</w:t>
              </w:r>
            </w:fldSimple>
            <w:r w:rsidR="00A67B82">
              <w:noBreakHyphen/>
            </w:r>
            <w:fldSimple w:instr=" SEQ Table \* ARABIC \s 1 ">
              <w:r w:rsidR="0095624C">
                <w:rPr>
                  <w:noProof/>
                </w:rPr>
                <w:t>3</w:t>
              </w:r>
            </w:fldSimple>
            <w:bookmarkEnd w:id="140"/>
            <w:r>
              <w:t>. Model Dimensions and Matrix Properties</w:t>
            </w:r>
            <w:bookmarkEnd w:id="141"/>
          </w:p>
        </w:tc>
      </w:tr>
      <w:tr w:rsidR="00183CBB" w14:paraId="4FBF6776" w14:textId="77777777" w:rsidTr="00135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3" w:type="pct"/>
            <w:tcBorders>
              <w:top w:val="single" w:sz="4" w:space="0" w:color="auto"/>
              <w:left w:val="single" w:sz="4" w:space="0" w:color="auto"/>
              <w:bottom w:val="single" w:sz="4" w:space="0" w:color="auto"/>
              <w:right w:val="none" w:sz="0" w:space="0" w:color="auto"/>
            </w:tcBorders>
            <w:shd w:val="clear" w:color="auto" w:fill="FFFFFF" w:themeFill="background1"/>
          </w:tcPr>
          <w:p w14:paraId="5B41317F" w14:textId="77777777" w:rsidR="00183CBB" w:rsidRPr="00183CBB" w:rsidRDefault="00183CBB" w:rsidP="00183CBB">
            <w:pPr>
              <w:pStyle w:val="TableNormal1"/>
            </w:pPr>
            <w:r w:rsidRPr="00183CBB">
              <w:t>Parameter</w:t>
            </w:r>
          </w:p>
        </w:tc>
        <w:tc>
          <w:tcPr>
            <w:tcW w:w="1339" w:type="pct"/>
            <w:tcBorders>
              <w:top w:val="single" w:sz="4" w:space="0" w:color="auto"/>
              <w:left w:val="none" w:sz="0" w:space="0" w:color="auto"/>
              <w:bottom w:val="single" w:sz="4" w:space="0" w:color="auto"/>
              <w:right w:val="none" w:sz="0" w:space="0" w:color="auto"/>
            </w:tcBorders>
            <w:shd w:val="clear" w:color="auto" w:fill="FFFFFF" w:themeFill="background1"/>
          </w:tcPr>
          <w:p w14:paraId="6F14CE4B" w14:textId="77777777" w:rsidR="00183CBB" w:rsidRPr="006E2F7E" w:rsidRDefault="00183CBB" w:rsidP="00183CBB">
            <w:pPr>
              <w:pStyle w:val="TableNormal1"/>
              <w:cnfStyle w:val="000000100000" w:firstRow="0" w:lastRow="0" w:firstColumn="0" w:lastColumn="0" w:oddVBand="0" w:evenVBand="0" w:oddHBand="1" w:evenHBand="0" w:firstRowFirstColumn="0" w:firstRowLastColumn="0" w:lastRowFirstColumn="0" w:lastRowLastColumn="0"/>
              <w:rPr>
                <w:b/>
              </w:rPr>
            </w:pPr>
            <w:r w:rsidRPr="006E2F7E">
              <w:rPr>
                <w:b/>
              </w:rPr>
              <w:t>Value</w:t>
            </w:r>
          </w:p>
        </w:tc>
        <w:tc>
          <w:tcPr>
            <w:tcW w:w="1368" w:type="pct"/>
            <w:tcBorders>
              <w:top w:val="single" w:sz="4" w:space="0" w:color="auto"/>
              <w:left w:val="none" w:sz="0" w:space="0" w:color="auto"/>
              <w:bottom w:val="single" w:sz="4" w:space="0" w:color="auto"/>
              <w:right w:val="single" w:sz="4" w:space="0" w:color="auto"/>
            </w:tcBorders>
            <w:shd w:val="clear" w:color="auto" w:fill="FFFFFF" w:themeFill="background1"/>
          </w:tcPr>
          <w:p w14:paraId="0C3B0870" w14:textId="77777777" w:rsidR="00183CBB" w:rsidRPr="006E2F7E" w:rsidRDefault="00183CBB" w:rsidP="00183CBB">
            <w:pPr>
              <w:pStyle w:val="TableNormal1"/>
              <w:cnfStyle w:val="000000100000" w:firstRow="0" w:lastRow="0" w:firstColumn="0" w:lastColumn="0" w:oddVBand="0" w:evenVBand="0" w:oddHBand="1" w:evenHBand="0" w:firstRowFirstColumn="0" w:firstRowLastColumn="0" w:lastRowFirstColumn="0" w:lastRowLastColumn="0"/>
              <w:rPr>
                <w:b/>
              </w:rPr>
            </w:pPr>
            <w:r w:rsidRPr="006E2F7E">
              <w:rPr>
                <w:b/>
              </w:rPr>
              <w:t>Unit</w:t>
            </w:r>
          </w:p>
        </w:tc>
      </w:tr>
      <w:tr w:rsidR="00183CBB" w14:paraId="6AC9DF17" w14:textId="77777777" w:rsidTr="006E2F7E">
        <w:tc>
          <w:tcPr>
            <w:cnfStyle w:val="001000000000" w:firstRow="0" w:lastRow="0" w:firstColumn="1" w:lastColumn="0" w:oddVBand="0" w:evenVBand="0" w:oddHBand="0" w:evenHBand="0" w:firstRowFirstColumn="0" w:firstRowLastColumn="0" w:lastRowFirstColumn="0" w:lastRowLastColumn="0"/>
            <w:tcW w:w="2293" w:type="pct"/>
            <w:tcBorders>
              <w:top w:val="single" w:sz="4" w:space="0" w:color="auto"/>
              <w:left w:val="single" w:sz="4" w:space="0" w:color="auto"/>
            </w:tcBorders>
            <w:shd w:val="clear" w:color="auto" w:fill="FFFFFF"/>
          </w:tcPr>
          <w:p w14:paraId="7CF0EB3C" w14:textId="77777777" w:rsidR="00183CBB" w:rsidRPr="00183CBB" w:rsidRDefault="00183CBB" w:rsidP="00183CBB">
            <w:pPr>
              <w:pStyle w:val="TableNormal1"/>
            </w:pPr>
            <w:r w:rsidRPr="00183CBB">
              <w:t xml:space="preserve">Number of Reservoir Girds </w:t>
            </w:r>
          </w:p>
        </w:tc>
        <w:tc>
          <w:tcPr>
            <w:tcW w:w="1339" w:type="pct"/>
            <w:tcBorders>
              <w:top w:val="single" w:sz="4" w:space="0" w:color="auto"/>
            </w:tcBorders>
            <w:shd w:val="clear" w:color="auto" w:fill="FFFFFF"/>
          </w:tcPr>
          <w:p w14:paraId="417D670A" w14:textId="77777777" w:rsidR="00183CBB" w:rsidRPr="00183CBB" w:rsidRDefault="00183CBB" w:rsidP="00183CBB">
            <w:pPr>
              <w:pStyle w:val="TableNormal1"/>
              <w:cnfStyle w:val="000000000000" w:firstRow="0" w:lastRow="0" w:firstColumn="0" w:lastColumn="0" w:oddVBand="0" w:evenVBand="0" w:oddHBand="0" w:evenHBand="0" w:firstRowFirstColumn="0" w:firstRowLastColumn="0" w:lastRowFirstColumn="0" w:lastRowLastColumn="0"/>
            </w:pPr>
            <w:r w:rsidRPr="00183CBB">
              <w:t xml:space="preserve"> </w:t>
            </w:r>
            <m:oMath>
              <m:r>
                <m:rPr>
                  <m:sty m:val="p"/>
                </m:rPr>
                <w:rPr>
                  <w:rFonts w:ascii="Cambria Math" w:hAnsi="Cambria Math"/>
                </w:rPr>
                <m:t>(18,50,1)</m:t>
              </m:r>
            </m:oMath>
          </w:p>
        </w:tc>
        <w:tc>
          <w:tcPr>
            <w:tcW w:w="1368" w:type="pct"/>
            <w:tcBorders>
              <w:top w:val="single" w:sz="4" w:space="0" w:color="auto"/>
              <w:right w:val="single" w:sz="4" w:space="0" w:color="auto"/>
            </w:tcBorders>
            <w:shd w:val="clear" w:color="auto" w:fill="FFFFFF"/>
          </w:tcPr>
          <w:p w14:paraId="02E6C96C" w14:textId="77777777" w:rsidR="00183CBB" w:rsidRPr="00183CBB" w:rsidRDefault="00183CBB" w:rsidP="00183CBB">
            <w:pPr>
              <w:pStyle w:val="TableNormal1"/>
              <w:cnfStyle w:val="000000000000" w:firstRow="0" w:lastRow="0" w:firstColumn="0" w:lastColumn="0" w:oddVBand="0" w:evenVBand="0" w:oddHBand="0" w:evenHBand="0" w:firstRowFirstColumn="0" w:firstRowLastColumn="0" w:lastRowFirstColumn="0" w:lastRowLastColumn="0"/>
            </w:pPr>
            <m:oMathPara>
              <m:oMath>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z</m:t>
                </m:r>
                <m:r>
                  <m:rPr>
                    <m:sty m:val="p"/>
                  </m:rPr>
                  <w:rPr>
                    <w:rFonts w:ascii="Cambria Math" w:hAnsi="Cambria Math"/>
                  </w:rPr>
                  <m:t>)</m:t>
                </m:r>
              </m:oMath>
            </m:oMathPara>
          </w:p>
        </w:tc>
      </w:tr>
      <w:tr w:rsidR="00183CBB" w14:paraId="3154F149" w14:textId="77777777" w:rsidTr="006E2F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3" w:type="pct"/>
            <w:tcBorders>
              <w:left w:val="single" w:sz="4" w:space="0" w:color="auto"/>
              <w:right w:val="none" w:sz="0" w:space="0" w:color="auto"/>
            </w:tcBorders>
            <w:shd w:val="clear" w:color="auto" w:fill="FFFFFF"/>
          </w:tcPr>
          <w:p w14:paraId="5D8071AA" w14:textId="77777777" w:rsidR="00183CBB" w:rsidRPr="00183CBB" w:rsidRDefault="00183CBB" w:rsidP="00183CBB">
            <w:pPr>
              <w:pStyle w:val="TableNormal1"/>
            </w:pPr>
            <w:r w:rsidRPr="00183CBB">
              <w:t>Formation Length, y direction</w:t>
            </w:r>
          </w:p>
        </w:tc>
        <w:tc>
          <w:tcPr>
            <w:tcW w:w="1339" w:type="pct"/>
            <w:tcBorders>
              <w:left w:val="none" w:sz="0" w:space="0" w:color="auto"/>
              <w:right w:val="none" w:sz="0" w:space="0" w:color="auto"/>
            </w:tcBorders>
            <w:shd w:val="clear" w:color="auto" w:fill="FFFFFF"/>
          </w:tcPr>
          <w:p w14:paraId="23955E5A" w14:textId="77777777" w:rsidR="00183CBB" w:rsidRPr="00183CBB" w:rsidRDefault="00183CBB" w:rsidP="00183CBB">
            <w:pPr>
              <w:pStyle w:val="TableNormal1"/>
              <w:cnfStyle w:val="000000100000" w:firstRow="0" w:lastRow="0" w:firstColumn="0" w:lastColumn="0" w:oddVBand="0" w:evenVBand="0" w:oddHBand="1" w:evenHBand="0" w:firstRowFirstColumn="0" w:firstRowLastColumn="0" w:lastRowFirstColumn="0" w:lastRowLastColumn="0"/>
            </w:pPr>
            <w:r w:rsidRPr="00183CBB">
              <w:t>300</w:t>
            </w:r>
          </w:p>
        </w:tc>
        <w:tc>
          <w:tcPr>
            <w:tcW w:w="1368" w:type="pct"/>
            <w:tcBorders>
              <w:left w:val="none" w:sz="0" w:space="0" w:color="auto"/>
              <w:right w:val="single" w:sz="4" w:space="0" w:color="auto"/>
            </w:tcBorders>
            <w:shd w:val="clear" w:color="auto" w:fill="FFFFFF"/>
          </w:tcPr>
          <w:p w14:paraId="34516322" w14:textId="77777777" w:rsidR="00183CBB" w:rsidRPr="00183CBB" w:rsidRDefault="00183CBB" w:rsidP="00183CBB">
            <w:pPr>
              <w:pStyle w:val="TableNormal1"/>
              <w:cnfStyle w:val="000000100000" w:firstRow="0" w:lastRow="0" w:firstColumn="0" w:lastColumn="0" w:oddVBand="0" w:evenVBand="0" w:oddHBand="1" w:evenHBand="0" w:firstRowFirstColumn="0" w:firstRowLastColumn="0" w:lastRowFirstColumn="0" w:lastRowLastColumn="0"/>
            </w:pPr>
            <w:r w:rsidRPr="00183CBB">
              <w:t>ft</w:t>
            </w:r>
          </w:p>
        </w:tc>
      </w:tr>
      <w:tr w:rsidR="00183CBB" w14:paraId="32F4428E" w14:textId="77777777" w:rsidTr="006E2F7E">
        <w:tc>
          <w:tcPr>
            <w:cnfStyle w:val="001000000000" w:firstRow="0" w:lastRow="0" w:firstColumn="1" w:lastColumn="0" w:oddVBand="0" w:evenVBand="0" w:oddHBand="0" w:evenHBand="0" w:firstRowFirstColumn="0" w:firstRowLastColumn="0" w:lastRowFirstColumn="0" w:lastRowLastColumn="0"/>
            <w:tcW w:w="2293" w:type="pct"/>
            <w:tcBorders>
              <w:left w:val="single" w:sz="4" w:space="0" w:color="auto"/>
            </w:tcBorders>
            <w:shd w:val="clear" w:color="auto" w:fill="FFFFFF"/>
          </w:tcPr>
          <w:p w14:paraId="22B94082" w14:textId="77777777" w:rsidR="00183CBB" w:rsidRPr="00183CBB" w:rsidRDefault="00183CBB" w:rsidP="00183CBB">
            <w:pPr>
              <w:pStyle w:val="TableNormal1"/>
            </w:pPr>
            <w:r w:rsidRPr="00183CBB">
              <w:t>Formation Height, z direction</w:t>
            </w:r>
          </w:p>
        </w:tc>
        <w:tc>
          <w:tcPr>
            <w:tcW w:w="1339" w:type="pct"/>
            <w:shd w:val="clear" w:color="auto" w:fill="FFFFFF"/>
          </w:tcPr>
          <w:p w14:paraId="37EC7D8A" w14:textId="77777777" w:rsidR="00183CBB" w:rsidRPr="00183CBB" w:rsidRDefault="00183CBB" w:rsidP="00183CBB">
            <w:pPr>
              <w:pStyle w:val="TableNormal1"/>
              <w:cnfStyle w:val="000000000000" w:firstRow="0" w:lastRow="0" w:firstColumn="0" w:lastColumn="0" w:oddVBand="0" w:evenVBand="0" w:oddHBand="0" w:evenHBand="0" w:firstRowFirstColumn="0" w:firstRowLastColumn="0" w:lastRowFirstColumn="0" w:lastRowLastColumn="0"/>
            </w:pPr>
            <w:r w:rsidRPr="00183CBB">
              <w:t>30</w:t>
            </w:r>
          </w:p>
        </w:tc>
        <w:tc>
          <w:tcPr>
            <w:tcW w:w="1368" w:type="pct"/>
            <w:tcBorders>
              <w:right w:val="single" w:sz="4" w:space="0" w:color="auto"/>
            </w:tcBorders>
            <w:shd w:val="clear" w:color="auto" w:fill="FFFFFF"/>
          </w:tcPr>
          <w:p w14:paraId="0698E776" w14:textId="77777777" w:rsidR="00183CBB" w:rsidRPr="00183CBB" w:rsidRDefault="00183CBB" w:rsidP="00183CBB">
            <w:pPr>
              <w:pStyle w:val="TableNormal1"/>
              <w:cnfStyle w:val="000000000000" w:firstRow="0" w:lastRow="0" w:firstColumn="0" w:lastColumn="0" w:oddVBand="0" w:evenVBand="0" w:oddHBand="0" w:evenHBand="0" w:firstRowFirstColumn="0" w:firstRowLastColumn="0" w:lastRowFirstColumn="0" w:lastRowLastColumn="0"/>
            </w:pPr>
            <w:r w:rsidRPr="00183CBB">
              <w:t>ft</w:t>
            </w:r>
          </w:p>
        </w:tc>
      </w:tr>
      <w:tr w:rsidR="00183CBB" w14:paraId="616CB668" w14:textId="77777777" w:rsidTr="006E2F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3" w:type="pct"/>
            <w:tcBorders>
              <w:left w:val="single" w:sz="4" w:space="0" w:color="auto"/>
            </w:tcBorders>
            <w:shd w:val="clear" w:color="auto" w:fill="FFFFFF"/>
          </w:tcPr>
          <w:p w14:paraId="5FAA0D43" w14:textId="77777777" w:rsidR="00183CBB" w:rsidRPr="00183CBB" w:rsidRDefault="00183CBB" w:rsidP="00183CBB">
            <w:pPr>
              <w:pStyle w:val="TableNormal1"/>
            </w:pPr>
            <w:r w:rsidRPr="00183CBB">
              <w:t>Formation Width, x direction</w:t>
            </w:r>
          </w:p>
        </w:tc>
        <w:tc>
          <w:tcPr>
            <w:tcW w:w="1339" w:type="pct"/>
            <w:shd w:val="clear" w:color="auto" w:fill="FFFFFF"/>
          </w:tcPr>
          <w:p w14:paraId="19CBAEB7" w14:textId="77777777" w:rsidR="00183CBB" w:rsidRPr="00183CBB" w:rsidRDefault="00183CBB" w:rsidP="00183CBB">
            <w:pPr>
              <w:pStyle w:val="TableNormal1"/>
              <w:cnfStyle w:val="000000100000" w:firstRow="0" w:lastRow="0" w:firstColumn="0" w:lastColumn="0" w:oddVBand="0" w:evenVBand="0" w:oddHBand="1" w:evenHBand="0" w:firstRowFirstColumn="0" w:firstRowLastColumn="0" w:lastRowFirstColumn="0" w:lastRowLastColumn="0"/>
            </w:pPr>
            <w:r w:rsidRPr="00183CBB">
              <w:t>414</w:t>
            </w:r>
          </w:p>
        </w:tc>
        <w:tc>
          <w:tcPr>
            <w:tcW w:w="1368" w:type="pct"/>
            <w:tcBorders>
              <w:right w:val="single" w:sz="4" w:space="0" w:color="auto"/>
            </w:tcBorders>
            <w:shd w:val="clear" w:color="auto" w:fill="FFFFFF"/>
          </w:tcPr>
          <w:p w14:paraId="35FA611F" w14:textId="77777777" w:rsidR="00183CBB" w:rsidRPr="00183CBB" w:rsidRDefault="00183CBB" w:rsidP="00183CBB">
            <w:pPr>
              <w:pStyle w:val="TableNormal1"/>
              <w:cnfStyle w:val="000000100000" w:firstRow="0" w:lastRow="0" w:firstColumn="0" w:lastColumn="0" w:oddVBand="0" w:evenVBand="0" w:oddHBand="1" w:evenHBand="0" w:firstRowFirstColumn="0" w:firstRowLastColumn="0" w:lastRowFirstColumn="0" w:lastRowLastColumn="0"/>
            </w:pPr>
            <w:r w:rsidRPr="00183CBB">
              <w:t>ft</w:t>
            </w:r>
          </w:p>
        </w:tc>
      </w:tr>
      <w:tr w:rsidR="00183CBB" w14:paraId="724865E1" w14:textId="77777777" w:rsidTr="006E2F7E">
        <w:tc>
          <w:tcPr>
            <w:cnfStyle w:val="001000000000" w:firstRow="0" w:lastRow="0" w:firstColumn="1" w:lastColumn="0" w:oddVBand="0" w:evenVBand="0" w:oddHBand="0" w:evenHBand="0" w:firstRowFirstColumn="0" w:firstRowLastColumn="0" w:lastRowFirstColumn="0" w:lastRowLastColumn="0"/>
            <w:tcW w:w="2293" w:type="pct"/>
            <w:tcBorders>
              <w:left w:val="single" w:sz="4" w:space="0" w:color="auto"/>
            </w:tcBorders>
            <w:shd w:val="clear" w:color="auto" w:fill="FFFFFF"/>
          </w:tcPr>
          <w:p w14:paraId="229E8CF3" w14:textId="77777777" w:rsidR="00183CBB" w:rsidRPr="00183CBB" w:rsidRDefault="00183CBB" w:rsidP="00183CBB">
            <w:pPr>
              <w:pStyle w:val="TableNormal1"/>
            </w:pPr>
            <w:r w:rsidRPr="00183CBB">
              <w:t>Initial Water Saturation in Matrix</w:t>
            </w:r>
          </w:p>
        </w:tc>
        <w:tc>
          <w:tcPr>
            <w:tcW w:w="1339" w:type="pct"/>
            <w:shd w:val="clear" w:color="auto" w:fill="FFFFFF"/>
          </w:tcPr>
          <w:p w14:paraId="3791FF99" w14:textId="77777777" w:rsidR="00183CBB" w:rsidRPr="00183CBB" w:rsidRDefault="00183CBB" w:rsidP="00183CBB">
            <w:pPr>
              <w:pStyle w:val="TableNormal1"/>
              <w:cnfStyle w:val="000000000000" w:firstRow="0" w:lastRow="0" w:firstColumn="0" w:lastColumn="0" w:oddVBand="0" w:evenVBand="0" w:oddHBand="0" w:evenHBand="0" w:firstRowFirstColumn="0" w:firstRowLastColumn="0" w:lastRowFirstColumn="0" w:lastRowLastColumn="0"/>
            </w:pPr>
            <w:r w:rsidRPr="00183CBB">
              <w:t>0.3</w:t>
            </w:r>
          </w:p>
        </w:tc>
        <w:tc>
          <w:tcPr>
            <w:tcW w:w="1368" w:type="pct"/>
            <w:tcBorders>
              <w:right w:val="single" w:sz="4" w:space="0" w:color="auto"/>
            </w:tcBorders>
            <w:shd w:val="clear" w:color="auto" w:fill="FFFFFF"/>
          </w:tcPr>
          <w:p w14:paraId="770768B2" w14:textId="77777777" w:rsidR="00183CBB" w:rsidRPr="00183CBB" w:rsidRDefault="00183CBB" w:rsidP="00183CBB">
            <w:pPr>
              <w:pStyle w:val="TableNormal1"/>
              <w:cnfStyle w:val="000000000000" w:firstRow="0" w:lastRow="0" w:firstColumn="0" w:lastColumn="0" w:oddVBand="0" w:evenVBand="0" w:oddHBand="0" w:evenHBand="0" w:firstRowFirstColumn="0" w:firstRowLastColumn="0" w:lastRowFirstColumn="0" w:lastRowLastColumn="0"/>
            </w:pPr>
            <w:r w:rsidRPr="00183CBB">
              <w:t>fraction</w:t>
            </w:r>
          </w:p>
        </w:tc>
      </w:tr>
      <w:tr w:rsidR="00183CBB" w14:paraId="332B8263" w14:textId="77777777" w:rsidTr="006E2F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3" w:type="pct"/>
            <w:tcBorders>
              <w:left w:val="single" w:sz="4" w:space="0" w:color="auto"/>
              <w:bottom w:val="single" w:sz="4" w:space="0" w:color="auto"/>
            </w:tcBorders>
            <w:shd w:val="clear" w:color="auto" w:fill="FFFFFF"/>
          </w:tcPr>
          <w:p w14:paraId="5E795442" w14:textId="77777777" w:rsidR="00183CBB" w:rsidRPr="00183CBB" w:rsidRDefault="00183CBB" w:rsidP="00183CBB">
            <w:pPr>
              <w:pStyle w:val="TableNormal1"/>
            </w:pPr>
            <w:r w:rsidRPr="00183CBB">
              <w:t>Matrix Porosity</w:t>
            </w:r>
          </w:p>
        </w:tc>
        <w:tc>
          <w:tcPr>
            <w:tcW w:w="1339" w:type="pct"/>
            <w:tcBorders>
              <w:bottom w:val="single" w:sz="4" w:space="0" w:color="auto"/>
            </w:tcBorders>
            <w:shd w:val="clear" w:color="auto" w:fill="FFFFFF"/>
          </w:tcPr>
          <w:p w14:paraId="6FA25AFD" w14:textId="77777777" w:rsidR="00183CBB" w:rsidRPr="00183CBB" w:rsidRDefault="00183CBB" w:rsidP="00183CBB">
            <w:pPr>
              <w:pStyle w:val="TableNormal1"/>
              <w:cnfStyle w:val="000000100000" w:firstRow="0" w:lastRow="0" w:firstColumn="0" w:lastColumn="0" w:oddVBand="0" w:evenVBand="0" w:oddHBand="1" w:evenHBand="0" w:firstRowFirstColumn="0" w:firstRowLastColumn="0" w:lastRowFirstColumn="0" w:lastRowLastColumn="0"/>
            </w:pPr>
            <w:r w:rsidRPr="00183CBB">
              <w:t>0.05</w:t>
            </w:r>
          </w:p>
        </w:tc>
        <w:tc>
          <w:tcPr>
            <w:tcW w:w="1368" w:type="pct"/>
            <w:tcBorders>
              <w:bottom w:val="single" w:sz="4" w:space="0" w:color="auto"/>
              <w:right w:val="single" w:sz="4" w:space="0" w:color="auto"/>
            </w:tcBorders>
            <w:shd w:val="clear" w:color="auto" w:fill="FFFFFF"/>
          </w:tcPr>
          <w:p w14:paraId="42899525" w14:textId="77777777" w:rsidR="00183CBB" w:rsidRPr="00183CBB" w:rsidRDefault="00183CBB" w:rsidP="00183CBB">
            <w:pPr>
              <w:pStyle w:val="TableNormal1"/>
              <w:cnfStyle w:val="000000100000" w:firstRow="0" w:lastRow="0" w:firstColumn="0" w:lastColumn="0" w:oddVBand="0" w:evenVBand="0" w:oddHBand="1" w:evenHBand="0" w:firstRowFirstColumn="0" w:firstRowLastColumn="0" w:lastRowFirstColumn="0" w:lastRowLastColumn="0"/>
            </w:pPr>
            <w:r w:rsidRPr="00183CBB">
              <w:t>fraction</w:t>
            </w:r>
          </w:p>
        </w:tc>
      </w:tr>
    </w:tbl>
    <w:p w14:paraId="2735D08E" w14:textId="77777777" w:rsidR="00183CBB" w:rsidRDefault="00183CBB" w:rsidP="00183CBB">
      <w:pPr>
        <w:pStyle w:val="para1"/>
      </w:pPr>
    </w:p>
    <w:p w14:paraId="568EA117" w14:textId="77777777" w:rsidR="00183CBB" w:rsidRDefault="005F514D" w:rsidP="006E2F7E">
      <w:pPr>
        <w:pStyle w:val="TableNormal1"/>
      </w:pPr>
      <w:r>
        <w:drawing>
          <wp:inline distT="0" distB="0" distL="0" distR="0" wp14:anchorId="05A74DAF" wp14:editId="7E5BDA6F">
            <wp:extent cx="5394960" cy="337530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94960" cy="3375308"/>
                    </a:xfrm>
                    <a:prstGeom prst="rect">
                      <a:avLst/>
                    </a:prstGeom>
                  </pic:spPr>
                </pic:pic>
              </a:graphicData>
            </a:graphic>
          </wp:inline>
        </w:drawing>
      </w:r>
    </w:p>
    <w:p w14:paraId="38C6D077" w14:textId="471772DC" w:rsidR="00183CBB" w:rsidRPr="00541084" w:rsidRDefault="00183CBB" w:rsidP="00BF3F9B">
      <w:pPr>
        <w:pStyle w:val="Caption"/>
        <w:rPr>
          <w:szCs w:val="22"/>
        </w:rPr>
      </w:pPr>
      <w:bookmarkStart w:id="142" w:name="_Ref438023401"/>
      <w:bookmarkStart w:id="143" w:name="_Toc495144729"/>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6</w:t>
      </w:r>
      <w:r w:rsidR="00280FFF">
        <w:rPr>
          <w:szCs w:val="22"/>
        </w:rPr>
        <w:fldChar w:fldCharType="end"/>
      </w:r>
      <w:bookmarkEnd w:id="142"/>
      <w:r w:rsidRPr="00541084">
        <w:rPr>
          <w:szCs w:val="22"/>
        </w:rPr>
        <w:t xml:space="preserve">. </w:t>
      </w:r>
      <w:r w:rsidR="005F514D" w:rsidRPr="00541084">
        <w:rPr>
          <w:szCs w:val="22"/>
        </w:rPr>
        <w:t>Synthetic model configuration with hydraulic fracture and matrix. The hydraulic fraction is on the right side with red color. The horizontal well perforates in the upper right grid. The matrix is in the blue color.</w:t>
      </w:r>
      <w:bookmarkEnd w:id="143"/>
    </w:p>
    <w:p w14:paraId="3E38284B" w14:textId="77777777" w:rsidR="00183CBB" w:rsidRDefault="00183CBB" w:rsidP="00183CBB">
      <w:pPr>
        <w:pStyle w:val="para1"/>
      </w:pPr>
    </w:p>
    <w:p w14:paraId="0B6E8E88" w14:textId="77777777" w:rsidR="006E2F7E" w:rsidRDefault="006E2F7E" w:rsidP="006E2F7E"/>
    <w:p w14:paraId="69E740B0" w14:textId="264729BF" w:rsidR="00165CF5" w:rsidRPr="00024183" w:rsidRDefault="00165CF5" w:rsidP="006E2F7E">
      <w:pPr>
        <w:rPr>
          <w:color w:val="0D0D0D" w:themeColor="text1" w:themeTint="F2"/>
        </w:rPr>
      </w:pPr>
      <w:r w:rsidRPr="00024183">
        <w:rPr>
          <w:color w:val="0D0D0D" w:themeColor="text1" w:themeTint="F2"/>
        </w:rPr>
        <w:t xml:space="preserve">We first validated the grid size selection. </w:t>
      </w:r>
      <w:r w:rsidR="00541722" w:rsidRPr="00024183">
        <w:rPr>
          <w:color w:val="0D0D0D" w:themeColor="text1" w:themeTint="F2"/>
        </w:rPr>
        <w:t xml:space="preserve">The base case had identical grid size of 6 ft in y direction. Its matrix grid size started from 0.45 ft and increased by a factor of </w:t>
      </w:r>
      <w:r w:rsidR="00541722" w:rsidRPr="00024183">
        <w:rPr>
          <w:color w:val="0D0D0D" w:themeColor="text1" w:themeTint="F2"/>
        </w:rPr>
        <w:lastRenderedPageBreak/>
        <w:t>1.45.</w:t>
      </w:r>
      <w:r w:rsidR="00D72600" w:rsidRPr="00024183">
        <w:rPr>
          <w:rFonts w:hint="eastAsia"/>
          <w:color w:val="0D0D0D" w:themeColor="text1" w:themeTint="F2"/>
          <w:lang w:eastAsia="zh-CN"/>
        </w:rPr>
        <w:t>The</w:t>
      </w:r>
      <w:r w:rsidR="00D72600" w:rsidRPr="00024183">
        <w:rPr>
          <w:color w:val="0D0D0D" w:themeColor="text1" w:themeTint="F2"/>
        </w:rPr>
        <w:t xml:space="preserve"> grid size </w:t>
      </w:r>
      <w:r w:rsidR="002E668B" w:rsidRPr="00024183">
        <w:rPr>
          <w:color w:val="0D0D0D" w:themeColor="text1" w:themeTint="F2"/>
        </w:rPr>
        <w:t>standing for</w:t>
      </w:r>
      <w:r w:rsidR="00D72600" w:rsidRPr="00024183">
        <w:rPr>
          <w:color w:val="0D0D0D" w:themeColor="text1" w:themeTint="F2"/>
        </w:rPr>
        <w:t xml:space="preserve"> hydraulic fracture </w:t>
      </w:r>
      <w:r w:rsidR="002E668B" w:rsidRPr="00024183">
        <w:rPr>
          <w:color w:val="0D0D0D" w:themeColor="text1" w:themeTint="F2"/>
        </w:rPr>
        <w:t xml:space="preserve">width </w:t>
      </w:r>
      <w:r w:rsidR="00507D04" w:rsidRPr="00024183">
        <w:rPr>
          <w:color w:val="0D0D0D" w:themeColor="text1" w:themeTint="F2"/>
        </w:rPr>
        <w:t>wa</w:t>
      </w:r>
      <w:r w:rsidR="00D72600" w:rsidRPr="00024183">
        <w:rPr>
          <w:color w:val="0D0D0D" w:themeColor="text1" w:themeTint="F2"/>
        </w:rPr>
        <w:t>s 2 ft as suggested in literatures (</w:t>
      </w:r>
      <w:r w:rsidR="002E668B" w:rsidRPr="00024183">
        <w:rPr>
          <w:color w:val="0D0D0D" w:themeColor="text1" w:themeTint="F2"/>
        </w:rPr>
        <w:t>Cipolla et al. 2010</w:t>
      </w:r>
      <w:r w:rsidR="00D72600" w:rsidRPr="00024183">
        <w:rPr>
          <w:color w:val="0D0D0D" w:themeColor="text1" w:themeTint="F2"/>
        </w:rPr>
        <w:t>).</w:t>
      </w:r>
      <w:r w:rsidR="002E668B" w:rsidRPr="00024183">
        <w:rPr>
          <w:color w:val="0D0D0D" w:themeColor="text1" w:themeTint="F2"/>
        </w:rPr>
        <w:t xml:space="preserve"> </w:t>
      </w:r>
      <w:r w:rsidR="007D1766" w:rsidRPr="00024183">
        <w:rPr>
          <w:color w:val="0D0D0D" w:themeColor="text1" w:themeTint="F2"/>
        </w:rPr>
        <w:t xml:space="preserve">There were two cases </w:t>
      </w:r>
      <w:r w:rsidR="00AD3F0B" w:rsidRPr="00024183">
        <w:rPr>
          <w:color w:val="0D0D0D" w:themeColor="text1" w:themeTint="F2"/>
        </w:rPr>
        <w:t>being created to study</w:t>
      </w:r>
      <w:r w:rsidR="007D1766" w:rsidRPr="00024183">
        <w:rPr>
          <w:color w:val="0D0D0D" w:themeColor="text1" w:themeTint="F2"/>
        </w:rPr>
        <w:t xml:space="preserve"> the grid size impact. </w:t>
      </w:r>
      <w:r w:rsidRPr="00024183">
        <w:rPr>
          <w:color w:val="0D0D0D" w:themeColor="text1" w:themeTint="F2"/>
        </w:rPr>
        <w:t>One case</w:t>
      </w:r>
      <w:r w:rsidR="007D1766" w:rsidRPr="00024183">
        <w:rPr>
          <w:color w:val="0D0D0D" w:themeColor="text1" w:themeTint="F2"/>
        </w:rPr>
        <w:t xml:space="preserve"> </w:t>
      </w:r>
      <w:r w:rsidR="00AD3F0B" w:rsidRPr="00024183">
        <w:rPr>
          <w:color w:val="0D0D0D" w:themeColor="text1" w:themeTint="F2"/>
        </w:rPr>
        <w:t xml:space="preserve">had </w:t>
      </w:r>
      <w:r w:rsidRPr="00024183">
        <w:rPr>
          <w:color w:val="0D0D0D" w:themeColor="text1" w:themeTint="F2"/>
        </w:rPr>
        <w:t xml:space="preserve">smaller grid </w:t>
      </w:r>
      <w:r w:rsidR="00E40BCA" w:rsidRPr="00024183">
        <w:rPr>
          <w:color w:val="0D0D0D" w:themeColor="text1" w:themeTint="F2"/>
        </w:rPr>
        <w:t xml:space="preserve">size of 3 ft </w:t>
      </w:r>
      <w:r w:rsidRPr="00024183">
        <w:rPr>
          <w:color w:val="0D0D0D" w:themeColor="text1" w:themeTint="F2"/>
        </w:rPr>
        <w:t>in y direction</w:t>
      </w:r>
      <w:r w:rsidR="00983B02" w:rsidRPr="00024183">
        <w:rPr>
          <w:color w:val="0D0D0D" w:themeColor="text1" w:themeTint="F2"/>
        </w:rPr>
        <w:t xml:space="preserve">. </w:t>
      </w:r>
      <w:r w:rsidR="00087936" w:rsidRPr="00024183">
        <w:rPr>
          <w:color w:val="0D0D0D" w:themeColor="text1" w:themeTint="F2"/>
        </w:rPr>
        <w:t>T</w:t>
      </w:r>
      <w:r w:rsidRPr="00024183">
        <w:rPr>
          <w:color w:val="0D0D0D" w:themeColor="text1" w:themeTint="F2"/>
        </w:rPr>
        <w:t>he other case had smaller grids</w:t>
      </w:r>
      <w:r w:rsidR="00DE3A42" w:rsidRPr="00024183">
        <w:rPr>
          <w:color w:val="0D0D0D" w:themeColor="text1" w:themeTint="F2"/>
        </w:rPr>
        <w:t xml:space="preserve"> </w:t>
      </w:r>
      <w:r w:rsidR="008B538B" w:rsidRPr="00024183">
        <w:rPr>
          <w:color w:val="0D0D0D" w:themeColor="text1" w:themeTint="F2"/>
        </w:rPr>
        <w:t xml:space="preserve">size in x direction, starting from 0.2 ft and increased by a factor of 1.2. </w:t>
      </w:r>
      <w:r w:rsidR="00B44EE8" w:rsidRPr="00024183">
        <w:rPr>
          <w:color w:val="0D0D0D" w:themeColor="text1" w:themeTint="F2"/>
        </w:rPr>
        <w:t xml:space="preserve">The grid number was adjusted </w:t>
      </w:r>
      <w:r w:rsidR="001133B5" w:rsidRPr="00024183">
        <w:rPr>
          <w:color w:val="0D0D0D" w:themeColor="text1" w:themeTint="F2"/>
        </w:rPr>
        <w:t xml:space="preserve">accordingly </w:t>
      </w:r>
      <w:r w:rsidR="00B44EE8" w:rsidRPr="00024183">
        <w:rPr>
          <w:color w:val="0D0D0D" w:themeColor="text1" w:themeTint="F2"/>
        </w:rPr>
        <w:t xml:space="preserve">to maintain the same pore volume in the model. </w:t>
      </w:r>
      <w:r w:rsidRPr="00024183">
        <w:rPr>
          <w:color w:val="0D0D0D" w:themeColor="text1" w:themeTint="F2"/>
        </w:rPr>
        <w:t>They we</w:t>
      </w:r>
      <w:r w:rsidR="00DE46FD" w:rsidRPr="00024183">
        <w:rPr>
          <w:color w:val="0D0D0D" w:themeColor="text1" w:themeTint="F2"/>
        </w:rPr>
        <w:t xml:space="preserve">re compared with the base case (R=200,000). </w:t>
      </w:r>
      <w:r w:rsidR="00B44EE8" w:rsidRPr="00024183">
        <w:rPr>
          <w:color w:val="0D0D0D" w:themeColor="text1" w:themeTint="F2"/>
        </w:rPr>
        <w:t>All the three cases</w:t>
      </w:r>
      <w:r w:rsidR="0015342A" w:rsidRPr="00024183">
        <w:rPr>
          <w:color w:val="0D0D0D" w:themeColor="text1" w:themeTint="F2"/>
        </w:rPr>
        <w:t xml:space="preserve"> had similar gas and water production. </w:t>
      </w:r>
      <w:r w:rsidR="00280FFF" w:rsidRPr="00024183">
        <w:rPr>
          <w:color w:val="0D0D0D" w:themeColor="text1" w:themeTint="F2"/>
        </w:rPr>
        <w:t>The partitioning tracer production in gas was plotted in</w:t>
      </w:r>
      <w:r w:rsidR="0060038A" w:rsidRPr="00024183">
        <w:rPr>
          <w:color w:val="0D0D0D" w:themeColor="text1" w:themeTint="F2"/>
        </w:rPr>
        <w:t xml:space="preserve"> </w:t>
      </w:r>
      <w:r w:rsidR="0060038A" w:rsidRPr="00024183">
        <w:rPr>
          <w:color w:val="0D0D0D" w:themeColor="text1" w:themeTint="F2"/>
        </w:rPr>
        <w:fldChar w:fldCharType="begin"/>
      </w:r>
      <w:r w:rsidR="0060038A" w:rsidRPr="00024183">
        <w:rPr>
          <w:color w:val="0D0D0D" w:themeColor="text1" w:themeTint="F2"/>
        </w:rPr>
        <w:instrText xml:space="preserve"> REF _Ref495148110 \h </w:instrText>
      </w:r>
      <w:r w:rsidR="0060038A" w:rsidRPr="00024183">
        <w:rPr>
          <w:color w:val="0D0D0D" w:themeColor="text1" w:themeTint="F2"/>
        </w:rPr>
      </w:r>
      <w:r w:rsidR="0060038A" w:rsidRPr="00024183">
        <w:rPr>
          <w:color w:val="0D0D0D" w:themeColor="text1" w:themeTint="F2"/>
        </w:rPr>
        <w:fldChar w:fldCharType="separate"/>
      </w:r>
      <w:r w:rsidR="0060038A" w:rsidRPr="00024183">
        <w:rPr>
          <w:color w:val="0D0D0D" w:themeColor="text1" w:themeTint="F2"/>
        </w:rPr>
        <w:t>Figure 3</w:t>
      </w:r>
      <w:r w:rsidR="0060038A" w:rsidRPr="00024183">
        <w:rPr>
          <w:color w:val="0D0D0D" w:themeColor="text1" w:themeTint="F2"/>
        </w:rPr>
        <w:noBreakHyphen/>
        <w:t>7</w:t>
      </w:r>
      <w:r w:rsidR="0060038A" w:rsidRPr="00024183">
        <w:rPr>
          <w:color w:val="0D0D0D" w:themeColor="text1" w:themeTint="F2"/>
        </w:rPr>
        <w:fldChar w:fldCharType="end"/>
      </w:r>
      <w:r w:rsidR="0060038A" w:rsidRPr="00024183">
        <w:rPr>
          <w:color w:val="0D0D0D" w:themeColor="text1" w:themeTint="F2"/>
        </w:rPr>
        <w:t>.</w:t>
      </w:r>
      <w:r w:rsidR="00280FFF" w:rsidRPr="00024183">
        <w:rPr>
          <w:color w:val="0D0D0D" w:themeColor="text1" w:themeTint="F2"/>
        </w:rPr>
        <w:t xml:space="preserve"> The tracer’s first peak in three c</w:t>
      </w:r>
      <w:r w:rsidR="00106F9B" w:rsidRPr="00024183">
        <w:rPr>
          <w:color w:val="0D0D0D" w:themeColor="text1" w:themeTint="F2"/>
        </w:rPr>
        <w:t>ases overlapped with each other, indicating that the grid size in the base case was acceptable even though</w:t>
      </w:r>
      <w:r w:rsidR="00280FFF" w:rsidRPr="00024183">
        <w:rPr>
          <w:color w:val="0D0D0D" w:themeColor="text1" w:themeTint="F2"/>
        </w:rPr>
        <w:t xml:space="preserve"> there was difference in the late tracer tail when gri</w:t>
      </w:r>
      <w:r w:rsidR="001274DC" w:rsidRPr="00024183">
        <w:rPr>
          <w:color w:val="0D0D0D" w:themeColor="text1" w:themeTint="F2"/>
        </w:rPr>
        <w:t>d</w:t>
      </w:r>
      <w:r w:rsidR="004F4880" w:rsidRPr="00024183">
        <w:rPr>
          <w:color w:val="0D0D0D" w:themeColor="text1" w:themeTint="F2"/>
        </w:rPr>
        <w:t xml:space="preserve"> size in </w:t>
      </w:r>
      <w:r w:rsidR="004F4880" w:rsidRPr="00024183">
        <w:rPr>
          <w:rFonts w:hint="eastAsia"/>
          <w:color w:val="0D0D0D" w:themeColor="text1" w:themeTint="F2"/>
          <w:lang w:eastAsia="zh-CN"/>
        </w:rPr>
        <w:t>X</w:t>
      </w:r>
      <w:r w:rsidR="001274DC" w:rsidRPr="00024183">
        <w:rPr>
          <w:color w:val="0D0D0D" w:themeColor="text1" w:themeTint="F2"/>
        </w:rPr>
        <w:t xml:space="preserve"> direction changes, </w:t>
      </w:r>
    </w:p>
    <w:p w14:paraId="1FFECA32" w14:textId="77777777" w:rsidR="00280FFF" w:rsidRPr="00024183" w:rsidRDefault="00280FFF" w:rsidP="00280FFF">
      <w:pPr>
        <w:keepNext/>
        <w:ind w:firstLine="0"/>
        <w:rPr>
          <w:color w:val="0D0D0D" w:themeColor="text1" w:themeTint="F2"/>
        </w:rPr>
      </w:pPr>
      <w:r w:rsidRPr="00024183">
        <w:rPr>
          <w:noProof/>
          <w:color w:val="0D0D0D" w:themeColor="text1" w:themeTint="F2"/>
          <w:lang w:eastAsia="zh-CN" w:bidi="ar-SA"/>
        </w:rPr>
        <w:drawing>
          <wp:inline distT="0" distB="0" distL="0" distR="0" wp14:anchorId="4B15B733" wp14:editId="29CC43CE">
            <wp:extent cx="5394960" cy="3243580"/>
            <wp:effectExtent l="0" t="0" r="0" b="0"/>
            <wp:docPr id="28" name="Chart 28">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B9E8DD8" w14:textId="22FAD4F3" w:rsidR="00280FFF" w:rsidRPr="00024183" w:rsidRDefault="00280FFF" w:rsidP="00280FFF">
      <w:pPr>
        <w:pStyle w:val="Caption"/>
        <w:rPr>
          <w:color w:val="0D0D0D" w:themeColor="text1" w:themeTint="F2"/>
        </w:rPr>
      </w:pPr>
      <w:bookmarkStart w:id="144" w:name="_Ref495148110"/>
      <w:bookmarkStart w:id="145" w:name="_Ref495140942"/>
      <w:bookmarkStart w:id="146" w:name="_Toc495144730"/>
      <w:r w:rsidRPr="00024183">
        <w:rPr>
          <w:color w:val="0D0D0D" w:themeColor="text1" w:themeTint="F2"/>
        </w:rPr>
        <w:t xml:space="preserve">Figure </w:t>
      </w:r>
      <w:r w:rsidRPr="00024183">
        <w:rPr>
          <w:color w:val="0D0D0D" w:themeColor="text1" w:themeTint="F2"/>
        </w:rPr>
        <w:fldChar w:fldCharType="begin"/>
      </w:r>
      <w:r w:rsidRPr="00024183">
        <w:rPr>
          <w:color w:val="0D0D0D" w:themeColor="text1" w:themeTint="F2"/>
        </w:rPr>
        <w:instrText xml:space="preserve"> STYLEREF 1 \s </w:instrText>
      </w:r>
      <w:r w:rsidRPr="00024183">
        <w:rPr>
          <w:color w:val="0D0D0D" w:themeColor="text1" w:themeTint="F2"/>
        </w:rPr>
        <w:fldChar w:fldCharType="separate"/>
      </w:r>
      <w:r w:rsidRPr="00024183">
        <w:rPr>
          <w:color w:val="0D0D0D" w:themeColor="text1" w:themeTint="F2"/>
        </w:rPr>
        <w:t>3</w:t>
      </w:r>
      <w:r w:rsidRPr="00024183">
        <w:rPr>
          <w:color w:val="0D0D0D" w:themeColor="text1" w:themeTint="F2"/>
        </w:rPr>
        <w:fldChar w:fldCharType="end"/>
      </w:r>
      <w:r w:rsidRPr="00024183">
        <w:rPr>
          <w:color w:val="0D0D0D" w:themeColor="text1" w:themeTint="F2"/>
        </w:rPr>
        <w:noBreakHyphen/>
      </w:r>
      <w:r w:rsidRPr="00024183">
        <w:rPr>
          <w:color w:val="0D0D0D" w:themeColor="text1" w:themeTint="F2"/>
        </w:rPr>
        <w:fldChar w:fldCharType="begin"/>
      </w:r>
      <w:r w:rsidRPr="00024183">
        <w:rPr>
          <w:color w:val="0D0D0D" w:themeColor="text1" w:themeTint="F2"/>
        </w:rPr>
        <w:instrText xml:space="preserve"> SEQ Figure \* ARABIC \s 1 </w:instrText>
      </w:r>
      <w:r w:rsidRPr="00024183">
        <w:rPr>
          <w:color w:val="0D0D0D" w:themeColor="text1" w:themeTint="F2"/>
        </w:rPr>
        <w:fldChar w:fldCharType="separate"/>
      </w:r>
      <w:r w:rsidRPr="00024183">
        <w:rPr>
          <w:color w:val="0D0D0D" w:themeColor="text1" w:themeTint="F2"/>
        </w:rPr>
        <w:t>7</w:t>
      </w:r>
      <w:r w:rsidRPr="00024183">
        <w:rPr>
          <w:color w:val="0D0D0D" w:themeColor="text1" w:themeTint="F2"/>
        </w:rPr>
        <w:fldChar w:fldCharType="end"/>
      </w:r>
      <w:bookmarkEnd w:id="144"/>
      <w:r w:rsidRPr="00024183">
        <w:rPr>
          <w:color w:val="0D0D0D" w:themeColor="text1" w:themeTint="F2"/>
        </w:rPr>
        <w:t>. Partitioning tracer production in gas.</w:t>
      </w:r>
      <w:bookmarkEnd w:id="145"/>
      <w:bookmarkEnd w:id="146"/>
    </w:p>
    <w:p w14:paraId="0BC844E6" w14:textId="77777777" w:rsidR="00280FFF" w:rsidRPr="00280FFF" w:rsidRDefault="00280FFF" w:rsidP="00280FFF"/>
    <w:p w14:paraId="2B5E9D3F" w14:textId="49BC93C6" w:rsidR="00183CBB" w:rsidRDefault="00183CBB" w:rsidP="006E2F7E">
      <w:r>
        <w:t xml:space="preserve">The solid lines in </w:t>
      </w:r>
      <w:r>
        <w:fldChar w:fldCharType="begin"/>
      </w:r>
      <w:r>
        <w:instrText xml:space="preserve"> REF _Ref438024968 \h </w:instrText>
      </w:r>
      <w:r>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8</w:t>
      </w:r>
      <w:r>
        <w:fldChar w:fldCharType="end"/>
      </w:r>
      <w:r>
        <w:t xml:space="preserve"> are simulation output of tracer production in gas in a semi-log plot. Its </w:t>
      </w:r>
      <w:r w:rsidRPr="006E2F7E">
        <w:t xml:space="preserve">production in water has the similar shape. Based on the direct output </w:t>
      </w:r>
      <w:r w:rsidRPr="006E2F7E">
        <w:lastRenderedPageBreak/>
        <w:t xml:space="preserve">from simulation, the total swept volume for each case is listed in the third row in </w:t>
      </w:r>
      <w:r w:rsidRPr="006E2F7E">
        <w:fldChar w:fldCharType="begin"/>
      </w:r>
      <w:r w:rsidRPr="006E2F7E">
        <w:instrText xml:space="preserve"> REF _Ref438025759 \h </w:instrText>
      </w:r>
      <w:r w:rsidR="006E2F7E" w:rsidRPr="006E2F7E">
        <w:instrText xml:space="preserve"> \* MERGEFORMAT </w:instrText>
      </w:r>
      <w:r w:rsidRPr="006E2F7E">
        <w:fldChar w:fldCharType="separate"/>
      </w:r>
      <w:r w:rsidR="00280FFF" w:rsidRPr="00280FFF">
        <w:t xml:space="preserve">Table </w:t>
      </w:r>
      <w:r w:rsidR="00280FFF" w:rsidRPr="00280FFF">
        <w:rPr>
          <w:noProof/>
        </w:rPr>
        <w:t>3</w:t>
      </w:r>
      <w:r w:rsidR="00280FFF" w:rsidRPr="00280FFF">
        <w:rPr>
          <w:noProof/>
        </w:rPr>
        <w:noBreakHyphen/>
        <w:t>4</w:t>
      </w:r>
      <w:r w:rsidRPr="006E2F7E">
        <w:fldChar w:fldCharType="end"/>
      </w:r>
      <w:r w:rsidRPr="006E2F7E">
        <w:t xml:space="preserve"> using MoM. </w:t>
      </w:r>
      <w:r w:rsidRPr="006E2F7E">
        <w:fldChar w:fldCharType="begin"/>
      </w:r>
      <w:r w:rsidRPr="006E2F7E">
        <w:instrText xml:space="preserve"> REF _Ref438025797 \h </w:instrText>
      </w:r>
      <w:r w:rsidR="006E2F7E" w:rsidRPr="006E2F7E">
        <w:instrText xml:space="preserve"> \* MERGEFORMAT </w:instrText>
      </w:r>
      <w:r w:rsidRPr="006E2F7E">
        <w:fldChar w:fldCharType="separate"/>
      </w:r>
      <w:r w:rsidR="00280FFF" w:rsidRPr="00280FFF">
        <w:t xml:space="preserve">Figure </w:t>
      </w:r>
      <w:r w:rsidR="00280FFF" w:rsidRPr="00280FFF">
        <w:rPr>
          <w:noProof/>
        </w:rPr>
        <w:t>3</w:t>
      </w:r>
      <w:r w:rsidR="00280FFF" w:rsidRPr="00280FFF">
        <w:rPr>
          <w:noProof/>
        </w:rPr>
        <w:noBreakHyphen/>
        <w:t>9</w:t>
      </w:r>
      <w:r w:rsidRPr="006E2F7E">
        <w:fldChar w:fldCharType="end"/>
      </w:r>
      <w:r w:rsidRPr="006E2F7E">
        <w:t xml:space="preserve"> to </w:t>
      </w:r>
      <w:r w:rsidRPr="006E2F7E">
        <w:fldChar w:fldCharType="begin"/>
      </w:r>
      <w:r w:rsidRPr="006E2F7E">
        <w:instrText xml:space="preserve"> REF _Ref438025816 \h </w:instrText>
      </w:r>
      <w:r w:rsidR="006E2F7E" w:rsidRPr="006E2F7E">
        <w:instrText xml:space="preserve"> \* MERGEFORMAT </w:instrText>
      </w:r>
      <w:r w:rsidRPr="006E2F7E">
        <w:fldChar w:fldCharType="separate"/>
      </w:r>
      <w:r w:rsidR="00280FFF" w:rsidRPr="00280FFF">
        <w:t xml:space="preserve">Figure </w:t>
      </w:r>
      <w:r w:rsidR="00280FFF" w:rsidRPr="00280FFF">
        <w:rPr>
          <w:noProof/>
        </w:rPr>
        <w:t>3</w:t>
      </w:r>
      <w:r w:rsidR="00280FFF" w:rsidRPr="00280FFF">
        <w:rPr>
          <w:noProof/>
        </w:rPr>
        <w:noBreakHyphen/>
        <w:t>11</w:t>
      </w:r>
      <w:r w:rsidRPr="006E2F7E">
        <w:fldChar w:fldCharType="end"/>
      </w:r>
      <w:r w:rsidRPr="006E2F7E">
        <w:t xml:space="preserve"> shows the area contact by tracer at the end of shut in period. </w:t>
      </w:r>
      <w:r w:rsidR="00304B8E">
        <w:t>T</w:t>
      </w:r>
      <w:r w:rsidRPr="006E2F7E">
        <w:t xml:space="preserve">hese graphs </w:t>
      </w:r>
      <w:r w:rsidR="00304B8E">
        <w:t xml:space="preserve">are used </w:t>
      </w:r>
      <w:r w:rsidRPr="006E2F7E">
        <w:t>to compute the tracer contacted volume in hydraulic fracture and in entire system respectively (</w:t>
      </w:r>
      <w:r w:rsidRPr="006E2F7E">
        <w:fldChar w:fldCharType="begin"/>
      </w:r>
      <w:r w:rsidRPr="006E2F7E">
        <w:instrText xml:space="preserve"> REF _Ref438025759 \h </w:instrText>
      </w:r>
      <w:r w:rsidR="006E2F7E" w:rsidRPr="006E2F7E">
        <w:instrText xml:space="preserve"> \* MERGEFORMAT </w:instrText>
      </w:r>
      <w:r w:rsidRPr="006E2F7E">
        <w:fldChar w:fldCharType="separate"/>
      </w:r>
      <w:r w:rsidR="00280FFF" w:rsidRPr="00280FFF">
        <w:t xml:space="preserve">Table </w:t>
      </w:r>
      <w:r w:rsidR="00280FFF" w:rsidRPr="00280FFF">
        <w:rPr>
          <w:noProof/>
        </w:rPr>
        <w:t>3</w:t>
      </w:r>
      <w:r w:rsidR="00280FFF" w:rsidRPr="00280FFF">
        <w:rPr>
          <w:noProof/>
        </w:rPr>
        <w:noBreakHyphen/>
        <w:t>4</w:t>
      </w:r>
      <w:r w:rsidRPr="006E2F7E">
        <w:fldChar w:fldCharType="end"/>
      </w:r>
      <w:r w:rsidRPr="006E2F7E">
        <w:t xml:space="preserve">). In </w:t>
      </w:r>
      <w:r w:rsidRPr="006E2F7E">
        <w:fldChar w:fldCharType="begin"/>
      </w:r>
      <w:r w:rsidRPr="006E2F7E">
        <w:instrText xml:space="preserve"> REF _Ref438025797 \h </w:instrText>
      </w:r>
      <w:r w:rsidR="006E2F7E" w:rsidRPr="006E2F7E">
        <w:instrText xml:space="preserve"> \* MERGEFORMAT </w:instrText>
      </w:r>
      <w:r w:rsidRPr="006E2F7E">
        <w:fldChar w:fldCharType="separate"/>
      </w:r>
      <w:r w:rsidR="00280FFF" w:rsidRPr="00280FFF">
        <w:t xml:space="preserve">Figure </w:t>
      </w:r>
      <w:r w:rsidR="00280FFF" w:rsidRPr="00280FFF">
        <w:rPr>
          <w:noProof/>
        </w:rPr>
        <w:t>3</w:t>
      </w:r>
      <w:r w:rsidR="00280FFF" w:rsidRPr="00280FFF">
        <w:rPr>
          <w:noProof/>
        </w:rPr>
        <w:noBreakHyphen/>
        <w:t>9</w:t>
      </w:r>
      <w:r w:rsidRPr="006E2F7E">
        <w:fldChar w:fldCharType="end"/>
      </w:r>
      <w:r w:rsidRPr="006E2F7E">
        <w:t xml:space="preserve"> to </w:t>
      </w:r>
      <w:r w:rsidRPr="006E2F7E">
        <w:fldChar w:fldCharType="begin"/>
      </w:r>
      <w:r w:rsidRPr="006E2F7E">
        <w:instrText xml:space="preserve"> REF _Ref438025816 \h </w:instrText>
      </w:r>
      <w:r w:rsidR="006E2F7E" w:rsidRPr="006E2F7E">
        <w:instrText xml:space="preserve"> \* MERGEFORMAT </w:instrText>
      </w:r>
      <w:r w:rsidRPr="006E2F7E">
        <w:fldChar w:fldCharType="separate"/>
      </w:r>
      <w:r w:rsidR="00280FFF" w:rsidRPr="00280FFF">
        <w:t xml:space="preserve">Figure </w:t>
      </w:r>
      <w:r w:rsidR="00280FFF" w:rsidRPr="00280FFF">
        <w:rPr>
          <w:noProof/>
        </w:rPr>
        <w:t>3</w:t>
      </w:r>
      <w:r w:rsidR="00280FFF" w:rsidRPr="00280FFF">
        <w:rPr>
          <w:noProof/>
        </w:rPr>
        <w:noBreakHyphen/>
        <w:t>11</w:t>
      </w:r>
      <w:r w:rsidRPr="006E2F7E">
        <w:fldChar w:fldCharType="end"/>
      </w:r>
      <w:r w:rsidRPr="006E2F7E">
        <w:t>, columns of x=18 indicate the hydraulic fracture.</w:t>
      </w:r>
      <w:r>
        <w:t xml:space="preserve"> </w:t>
      </w:r>
    </w:p>
    <w:p w14:paraId="67C3494F" w14:textId="2F137BF0" w:rsidR="00183CBB" w:rsidRDefault="00183CBB" w:rsidP="006E2F7E">
      <w:r>
        <w:t>The results show that the tracer original production data provides the total swept volume rather than the hydraulic fracture volume</w:t>
      </w:r>
      <w:r w:rsidR="00A80041">
        <w:t xml:space="preserve"> as</w:t>
      </w:r>
      <w:r>
        <w:t xml:space="preserve"> the injected fracking fluid penetrates into the matrix and the fluid flow from matrix contribute</w:t>
      </w:r>
      <w:r w:rsidR="00A80041">
        <w:t>s</w:t>
      </w:r>
      <w:r>
        <w:t xml:space="preserve"> to the final tracer production besides hydraulic fracture. In addition, with smaller permeability ratio R (i.e. higher matrix permeability), the total tracer swept volume is larger, implying larger invasion zone of the fracking fluid</w:t>
      </w:r>
      <w:r w:rsidR="00304B8E">
        <w:t>.</w:t>
      </w:r>
      <w:r w:rsidR="00A80041">
        <w:t xml:space="preserve"> As shown in </w:t>
      </w:r>
      <w:r>
        <w:fldChar w:fldCharType="begin"/>
      </w:r>
      <w:r>
        <w:instrText xml:space="preserve"> REF _Ref438025797 \h </w:instrText>
      </w:r>
      <w:r>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9</w:t>
      </w:r>
      <w:r>
        <w:fldChar w:fldCharType="end"/>
      </w:r>
      <w:r>
        <w:t xml:space="preserve"> to </w:t>
      </w:r>
      <w:r>
        <w:fldChar w:fldCharType="begin"/>
      </w:r>
      <w:r>
        <w:instrText xml:space="preserve"> REF _Ref438025816 \h </w:instrText>
      </w:r>
      <w:r>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11</w:t>
      </w:r>
      <w:r>
        <w:fldChar w:fldCharType="end"/>
      </w:r>
      <w:r>
        <w:t xml:space="preserve">. Such observations suggest that the tracer production data can help estimate the invasion zone if hydraulic fracture volume is known. </w:t>
      </w:r>
    </w:p>
    <w:p w14:paraId="49E04A38" w14:textId="174D00A8" w:rsidR="00183CBB" w:rsidRDefault="00183CBB" w:rsidP="006E2F7E">
      <w:r>
        <w:t xml:space="preserve">Examining the tracer tail in </w:t>
      </w:r>
      <w:r>
        <w:fldChar w:fldCharType="begin"/>
      </w:r>
      <w:r>
        <w:instrText xml:space="preserve"> REF _Ref438024968 \h </w:instrText>
      </w:r>
      <w:r>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8</w:t>
      </w:r>
      <w:r>
        <w:fldChar w:fldCharType="end"/>
      </w:r>
      <w:r>
        <w:t>, two distinct linear relationships of tracer concentration versus cumulative gas production</w:t>
      </w:r>
      <w:r w:rsidR="00304B8E">
        <w:t xml:space="preserve"> are noticed</w:t>
      </w:r>
      <w:r>
        <w:t xml:space="preserve">. This is also observed in water production. For the convenience of discussion, we name the intersection of the two linear lines as the deviation point. We extrapolate the first linear section for both gas and water using the exponential decline rule (Eq. </w:t>
      </w:r>
      <w:r w:rsidR="006E2F7E">
        <w:t>3-</w:t>
      </w:r>
      <w:r>
        <w:t>4). The dashed line declines more rapidly after the deviation point compared against the original plot (</w:t>
      </w:r>
      <w:r>
        <w:fldChar w:fldCharType="begin"/>
      </w:r>
      <w:r>
        <w:instrText xml:space="preserve"> REF _Ref438024968 \h </w:instrText>
      </w:r>
      <w:r>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8</w:t>
      </w:r>
      <w:r>
        <w:fldChar w:fldCharType="end"/>
      </w:r>
      <w:r>
        <w:t xml:space="preserve">). We re-calculate the swept </w:t>
      </w:r>
      <w:r w:rsidRPr="006E2F7E">
        <w:t xml:space="preserve">volume based on the extrapolated curve and the results are displayed in the last row of </w:t>
      </w:r>
      <w:r w:rsidRPr="006E2F7E">
        <w:fldChar w:fldCharType="begin"/>
      </w:r>
      <w:r w:rsidRPr="006E2F7E">
        <w:instrText xml:space="preserve"> REF _Ref438025759 \h </w:instrText>
      </w:r>
      <w:r w:rsidR="006E2F7E" w:rsidRPr="006E2F7E">
        <w:instrText xml:space="preserve"> \* MERGEFORMAT </w:instrText>
      </w:r>
      <w:r w:rsidRPr="006E2F7E">
        <w:fldChar w:fldCharType="separate"/>
      </w:r>
      <w:r w:rsidR="00280FFF" w:rsidRPr="00280FFF">
        <w:t xml:space="preserve">Table </w:t>
      </w:r>
      <w:r w:rsidR="00280FFF" w:rsidRPr="00280FFF">
        <w:rPr>
          <w:noProof/>
        </w:rPr>
        <w:t>3</w:t>
      </w:r>
      <w:r w:rsidR="00280FFF" w:rsidRPr="00280FFF">
        <w:rPr>
          <w:noProof/>
        </w:rPr>
        <w:noBreakHyphen/>
        <w:t>4</w:t>
      </w:r>
      <w:r w:rsidRPr="006E2F7E">
        <w:fldChar w:fldCharType="end"/>
      </w:r>
      <w:r w:rsidRPr="006E2F7E">
        <w:t>.</w:t>
      </w:r>
    </w:p>
    <w:p w14:paraId="3C8C1D1C" w14:textId="26B42F8D" w:rsidR="00183CBB" w:rsidRDefault="00183CBB" w:rsidP="006E2F7E">
      <w:r>
        <w:t xml:space="preserve">For the case of fracture permeability is higher than the matrix permeability, the swept volume obtained from the extrapolated line is closer to hydraulic fracture volume </w:t>
      </w:r>
      <w:r>
        <w:lastRenderedPageBreak/>
        <w:t>because less fluid flow contributes to the tracer production at early stage. Since the fracture permeability is much higher than the matrix, the fluid inside hydraulic fracture will come back to the wellbore first. On the other hand, if matrix permeability increases, more matrix fluid with tracer is produced right after production and the deviation point is postponed in the regard of gas production as well. This will result in a larger difference between the hydraulic fracture volume and the corrected swept volume. Therefore, the partitioning tracer could provide a reliable estimation of fracture volume when the fracture permeability is several orders higher than the adjacent matrix permeability.</w:t>
      </w:r>
    </w:p>
    <w:p w14:paraId="69910B36" w14:textId="634216FA" w:rsidR="00152284" w:rsidRDefault="00152284" w:rsidP="006E2F7E">
      <w:r>
        <w:t xml:space="preserve">Above results also indicates that the tracer should be injected as a slug at the beginning of proppant stage, so that it has minimum leak-off into the matrix and it could also inform the entire fracture volume. If injected in the </w:t>
      </w:r>
      <w:r w:rsidR="002B23EE">
        <w:t xml:space="preserve">pad stage, tracer will significantly penetrate into the matrix, which influences the fracture volume estimation. If injected too late, tracer can only inform partial fracture volume. </w:t>
      </w:r>
    </w:p>
    <w:p w14:paraId="3F0DF8CC" w14:textId="77777777" w:rsidR="00FE3B38" w:rsidRDefault="00183CBB" w:rsidP="006E2F7E">
      <w:r>
        <w:t>Another advantage of using partitioning tracer for fracture diagnosis is rapid feedback. Once the linear relationship occurs, we can simply use the exponential decline rule to extrapolate the curve without actually measuring the trac</w:t>
      </w:r>
      <w:r w:rsidR="00304B8E">
        <w:t>er concentration. According to the</w:t>
      </w:r>
      <w:r>
        <w:t xml:space="preserve"> simulation, the first linear section can be observed within 1-day flowback or even less. The deviation point occurs within 3-day production, indicating the second linear relationship can also be observed very quickly.  Nevertheless, only 1/3 of injected fracking is produced back after 1-year production. Such rapid response of tracer is because it partitions and flows back with the fast gas.</w:t>
      </w:r>
    </w:p>
    <w:tbl>
      <w:tblPr>
        <w:tblStyle w:val="TableGrid"/>
        <w:tblW w:w="5000" w:type="pct"/>
        <w:tblLook w:val="04A0" w:firstRow="1" w:lastRow="0" w:firstColumn="1" w:lastColumn="0" w:noHBand="0" w:noVBand="1"/>
      </w:tblPr>
      <w:tblGrid>
        <w:gridCol w:w="3783"/>
        <w:gridCol w:w="1643"/>
        <w:gridCol w:w="1643"/>
        <w:gridCol w:w="1643"/>
      </w:tblGrid>
      <w:tr w:rsidR="00183CBB" w:rsidRPr="00721CAE" w14:paraId="654AFFF0" w14:textId="77777777" w:rsidTr="006E2F7E">
        <w:tc>
          <w:tcPr>
            <w:tcW w:w="5000" w:type="pct"/>
            <w:gridSpan w:val="4"/>
            <w:vAlign w:val="center"/>
          </w:tcPr>
          <w:p w14:paraId="3192BC35" w14:textId="2F45C19F" w:rsidR="00183CBB" w:rsidRPr="00541084" w:rsidRDefault="00183CBB" w:rsidP="00BF3F9B">
            <w:pPr>
              <w:pStyle w:val="Caption"/>
              <w:rPr>
                <w:rFonts w:cs="Arial"/>
                <w:color w:val="000000" w:themeColor="text1"/>
                <w:szCs w:val="22"/>
              </w:rPr>
            </w:pPr>
            <w:bookmarkStart w:id="147" w:name="_Ref438025759"/>
            <w:bookmarkStart w:id="148" w:name="_Toc494014264"/>
            <w:r w:rsidRPr="00541084">
              <w:rPr>
                <w:szCs w:val="22"/>
              </w:rPr>
              <w:t xml:space="preserve">Table </w:t>
            </w:r>
            <w:r w:rsidR="00A63F01" w:rsidRPr="00541084">
              <w:rPr>
                <w:szCs w:val="22"/>
              </w:rPr>
              <w:fldChar w:fldCharType="begin"/>
            </w:r>
            <w:r w:rsidR="00A63F01" w:rsidRPr="00541084">
              <w:rPr>
                <w:szCs w:val="22"/>
              </w:rPr>
              <w:instrText xml:space="preserve"> STYLEREF 1 \s </w:instrText>
            </w:r>
            <w:r w:rsidR="00A63F01" w:rsidRPr="00541084">
              <w:rPr>
                <w:szCs w:val="22"/>
              </w:rPr>
              <w:fldChar w:fldCharType="separate"/>
            </w:r>
            <w:r w:rsidR="00280FFF">
              <w:rPr>
                <w:noProof/>
                <w:szCs w:val="22"/>
              </w:rPr>
              <w:t>3</w:t>
            </w:r>
            <w:r w:rsidR="00A63F01" w:rsidRPr="00541084">
              <w:rPr>
                <w:noProof/>
                <w:szCs w:val="22"/>
              </w:rPr>
              <w:fldChar w:fldCharType="end"/>
            </w:r>
            <w:r w:rsidR="00A67B82" w:rsidRPr="00541084">
              <w:rPr>
                <w:szCs w:val="22"/>
              </w:rPr>
              <w:noBreakHyphen/>
            </w:r>
            <w:r w:rsidR="00A63F01" w:rsidRPr="00541084">
              <w:rPr>
                <w:szCs w:val="22"/>
              </w:rPr>
              <w:fldChar w:fldCharType="begin"/>
            </w:r>
            <w:r w:rsidR="00A63F01" w:rsidRPr="00541084">
              <w:rPr>
                <w:szCs w:val="22"/>
              </w:rPr>
              <w:instrText xml:space="preserve"> SEQ Table \* ARABIC \s 1 </w:instrText>
            </w:r>
            <w:r w:rsidR="00A63F01" w:rsidRPr="00541084">
              <w:rPr>
                <w:szCs w:val="22"/>
              </w:rPr>
              <w:fldChar w:fldCharType="separate"/>
            </w:r>
            <w:r w:rsidR="00280FFF">
              <w:rPr>
                <w:noProof/>
                <w:szCs w:val="22"/>
              </w:rPr>
              <w:t>4</w:t>
            </w:r>
            <w:r w:rsidR="00A63F01" w:rsidRPr="00541084">
              <w:rPr>
                <w:noProof/>
                <w:szCs w:val="22"/>
              </w:rPr>
              <w:fldChar w:fldCharType="end"/>
            </w:r>
            <w:bookmarkEnd w:id="147"/>
            <w:r w:rsidRPr="00541084">
              <w:rPr>
                <w:szCs w:val="22"/>
              </w:rPr>
              <w:t xml:space="preserve">. </w:t>
            </w:r>
            <w:r w:rsidRPr="00541084">
              <w:rPr>
                <w:rFonts w:cs="Arial"/>
                <w:color w:val="000000" w:themeColor="text1"/>
                <w:szCs w:val="22"/>
              </w:rPr>
              <w:t>Swept Volume Comparison</w:t>
            </w:r>
            <w:bookmarkEnd w:id="148"/>
          </w:p>
        </w:tc>
      </w:tr>
      <w:tr w:rsidR="00183CBB" w:rsidRPr="00721CAE" w14:paraId="2FB73422" w14:textId="77777777" w:rsidTr="004D503A">
        <w:tc>
          <w:tcPr>
            <w:tcW w:w="2171" w:type="pct"/>
            <w:vAlign w:val="center"/>
          </w:tcPr>
          <w:p w14:paraId="09498D5B" w14:textId="77777777" w:rsidR="00183CBB" w:rsidRPr="006E2F7E" w:rsidRDefault="00183CBB" w:rsidP="006E2F7E">
            <w:pPr>
              <w:pStyle w:val="TableNormal1"/>
              <w:rPr>
                <w:b/>
              </w:rPr>
            </w:pPr>
            <w:r w:rsidRPr="006E2F7E">
              <w:rPr>
                <w:b/>
              </w:rPr>
              <w:lastRenderedPageBreak/>
              <w:t>Matrix Permeability, nd</w:t>
            </w:r>
          </w:p>
        </w:tc>
        <w:tc>
          <w:tcPr>
            <w:tcW w:w="943" w:type="pct"/>
            <w:vAlign w:val="center"/>
          </w:tcPr>
          <w:p w14:paraId="65C09680" w14:textId="77777777" w:rsidR="00183CBB" w:rsidRPr="00721CAE" w:rsidRDefault="00183CBB" w:rsidP="006E2F7E">
            <w:pPr>
              <w:pStyle w:val="TableNormal1"/>
            </w:pPr>
            <w:r>
              <w:t>50</w:t>
            </w:r>
          </w:p>
        </w:tc>
        <w:tc>
          <w:tcPr>
            <w:tcW w:w="943" w:type="pct"/>
            <w:vAlign w:val="center"/>
          </w:tcPr>
          <w:p w14:paraId="285AA06A" w14:textId="77777777" w:rsidR="00183CBB" w:rsidRPr="00721CAE" w:rsidRDefault="00183CBB" w:rsidP="006E2F7E">
            <w:pPr>
              <w:pStyle w:val="TableNormal1"/>
            </w:pPr>
            <w:r>
              <w:t>500</w:t>
            </w:r>
          </w:p>
        </w:tc>
        <w:tc>
          <w:tcPr>
            <w:tcW w:w="943" w:type="pct"/>
            <w:vAlign w:val="center"/>
          </w:tcPr>
          <w:p w14:paraId="37C8DC46" w14:textId="77777777" w:rsidR="00183CBB" w:rsidRPr="00721CAE" w:rsidRDefault="00183CBB" w:rsidP="006E2F7E">
            <w:pPr>
              <w:pStyle w:val="TableNormal1"/>
            </w:pPr>
            <w:r>
              <w:t>5000</w:t>
            </w:r>
          </w:p>
        </w:tc>
      </w:tr>
      <w:tr w:rsidR="00183CBB" w:rsidRPr="00721CAE" w14:paraId="3CA11CC8" w14:textId="77777777" w:rsidTr="004D503A">
        <w:tc>
          <w:tcPr>
            <w:tcW w:w="2171" w:type="pct"/>
            <w:vAlign w:val="center"/>
          </w:tcPr>
          <w:p w14:paraId="2257D9DD" w14:textId="77777777" w:rsidR="00183CBB" w:rsidRPr="006E2F7E" w:rsidRDefault="00183CBB" w:rsidP="006E2F7E">
            <w:pPr>
              <w:pStyle w:val="TableNormal1"/>
              <w:rPr>
                <w:b/>
              </w:rPr>
            </w:pPr>
            <w:r w:rsidRPr="006E2F7E">
              <w:rPr>
                <w:b/>
              </w:rPr>
              <w:t>R</w:t>
            </w:r>
          </w:p>
        </w:tc>
        <w:tc>
          <w:tcPr>
            <w:tcW w:w="943" w:type="pct"/>
            <w:vAlign w:val="center"/>
          </w:tcPr>
          <w:p w14:paraId="1F4DC123" w14:textId="630601C9" w:rsidR="00183CBB" w:rsidRPr="00721CAE" w:rsidRDefault="00183CBB" w:rsidP="006E2F7E">
            <w:pPr>
              <w:pStyle w:val="TableNormal1"/>
            </w:pPr>
            <w:r w:rsidRPr="00721CAE">
              <w:t>200</w:t>
            </w:r>
            <w:r w:rsidR="005027A4">
              <w:t>,</w:t>
            </w:r>
            <w:r w:rsidRPr="00721CAE">
              <w:t>00</w:t>
            </w:r>
            <w:r>
              <w:t>0</w:t>
            </w:r>
          </w:p>
        </w:tc>
        <w:tc>
          <w:tcPr>
            <w:tcW w:w="943" w:type="pct"/>
            <w:vAlign w:val="center"/>
          </w:tcPr>
          <w:p w14:paraId="04F72AFE" w14:textId="7F0C9F36" w:rsidR="00183CBB" w:rsidRPr="00721CAE" w:rsidRDefault="00183CBB" w:rsidP="006E2F7E">
            <w:pPr>
              <w:pStyle w:val="TableNormal1"/>
            </w:pPr>
            <w:r w:rsidRPr="00721CAE">
              <w:t>20</w:t>
            </w:r>
            <w:r w:rsidR="005027A4">
              <w:t>,</w:t>
            </w:r>
            <w:r w:rsidRPr="00721CAE">
              <w:t>00</w:t>
            </w:r>
            <w:r>
              <w:t>0</w:t>
            </w:r>
          </w:p>
        </w:tc>
        <w:tc>
          <w:tcPr>
            <w:tcW w:w="943" w:type="pct"/>
            <w:vAlign w:val="center"/>
          </w:tcPr>
          <w:p w14:paraId="19390C7F" w14:textId="141247C8" w:rsidR="00183CBB" w:rsidRPr="00721CAE" w:rsidRDefault="00183CBB" w:rsidP="006E2F7E">
            <w:pPr>
              <w:pStyle w:val="TableNormal1"/>
            </w:pPr>
            <w:r w:rsidRPr="00721CAE">
              <w:t>2</w:t>
            </w:r>
            <w:r w:rsidR="005027A4">
              <w:t>,</w:t>
            </w:r>
            <w:r w:rsidRPr="00721CAE">
              <w:t>00</w:t>
            </w:r>
            <w:r>
              <w:t>0</w:t>
            </w:r>
          </w:p>
        </w:tc>
      </w:tr>
      <w:tr w:rsidR="00183CBB" w:rsidRPr="00721CAE" w14:paraId="391C25E6" w14:textId="77777777" w:rsidTr="004D503A">
        <w:tc>
          <w:tcPr>
            <w:tcW w:w="2171" w:type="pct"/>
            <w:vAlign w:val="center"/>
          </w:tcPr>
          <w:p w14:paraId="0BDA0AC9" w14:textId="77777777" w:rsidR="00183CBB" w:rsidRPr="006E2F7E" w:rsidRDefault="00183CBB" w:rsidP="006E2F7E">
            <w:pPr>
              <w:pStyle w:val="TableNormal1"/>
              <w:rPr>
                <w:b/>
              </w:rPr>
            </w:pPr>
            <w:r w:rsidRPr="006E2F7E">
              <w:rPr>
                <w:b/>
              </w:rPr>
              <w:t>Total Swept Volume, ft</w:t>
            </w:r>
            <w:r w:rsidRPr="006E2F7E">
              <w:rPr>
                <w:b/>
                <w:vertAlign w:val="superscript"/>
              </w:rPr>
              <w:t>3</w:t>
            </w:r>
          </w:p>
        </w:tc>
        <w:tc>
          <w:tcPr>
            <w:tcW w:w="943" w:type="pct"/>
            <w:vAlign w:val="center"/>
          </w:tcPr>
          <w:p w14:paraId="46DC8A99" w14:textId="77777777" w:rsidR="00183CBB" w:rsidRPr="00721CAE" w:rsidRDefault="00183CBB" w:rsidP="006E2F7E">
            <w:pPr>
              <w:pStyle w:val="TableNormal1"/>
            </w:pPr>
            <w:r>
              <w:t>1358</w:t>
            </w:r>
          </w:p>
        </w:tc>
        <w:tc>
          <w:tcPr>
            <w:tcW w:w="943" w:type="pct"/>
            <w:vAlign w:val="center"/>
          </w:tcPr>
          <w:p w14:paraId="15BDF7A9" w14:textId="77777777" w:rsidR="00183CBB" w:rsidRPr="00721CAE" w:rsidRDefault="00183CBB" w:rsidP="006E2F7E">
            <w:pPr>
              <w:pStyle w:val="TableNormal1"/>
            </w:pPr>
            <w:r>
              <w:t>1500</w:t>
            </w:r>
          </w:p>
        </w:tc>
        <w:tc>
          <w:tcPr>
            <w:tcW w:w="943" w:type="pct"/>
            <w:vAlign w:val="center"/>
          </w:tcPr>
          <w:p w14:paraId="33D2CD56" w14:textId="77777777" w:rsidR="00183CBB" w:rsidRPr="00721CAE" w:rsidRDefault="00183CBB" w:rsidP="006E2F7E">
            <w:pPr>
              <w:pStyle w:val="TableNormal1"/>
            </w:pPr>
            <w:r>
              <w:t>2134</w:t>
            </w:r>
          </w:p>
        </w:tc>
      </w:tr>
      <w:tr w:rsidR="00183CBB" w:rsidRPr="00721CAE" w14:paraId="752EFEA7" w14:textId="77777777" w:rsidTr="004D503A">
        <w:tc>
          <w:tcPr>
            <w:tcW w:w="2171" w:type="pct"/>
            <w:vAlign w:val="center"/>
          </w:tcPr>
          <w:p w14:paraId="07E6B13D" w14:textId="77777777" w:rsidR="00183CBB" w:rsidRPr="006E2F7E" w:rsidRDefault="00183CBB" w:rsidP="006E2F7E">
            <w:pPr>
              <w:pStyle w:val="TableNormal1"/>
              <w:rPr>
                <w:b/>
              </w:rPr>
            </w:pPr>
            <w:r w:rsidRPr="006E2F7E">
              <w:rPr>
                <w:b/>
              </w:rPr>
              <w:t>Total Contacted Volume,  ft</w:t>
            </w:r>
            <w:r w:rsidRPr="006E2F7E">
              <w:rPr>
                <w:b/>
                <w:vertAlign w:val="superscript"/>
              </w:rPr>
              <w:t>3</w:t>
            </w:r>
          </w:p>
        </w:tc>
        <w:tc>
          <w:tcPr>
            <w:tcW w:w="943" w:type="pct"/>
            <w:vAlign w:val="center"/>
          </w:tcPr>
          <w:p w14:paraId="382A2BFB" w14:textId="77777777" w:rsidR="00183CBB" w:rsidRPr="00721CAE" w:rsidRDefault="00183CBB" w:rsidP="006E2F7E">
            <w:pPr>
              <w:pStyle w:val="TableNormal1"/>
            </w:pPr>
            <w:r>
              <w:t>1098</w:t>
            </w:r>
          </w:p>
        </w:tc>
        <w:tc>
          <w:tcPr>
            <w:tcW w:w="943" w:type="pct"/>
            <w:vAlign w:val="center"/>
          </w:tcPr>
          <w:p w14:paraId="44E60636" w14:textId="77777777" w:rsidR="00183CBB" w:rsidRPr="00721CAE" w:rsidRDefault="00183CBB" w:rsidP="006E2F7E">
            <w:pPr>
              <w:pStyle w:val="TableNormal1"/>
            </w:pPr>
            <w:r>
              <w:t>1449</w:t>
            </w:r>
          </w:p>
        </w:tc>
        <w:tc>
          <w:tcPr>
            <w:tcW w:w="943" w:type="pct"/>
            <w:vAlign w:val="center"/>
          </w:tcPr>
          <w:p w14:paraId="47893124" w14:textId="77777777" w:rsidR="00183CBB" w:rsidRPr="00721CAE" w:rsidRDefault="00183CBB" w:rsidP="006E2F7E">
            <w:pPr>
              <w:pStyle w:val="TableNormal1"/>
            </w:pPr>
            <w:r>
              <w:t>2029</w:t>
            </w:r>
          </w:p>
        </w:tc>
      </w:tr>
      <w:tr w:rsidR="00183CBB" w:rsidRPr="00721CAE" w14:paraId="1FFC9F67" w14:textId="77777777" w:rsidTr="004D503A">
        <w:tc>
          <w:tcPr>
            <w:tcW w:w="2171" w:type="pct"/>
            <w:vAlign w:val="center"/>
          </w:tcPr>
          <w:p w14:paraId="26EC3EEF" w14:textId="77777777" w:rsidR="00183CBB" w:rsidRPr="006E2F7E" w:rsidRDefault="00183CBB" w:rsidP="006E2F7E">
            <w:pPr>
              <w:pStyle w:val="TableNormal1"/>
              <w:rPr>
                <w:b/>
              </w:rPr>
            </w:pPr>
            <w:r w:rsidRPr="006E2F7E">
              <w:rPr>
                <w:b/>
              </w:rPr>
              <w:t>Contacted Fracture Volume,  ft</w:t>
            </w:r>
            <w:r w:rsidRPr="006E2F7E">
              <w:rPr>
                <w:b/>
                <w:vertAlign w:val="superscript"/>
              </w:rPr>
              <w:t>3</w:t>
            </w:r>
          </w:p>
        </w:tc>
        <w:tc>
          <w:tcPr>
            <w:tcW w:w="943" w:type="pct"/>
            <w:vAlign w:val="center"/>
          </w:tcPr>
          <w:p w14:paraId="503730D0" w14:textId="77777777" w:rsidR="00183CBB" w:rsidRPr="00721CAE" w:rsidRDefault="00183CBB" w:rsidP="006E2F7E">
            <w:pPr>
              <w:pStyle w:val="TableNormal1"/>
            </w:pPr>
            <w:r>
              <w:t>645</w:t>
            </w:r>
          </w:p>
        </w:tc>
        <w:tc>
          <w:tcPr>
            <w:tcW w:w="943" w:type="pct"/>
            <w:vAlign w:val="center"/>
          </w:tcPr>
          <w:p w14:paraId="70587B2B" w14:textId="77777777" w:rsidR="00183CBB" w:rsidRPr="00721CAE" w:rsidRDefault="00183CBB" w:rsidP="006E2F7E">
            <w:pPr>
              <w:pStyle w:val="TableNormal1"/>
            </w:pPr>
            <w:r>
              <w:t>642</w:t>
            </w:r>
          </w:p>
        </w:tc>
        <w:tc>
          <w:tcPr>
            <w:tcW w:w="943" w:type="pct"/>
            <w:vAlign w:val="center"/>
          </w:tcPr>
          <w:p w14:paraId="0D7A1823" w14:textId="77777777" w:rsidR="00183CBB" w:rsidRPr="00721CAE" w:rsidRDefault="00183CBB" w:rsidP="006E2F7E">
            <w:pPr>
              <w:pStyle w:val="TableNormal1"/>
            </w:pPr>
            <w:r>
              <w:t>639</w:t>
            </w:r>
          </w:p>
        </w:tc>
      </w:tr>
      <w:tr w:rsidR="00183CBB" w:rsidRPr="00721CAE" w14:paraId="6C09DDD7" w14:textId="77777777" w:rsidTr="004D503A">
        <w:tc>
          <w:tcPr>
            <w:tcW w:w="2171" w:type="pct"/>
            <w:vAlign w:val="center"/>
          </w:tcPr>
          <w:p w14:paraId="397BFE19" w14:textId="77777777" w:rsidR="00183CBB" w:rsidRPr="006E2F7E" w:rsidRDefault="00183CBB" w:rsidP="006E2F7E">
            <w:pPr>
              <w:pStyle w:val="TableNormal1"/>
              <w:rPr>
                <w:b/>
              </w:rPr>
            </w:pPr>
            <w:r w:rsidRPr="006E2F7E">
              <w:rPr>
                <w:b/>
              </w:rPr>
              <w:t>Corrected Swept Volume, ft</w:t>
            </w:r>
            <w:r w:rsidRPr="006E2F7E">
              <w:rPr>
                <w:b/>
                <w:vertAlign w:val="superscript"/>
              </w:rPr>
              <w:t>3</w:t>
            </w:r>
          </w:p>
        </w:tc>
        <w:tc>
          <w:tcPr>
            <w:tcW w:w="943" w:type="pct"/>
            <w:vAlign w:val="center"/>
          </w:tcPr>
          <w:p w14:paraId="64CFCA17" w14:textId="77777777" w:rsidR="00183CBB" w:rsidRPr="00721CAE" w:rsidRDefault="00183CBB" w:rsidP="006E2F7E">
            <w:pPr>
              <w:pStyle w:val="TableNormal1"/>
            </w:pPr>
            <w:r>
              <w:t>835</w:t>
            </w:r>
          </w:p>
        </w:tc>
        <w:tc>
          <w:tcPr>
            <w:tcW w:w="943" w:type="pct"/>
            <w:vAlign w:val="center"/>
          </w:tcPr>
          <w:p w14:paraId="1288B95D" w14:textId="77777777" w:rsidR="00183CBB" w:rsidRPr="00721CAE" w:rsidRDefault="00183CBB" w:rsidP="006E2F7E">
            <w:pPr>
              <w:pStyle w:val="TableNormal1"/>
            </w:pPr>
            <w:r>
              <w:t>1097</w:t>
            </w:r>
          </w:p>
        </w:tc>
        <w:tc>
          <w:tcPr>
            <w:tcW w:w="943" w:type="pct"/>
            <w:vAlign w:val="center"/>
          </w:tcPr>
          <w:p w14:paraId="223BD292" w14:textId="77777777" w:rsidR="00183CBB" w:rsidRPr="00721CAE" w:rsidRDefault="00183CBB" w:rsidP="006E2F7E">
            <w:pPr>
              <w:pStyle w:val="TableNormal1"/>
            </w:pPr>
            <w:r>
              <w:t>1864</w:t>
            </w:r>
          </w:p>
        </w:tc>
      </w:tr>
    </w:tbl>
    <w:p w14:paraId="519060CA" w14:textId="77777777" w:rsidR="006E2F7E" w:rsidRDefault="006E2F7E" w:rsidP="006E2F7E"/>
    <w:p w14:paraId="2ADDFD93" w14:textId="18EB029C" w:rsidR="00183CBB" w:rsidRDefault="00183CBB" w:rsidP="006E2F7E">
      <w:r>
        <w:t xml:space="preserve">(Note: ‘Total Swept Volume’ is calculated using MoM from the original tracer production history (the solid line in </w:t>
      </w:r>
      <w:r>
        <w:fldChar w:fldCharType="begin"/>
      </w:r>
      <w:r>
        <w:instrText xml:space="preserve"> REF _Ref438024968 \h </w:instrText>
      </w:r>
      <w:r>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8</w:t>
      </w:r>
      <w:r>
        <w:fldChar w:fldCharType="end"/>
      </w:r>
      <w:r>
        <w:t xml:space="preserve">); ‘Total Contacted Volume’ is the total pore volume contacted by the tracer at end of shut in, including matrix; ‘Contacted Fracture Volume’ is the fracture volume contacted by the tracer at end of shut in, not including matrix; ‘Corrected Swept Volume’ is calculated using MoM based on the extrapolated tracer production history (the dashed line in </w:t>
      </w:r>
      <w:r>
        <w:fldChar w:fldCharType="begin"/>
      </w:r>
      <w:r>
        <w:instrText xml:space="preserve"> REF _Ref438024968 \h </w:instrText>
      </w:r>
      <w:r>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8</w:t>
      </w:r>
      <w:r>
        <w:fldChar w:fldCharType="end"/>
      </w:r>
      <w:r>
        <w:t>))</w:t>
      </w:r>
      <w:r w:rsidR="00D2140E">
        <w:t>.</w:t>
      </w:r>
    </w:p>
    <w:p w14:paraId="15945BED" w14:textId="77777777" w:rsidR="00D2140E" w:rsidRPr="006B43A6" w:rsidRDefault="00D2140E" w:rsidP="006E2F7E"/>
    <w:p w14:paraId="2155C23A" w14:textId="5F133DE7" w:rsidR="00183CBB" w:rsidRDefault="00D2140E" w:rsidP="006E2F7E">
      <w:pPr>
        <w:pStyle w:val="TableNormal1"/>
      </w:pPr>
      <w:r>
        <w:lastRenderedPageBreak/>
        <mc:AlternateContent>
          <mc:Choice Requires="wps">
            <w:drawing>
              <wp:anchor distT="0" distB="0" distL="114300" distR="114300" simplePos="0" relativeHeight="251654144" behindDoc="0" locked="0" layoutInCell="1" allowOverlap="1" wp14:anchorId="5B77191B" wp14:editId="738A67EA">
                <wp:simplePos x="0" y="0"/>
                <wp:positionH relativeFrom="column">
                  <wp:posOffset>3118485</wp:posOffset>
                </wp:positionH>
                <wp:positionV relativeFrom="paragraph">
                  <wp:posOffset>2867025</wp:posOffset>
                </wp:positionV>
                <wp:extent cx="523875" cy="228600"/>
                <wp:effectExtent l="0" t="0" r="28575" b="19050"/>
                <wp:wrapNone/>
                <wp:docPr id="232" name="Text Box 232"/>
                <wp:cNvGraphicFramePr/>
                <a:graphic xmlns:a="http://schemas.openxmlformats.org/drawingml/2006/main">
                  <a:graphicData uri="http://schemas.microsoft.com/office/word/2010/wordprocessingShape">
                    <wps:wsp>
                      <wps:cNvSpPr txBox="1"/>
                      <wps:spPr>
                        <a:xfrm>
                          <a:off x="0" y="0"/>
                          <a:ext cx="523875" cy="228600"/>
                        </a:xfrm>
                        <a:prstGeom prst="rect">
                          <a:avLst/>
                        </a:prstGeom>
                        <a:solidFill>
                          <a:schemeClr val="lt1"/>
                        </a:solidFill>
                        <a:ln w="6350">
                          <a:solidFill>
                            <a:schemeClr val="bg1"/>
                          </a:solidFill>
                        </a:ln>
                      </wps:spPr>
                      <wps:txbx>
                        <w:txbxContent>
                          <w:p w14:paraId="17F0B07D" w14:textId="4031FB56" w:rsidR="00C679FA" w:rsidRPr="00D2140E" w:rsidRDefault="00C679FA" w:rsidP="00D2140E">
                            <w:pPr>
                              <w:ind w:firstLine="0"/>
                              <w:jc w:val="left"/>
                              <w:rPr>
                                <w:color w:val="000000" w:themeColor="text1"/>
                                <w:sz w:val="15"/>
                                <w:szCs w:val="15"/>
                              </w:rPr>
                            </w:pPr>
                            <w:r w:rsidRPr="00D2140E">
                              <w:rPr>
                                <w:color w:val="000000" w:themeColor="text1"/>
                                <w:sz w:val="15"/>
                                <w:szCs w:val="15"/>
                              </w:rPr>
                              <w:t>2.5</w:t>
                            </w:r>
                            <w:r w:rsidRPr="00D2140E">
                              <w:rPr>
                                <w:rFonts w:cstheme="minorHAnsi"/>
                                <w:color w:val="000000" w:themeColor="text1"/>
                                <w:sz w:val="15"/>
                                <w:szCs w:val="15"/>
                              </w:rPr>
                              <w:t>×</w:t>
                            </w:r>
                            <w:r w:rsidRPr="00D2140E">
                              <w:rPr>
                                <w:color w:val="000000" w:themeColor="text1"/>
                                <w:sz w:val="15"/>
                                <w:szCs w:val="15"/>
                              </w:rPr>
                              <w:t>10</w:t>
                            </w:r>
                            <w:r w:rsidRPr="00D2140E">
                              <w:rPr>
                                <w:color w:val="000000" w:themeColor="text1"/>
                                <w:sz w:val="15"/>
                                <w:szCs w:val="15"/>
                                <w:vertAlign w:val="superscript"/>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7191B" id="_x0000_t202" coordsize="21600,21600" o:spt="202" path="m,l,21600r21600,l21600,xe">
                <v:stroke joinstyle="miter"/>
                <v:path gradientshapeok="t" o:connecttype="rect"/>
              </v:shapetype>
              <v:shape id="Text Box 232" o:spid="_x0000_s1026" type="#_x0000_t202" style="position:absolute;left:0;text-align:left;margin-left:245.55pt;margin-top:225.75pt;width:41.25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" fillcolor="white [3201]" strokecolor="white [3212]" strokeweight=".5pt">
                <v:textbox>
                  <w:txbxContent>
                    <w:p w14:paraId="17F0B07D" w14:textId="4031FB56" w:rsidR="00C679FA" w:rsidRPr="00D2140E" w:rsidRDefault="00C679FA" w:rsidP="00D2140E">
                      <w:pPr>
                        <w:ind w:firstLine="0"/>
                        <w:jc w:val="left"/>
                        <w:rPr>
                          <w:color w:val="000000" w:themeColor="text1"/>
                          <w:sz w:val="15"/>
                          <w:szCs w:val="15"/>
                        </w:rPr>
                      </w:pPr>
                      <w:r w:rsidRPr="00D2140E">
                        <w:rPr>
                          <w:color w:val="000000" w:themeColor="text1"/>
                          <w:sz w:val="15"/>
                          <w:szCs w:val="15"/>
                        </w:rPr>
                        <w:t>2.5</w:t>
                      </w:r>
                      <w:r w:rsidRPr="00D2140E">
                        <w:rPr>
                          <w:rFonts w:cstheme="minorHAnsi"/>
                          <w:color w:val="000000" w:themeColor="text1"/>
                          <w:sz w:val="15"/>
                          <w:szCs w:val="15"/>
                        </w:rPr>
                        <w:t>×</w:t>
                      </w:r>
                      <w:r w:rsidRPr="00D2140E">
                        <w:rPr>
                          <w:color w:val="000000" w:themeColor="text1"/>
                          <w:sz w:val="15"/>
                          <w:szCs w:val="15"/>
                        </w:rPr>
                        <w:t>10</w:t>
                      </w:r>
                      <w:r w:rsidRPr="00D2140E">
                        <w:rPr>
                          <w:color w:val="000000" w:themeColor="text1"/>
                          <w:sz w:val="15"/>
                          <w:szCs w:val="15"/>
                          <w:vertAlign w:val="superscript"/>
                        </w:rPr>
                        <w:t>5</w:t>
                      </w:r>
                    </w:p>
                  </w:txbxContent>
                </v:textbox>
              </v:shape>
            </w:pict>
          </mc:Fallback>
        </mc:AlternateContent>
      </w:r>
      <w:r>
        <mc:AlternateContent>
          <mc:Choice Requires="wps">
            <w:drawing>
              <wp:anchor distT="0" distB="0" distL="114300" distR="114300" simplePos="0" relativeHeight="251657216" behindDoc="0" locked="0" layoutInCell="1" allowOverlap="1" wp14:anchorId="0E758B76" wp14:editId="003AA302">
                <wp:simplePos x="0" y="0"/>
                <wp:positionH relativeFrom="column">
                  <wp:posOffset>4299585</wp:posOffset>
                </wp:positionH>
                <wp:positionV relativeFrom="paragraph">
                  <wp:posOffset>2876550</wp:posOffset>
                </wp:positionV>
                <wp:extent cx="523875" cy="228600"/>
                <wp:effectExtent l="0" t="0" r="28575" b="19050"/>
                <wp:wrapNone/>
                <wp:docPr id="250" name="Text Box 250"/>
                <wp:cNvGraphicFramePr/>
                <a:graphic xmlns:a="http://schemas.openxmlformats.org/drawingml/2006/main">
                  <a:graphicData uri="http://schemas.microsoft.com/office/word/2010/wordprocessingShape">
                    <wps:wsp>
                      <wps:cNvSpPr txBox="1"/>
                      <wps:spPr>
                        <a:xfrm>
                          <a:off x="0" y="0"/>
                          <a:ext cx="523875" cy="228600"/>
                        </a:xfrm>
                        <a:prstGeom prst="rect">
                          <a:avLst/>
                        </a:prstGeom>
                        <a:solidFill>
                          <a:schemeClr val="lt1"/>
                        </a:solidFill>
                        <a:ln w="6350">
                          <a:solidFill>
                            <a:schemeClr val="bg1"/>
                          </a:solidFill>
                        </a:ln>
                      </wps:spPr>
                      <wps:txbx>
                        <w:txbxContent>
                          <w:p w14:paraId="68027086" w14:textId="5CE5C8C1" w:rsidR="00C679FA" w:rsidRPr="00D2140E" w:rsidRDefault="00C679FA" w:rsidP="00D2140E">
                            <w:pPr>
                              <w:ind w:firstLine="0"/>
                              <w:jc w:val="left"/>
                              <w:rPr>
                                <w:color w:val="000000" w:themeColor="text1"/>
                                <w:sz w:val="15"/>
                                <w:szCs w:val="15"/>
                              </w:rPr>
                            </w:pPr>
                            <w:r>
                              <w:rPr>
                                <w:color w:val="000000" w:themeColor="text1"/>
                                <w:sz w:val="15"/>
                                <w:szCs w:val="15"/>
                              </w:rPr>
                              <w:t>3</w:t>
                            </w:r>
                            <w:r w:rsidRPr="00D2140E">
                              <w:rPr>
                                <w:color w:val="000000" w:themeColor="text1"/>
                                <w:sz w:val="15"/>
                                <w:szCs w:val="15"/>
                              </w:rPr>
                              <w:t>.5</w:t>
                            </w:r>
                            <w:r w:rsidRPr="00D2140E">
                              <w:rPr>
                                <w:rFonts w:cstheme="minorHAnsi"/>
                                <w:color w:val="000000" w:themeColor="text1"/>
                                <w:sz w:val="15"/>
                                <w:szCs w:val="15"/>
                              </w:rPr>
                              <w:t>×</w:t>
                            </w:r>
                            <w:r w:rsidRPr="00D2140E">
                              <w:rPr>
                                <w:color w:val="000000" w:themeColor="text1"/>
                                <w:sz w:val="15"/>
                                <w:szCs w:val="15"/>
                              </w:rPr>
                              <w:t>10</w:t>
                            </w:r>
                            <w:r w:rsidRPr="00D2140E">
                              <w:rPr>
                                <w:color w:val="000000" w:themeColor="text1"/>
                                <w:sz w:val="15"/>
                                <w:szCs w:val="15"/>
                                <w:vertAlign w:val="superscript"/>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58B76" id="Text Box 250" o:spid="_x0000_s1027" type="#_x0000_t202" style="position:absolute;left:0;text-align:left;margin-left:338.55pt;margin-top:226.5pt;width:41.2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" fillcolor="white [3201]" strokecolor="white [3212]" strokeweight=".5pt">
                <v:textbox>
                  <w:txbxContent>
                    <w:p w14:paraId="68027086" w14:textId="5CE5C8C1" w:rsidR="00C679FA" w:rsidRPr="00D2140E" w:rsidRDefault="00C679FA" w:rsidP="00D2140E">
                      <w:pPr>
                        <w:ind w:firstLine="0"/>
                        <w:jc w:val="left"/>
                        <w:rPr>
                          <w:color w:val="000000" w:themeColor="text1"/>
                          <w:sz w:val="15"/>
                          <w:szCs w:val="15"/>
                        </w:rPr>
                      </w:pPr>
                      <w:r>
                        <w:rPr>
                          <w:color w:val="000000" w:themeColor="text1"/>
                          <w:sz w:val="15"/>
                          <w:szCs w:val="15"/>
                        </w:rPr>
                        <w:t>3</w:t>
                      </w:r>
                      <w:r w:rsidRPr="00D2140E">
                        <w:rPr>
                          <w:color w:val="000000" w:themeColor="text1"/>
                          <w:sz w:val="15"/>
                          <w:szCs w:val="15"/>
                        </w:rPr>
                        <w:t>.5</w:t>
                      </w:r>
                      <w:r w:rsidRPr="00D2140E">
                        <w:rPr>
                          <w:rFonts w:cstheme="minorHAnsi"/>
                          <w:color w:val="000000" w:themeColor="text1"/>
                          <w:sz w:val="15"/>
                          <w:szCs w:val="15"/>
                        </w:rPr>
                        <w:t>×</w:t>
                      </w:r>
                      <w:r w:rsidRPr="00D2140E">
                        <w:rPr>
                          <w:color w:val="000000" w:themeColor="text1"/>
                          <w:sz w:val="15"/>
                          <w:szCs w:val="15"/>
                        </w:rPr>
                        <w:t>10</w:t>
                      </w:r>
                      <w:r w:rsidRPr="00D2140E">
                        <w:rPr>
                          <w:color w:val="000000" w:themeColor="text1"/>
                          <w:sz w:val="15"/>
                          <w:szCs w:val="15"/>
                          <w:vertAlign w:val="superscript"/>
                        </w:rPr>
                        <w:t>5</w:t>
                      </w:r>
                    </w:p>
                  </w:txbxContent>
                </v:textbox>
              </v:shape>
            </w:pict>
          </mc:Fallback>
        </mc:AlternateContent>
      </w:r>
      <w:r w:rsidR="00183CBB" w:rsidRPr="005604D6">
        <w:drawing>
          <wp:inline distT="0" distB="0" distL="0" distR="0" wp14:anchorId="24D7C671" wp14:editId="04E4A91B">
            <wp:extent cx="4348271" cy="32918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48271" cy="3291840"/>
                    </a:xfrm>
                    <a:prstGeom prst="rect">
                      <a:avLst/>
                    </a:prstGeom>
                    <a:noFill/>
                    <a:ln>
                      <a:noFill/>
                    </a:ln>
                  </pic:spPr>
                </pic:pic>
              </a:graphicData>
            </a:graphic>
          </wp:inline>
        </w:drawing>
      </w:r>
    </w:p>
    <w:p w14:paraId="7208EC08" w14:textId="526202B7" w:rsidR="00183CBB" w:rsidRPr="00541084" w:rsidRDefault="00183CBB" w:rsidP="00BF3F9B">
      <w:pPr>
        <w:pStyle w:val="Caption"/>
        <w:rPr>
          <w:szCs w:val="22"/>
        </w:rPr>
      </w:pPr>
      <w:bookmarkStart w:id="149" w:name="_Ref438024968"/>
      <w:bookmarkStart w:id="150" w:name="_Toc495144731"/>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8</w:t>
      </w:r>
      <w:r w:rsidR="00280FFF">
        <w:rPr>
          <w:szCs w:val="22"/>
        </w:rPr>
        <w:fldChar w:fldCharType="end"/>
      </w:r>
      <w:bookmarkEnd w:id="149"/>
      <w:r w:rsidRPr="00541084">
        <w:rPr>
          <w:szCs w:val="22"/>
        </w:rPr>
        <w:t>. Partitioning tracer production data in gas. Solid lines are simulation output. The dashed lines are the extrapolation based on the first linear section.</w:t>
      </w:r>
      <w:r w:rsidR="00D2140E">
        <w:rPr>
          <w:szCs w:val="22"/>
        </w:rPr>
        <w:t xml:space="preserve"> </w:t>
      </w:r>
      <w:r w:rsidR="00C519C3">
        <w:rPr>
          <w:szCs w:val="22"/>
        </w:rPr>
        <w:t>x axis is normal</w:t>
      </w:r>
      <w:r w:rsidR="00D2140E">
        <w:rPr>
          <w:szCs w:val="22"/>
        </w:rPr>
        <w:t xml:space="preserve"> scale and y axis is in log scale</w:t>
      </w:r>
      <w:r w:rsidR="00C519C3">
        <w:rPr>
          <w:szCs w:val="22"/>
        </w:rPr>
        <w:t>.</w:t>
      </w:r>
      <w:bookmarkEnd w:id="150"/>
    </w:p>
    <w:p w14:paraId="5B53DB40" w14:textId="77777777" w:rsidR="00183CBB" w:rsidRDefault="00183CBB" w:rsidP="00183CBB"/>
    <w:p w14:paraId="3B0F1944" w14:textId="77777777" w:rsidR="00183CBB" w:rsidRPr="00541084" w:rsidRDefault="00183CBB" w:rsidP="00BF3F9B">
      <w:pPr>
        <w:pStyle w:val="Caption"/>
        <w:rPr>
          <w:szCs w:val="22"/>
        </w:rPr>
      </w:pPr>
    </w:p>
    <w:p w14:paraId="4D491893" w14:textId="77777777" w:rsidR="00183CBB" w:rsidRDefault="00183CBB" w:rsidP="006E2F7E">
      <w:pPr>
        <w:pStyle w:val="TableNormal1"/>
      </w:pPr>
      <w:r w:rsidRPr="00003179">
        <w:drawing>
          <wp:inline distT="0" distB="0" distL="0" distR="0" wp14:anchorId="5338324C" wp14:editId="2DEE5E02">
            <wp:extent cx="4396199" cy="3291840"/>
            <wp:effectExtent l="0" t="0" r="444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96199" cy="3291840"/>
                    </a:xfrm>
                    <a:prstGeom prst="rect">
                      <a:avLst/>
                    </a:prstGeom>
                    <a:noFill/>
                    <a:ln>
                      <a:noFill/>
                    </a:ln>
                  </pic:spPr>
                </pic:pic>
              </a:graphicData>
            </a:graphic>
          </wp:inline>
        </w:drawing>
      </w:r>
    </w:p>
    <w:p w14:paraId="08409533" w14:textId="23BE7598" w:rsidR="00183CBB" w:rsidRPr="00541084" w:rsidRDefault="00183CBB" w:rsidP="00BF3F9B">
      <w:pPr>
        <w:pStyle w:val="Caption"/>
        <w:rPr>
          <w:szCs w:val="22"/>
        </w:rPr>
      </w:pPr>
      <w:bookmarkStart w:id="151" w:name="_Ref438025797"/>
      <w:bookmarkStart w:id="152" w:name="_Ref438025790"/>
      <w:bookmarkStart w:id="153" w:name="_Toc495144732"/>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9</w:t>
      </w:r>
      <w:r w:rsidR="00280FFF">
        <w:rPr>
          <w:szCs w:val="22"/>
        </w:rPr>
        <w:fldChar w:fldCharType="end"/>
      </w:r>
      <w:bookmarkEnd w:id="151"/>
      <w:r w:rsidRPr="00541084">
        <w:rPr>
          <w:szCs w:val="22"/>
        </w:rPr>
        <w:t>. The volume contacted with tracer at the end of shut in. R=200000.</w:t>
      </w:r>
      <w:bookmarkEnd w:id="152"/>
      <w:bookmarkEnd w:id="153"/>
    </w:p>
    <w:p w14:paraId="30A8782E" w14:textId="77777777" w:rsidR="00183CBB" w:rsidRDefault="00183CBB" w:rsidP="006E2F7E">
      <w:pPr>
        <w:pStyle w:val="TableNormal1"/>
      </w:pPr>
      <w:r w:rsidRPr="005A486B">
        <w:lastRenderedPageBreak/>
        <w:drawing>
          <wp:inline distT="0" distB="0" distL="0" distR="0" wp14:anchorId="2C9948BF" wp14:editId="0F888EF2">
            <wp:extent cx="4396199" cy="3291840"/>
            <wp:effectExtent l="0" t="0" r="444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96199" cy="3291840"/>
                    </a:xfrm>
                    <a:prstGeom prst="rect">
                      <a:avLst/>
                    </a:prstGeom>
                    <a:noFill/>
                    <a:ln>
                      <a:noFill/>
                    </a:ln>
                  </pic:spPr>
                </pic:pic>
              </a:graphicData>
            </a:graphic>
          </wp:inline>
        </w:drawing>
      </w:r>
    </w:p>
    <w:p w14:paraId="4A174E75" w14:textId="5C1678BD" w:rsidR="00183CBB" w:rsidRPr="00541084" w:rsidRDefault="00183CBB" w:rsidP="00BF3F9B">
      <w:pPr>
        <w:pStyle w:val="Caption"/>
        <w:rPr>
          <w:szCs w:val="22"/>
        </w:rPr>
      </w:pPr>
      <w:bookmarkStart w:id="154" w:name="_Toc495144733"/>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10</w:t>
      </w:r>
      <w:r w:rsidR="00280FFF">
        <w:rPr>
          <w:szCs w:val="22"/>
        </w:rPr>
        <w:fldChar w:fldCharType="end"/>
      </w:r>
      <w:r w:rsidRPr="00541084">
        <w:rPr>
          <w:szCs w:val="22"/>
        </w:rPr>
        <w:t>. The volume contacted with tracer at the end of shut in. R=20000.</w:t>
      </w:r>
      <w:bookmarkEnd w:id="154"/>
    </w:p>
    <w:p w14:paraId="7B29BEDC" w14:textId="77777777" w:rsidR="00183CBB" w:rsidRDefault="00183CBB" w:rsidP="006E2F7E">
      <w:pPr>
        <w:pStyle w:val="TableNormal1"/>
      </w:pPr>
      <w:r w:rsidRPr="005A486B">
        <w:drawing>
          <wp:inline distT="0" distB="0" distL="0" distR="0" wp14:anchorId="04E09F4D" wp14:editId="384C0818">
            <wp:extent cx="4396199" cy="3291840"/>
            <wp:effectExtent l="0" t="0" r="444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96199" cy="3291840"/>
                    </a:xfrm>
                    <a:prstGeom prst="rect">
                      <a:avLst/>
                    </a:prstGeom>
                    <a:noFill/>
                    <a:ln>
                      <a:noFill/>
                    </a:ln>
                  </pic:spPr>
                </pic:pic>
              </a:graphicData>
            </a:graphic>
          </wp:inline>
        </w:drawing>
      </w:r>
    </w:p>
    <w:p w14:paraId="0B8BEE65" w14:textId="2B09851C" w:rsidR="00183CBB" w:rsidRPr="00541084" w:rsidRDefault="00183CBB" w:rsidP="00BF3F9B">
      <w:pPr>
        <w:pStyle w:val="Caption"/>
        <w:rPr>
          <w:szCs w:val="22"/>
        </w:rPr>
      </w:pPr>
      <w:bookmarkStart w:id="155" w:name="_Ref438025816"/>
      <w:bookmarkStart w:id="156" w:name="_Toc495144734"/>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11</w:t>
      </w:r>
      <w:r w:rsidR="00280FFF">
        <w:rPr>
          <w:szCs w:val="22"/>
        </w:rPr>
        <w:fldChar w:fldCharType="end"/>
      </w:r>
      <w:bookmarkEnd w:id="155"/>
      <w:r w:rsidRPr="00541084">
        <w:rPr>
          <w:szCs w:val="22"/>
        </w:rPr>
        <w:t>. The volume contacted with tracer at the end of shut in. R=2000.</w:t>
      </w:r>
      <w:bookmarkEnd w:id="156"/>
    </w:p>
    <w:p w14:paraId="12453E89" w14:textId="77777777" w:rsidR="00183CBB" w:rsidRPr="00183CBB" w:rsidRDefault="00183CBB" w:rsidP="00183CBB"/>
    <w:p w14:paraId="057CB6D6" w14:textId="77777777" w:rsidR="00D00B44" w:rsidRPr="00D00B44" w:rsidRDefault="00D00B44" w:rsidP="00D00B44"/>
    <w:p w14:paraId="1C7ED18A" w14:textId="77777777" w:rsidR="00792BBD" w:rsidRPr="00792BBD" w:rsidRDefault="00792BBD" w:rsidP="00792BBD"/>
    <w:p w14:paraId="48394B89" w14:textId="77777777" w:rsidR="00567D0C" w:rsidRDefault="00567D0C" w:rsidP="00567D0C">
      <w:pPr>
        <w:pStyle w:val="Heading3"/>
      </w:pPr>
      <w:bookmarkStart w:id="157" w:name="_Toc494014218"/>
      <w:r>
        <w:lastRenderedPageBreak/>
        <w:t>Impact of Partition Coefficient (K)</w:t>
      </w:r>
      <w:bookmarkEnd w:id="157"/>
    </w:p>
    <w:p w14:paraId="5913ADA5" w14:textId="57BDA057" w:rsidR="00567D0C" w:rsidRPr="00B92860" w:rsidRDefault="00567D0C" w:rsidP="00567D0C">
      <w:r>
        <w:t xml:space="preserve">Three different partition coefficients were used to investigate the tracer partitioning effect and the results are </w:t>
      </w:r>
      <w:r w:rsidRPr="00567D0C">
        <w:t xml:space="preserve">shown in </w:t>
      </w:r>
      <w:r w:rsidRPr="00567D0C">
        <w:fldChar w:fldCharType="begin"/>
      </w:r>
      <w:r w:rsidRPr="00567D0C">
        <w:instrText xml:space="preserve"> REF _Ref491963690 \h  \* MERGEFORMAT </w:instrText>
      </w:r>
      <w:r w:rsidRPr="00567D0C">
        <w:fldChar w:fldCharType="separate"/>
      </w:r>
      <w:r w:rsidR="00280FFF" w:rsidRPr="00280FFF">
        <w:t xml:space="preserve">Table </w:t>
      </w:r>
      <w:r w:rsidR="00280FFF" w:rsidRPr="00280FFF">
        <w:rPr>
          <w:noProof/>
        </w:rPr>
        <w:t>3</w:t>
      </w:r>
      <w:r w:rsidR="00280FFF" w:rsidRPr="00280FFF">
        <w:rPr>
          <w:noProof/>
        </w:rPr>
        <w:noBreakHyphen/>
        <w:t>5</w:t>
      </w:r>
      <w:r w:rsidRPr="00567D0C">
        <w:fldChar w:fldCharType="end"/>
      </w:r>
      <w:r>
        <w:t xml:space="preserve">. </w:t>
      </w:r>
      <w:r w:rsidR="0081183F">
        <w:rPr>
          <w:rFonts w:hint="eastAsia"/>
          <w:lang w:eastAsia="zh-CN"/>
        </w:rPr>
        <w:t>The</w:t>
      </w:r>
      <w:r w:rsidR="0081183F">
        <w:t xml:space="preserve"> matrix permeability is 50</w:t>
      </w:r>
      <w:r w:rsidR="00A80041">
        <w:t xml:space="preserve"> </w:t>
      </w:r>
      <w:r w:rsidR="0081183F">
        <w:t xml:space="preserve">nd and other parameters are kept same with the previous section. </w:t>
      </w:r>
      <w:r>
        <w:t xml:space="preserve">The adsorption was not included in the simulations. The solid line in </w:t>
      </w:r>
      <w:r>
        <w:fldChar w:fldCharType="begin"/>
      </w:r>
      <w:r>
        <w:instrText xml:space="preserve"> REF _Ref491963790 \h </w:instrText>
      </w:r>
      <w:r>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12</w:t>
      </w:r>
      <w:r>
        <w:fldChar w:fldCharType="end"/>
      </w:r>
      <w:r>
        <w:t xml:space="preserve"> is tracer production data in the vapor phase on a semi-log plot. Tracer</w:t>
      </w:r>
      <w:r w:rsidRPr="00B92860">
        <w:t xml:space="preserve"> production in water has the similar shape. </w:t>
      </w:r>
      <w:r>
        <w:t>T</w:t>
      </w:r>
      <w:r w:rsidRPr="00B92860">
        <w:t xml:space="preserve">he </w:t>
      </w:r>
      <w:r w:rsidRPr="00C6592F">
        <w:t xml:space="preserve">‘Total Swept Volume’ </w:t>
      </w:r>
      <w:r w:rsidRPr="00B92860">
        <w:t>in</w:t>
      </w:r>
      <w:r>
        <w:t xml:space="preserve"> </w:t>
      </w:r>
      <w:r w:rsidRPr="00567D0C">
        <w:fldChar w:fldCharType="begin"/>
      </w:r>
      <w:r w:rsidRPr="00567D0C">
        <w:instrText xml:space="preserve"> REF _Ref491963690 \h  \* MERGEFORMAT </w:instrText>
      </w:r>
      <w:r w:rsidRPr="00567D0C">
        <w:fldChar w:fldCharType="separate"/>
      </w:r>
      <w:r w:rsidR="00280FFF" w:rsidRPr="00280FFF">
        <w:t xml:space="preserve">Table </w:t>
      </w:r>
      <w:r w:rsidR="00280FFF" w:rsidRPr="00280FFF">
        <w:rPr>
          <w:noProof/>
        </w:rPr>
        <w:t>3</w:t>
      </w:r>
      <w:r w:rsidR="00280FFF" w:rsidRPr="00280FFF">
        <w:rPr>
          <w:noProof/>
        </w:rPr>
        <w:noBreakHyphen/>
        <w:t>5</w:t>
      </w:r>
      <w:r w:rsidRPr="00567D0C">
        <w:fldChar w:fldCharType="end"/>
      </w:r>
      <w:r>
        <w:t xml:space="preserve"> is obtained </w:t>
      </w:r>
      <w:r w:rsidRPr="00B92860">
        <w:t>using MoM</w:t>
      </w:r>
      <w:r>
        <w:t xml:space="preserve"> according to</w:t>
      </w:r>
      <w:r w:rsidRPr="00B92860">
        <w:t xml:space="preserve"> the direct output from simulation</w:t>
      </w:r>
      <w:r>
        <w:t xml:space="preserve">. </w:t>
      </w:r>
      <w:r>
        <w:fldChar w:fldCharType="begin"/>
      </w:r>
      <w:r>
        <w:instrText xml:space="preserve"> REF _Ref491963813 \h </w:instrText>
      </w:r>
      <w:r>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13</w:t>
      </w:r>
      <w:r>
        <w:fldChar w:fldCharType="end"/>
      </w:r>
      <w:r>
        <w:t xml:space="preserve"> to </w:t>
      </w:r>
      <w:r>
        <w:fldChar w:fldCharType="begin"/>
      </w:r>
      <w:r>
        <w:instrText xml:space="preserve"> REF _Ref453748603 \h </w:instrText>
      </w:r>
      <w:r>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15</w:t>
      </w:r>
      <w:r>
        <w:fldChar w:fldCharType="end"/>
      </w:r>
      <w:r>
        <w:t xml:space="preserve"> </w:t>
      </w:r>
      <w:r w:rsidRPr="00B92860">
        <w:t xml:space="preserve">shows the </w:t>
      </w:r>
      <w:r>
        <w:t>tracer distribution profiles</w:t>
      </w:r>
      <w:r w:rsidRPr="00B92860">
        <w:t xml:space="preserve"> at the end of shut in period.</w:t>
      </w:r>
      <w:r>
        <w:t xml:space="preserve"> They are depicted on cross-sections in y direction. The decrease of x number indicates the deeper location into the matrix away from hydraulic fracture.</w:t>
      </w:r>
      <w:r w:rsidRPr="00B92860">
        <w:t xml:space="preserve"> We use</w:t>
      </w:r>
      <w:r>
        <w:t>d</w:t>
      </w:r>
      <w:r w:rsidRPr="00B92860">
        <w:t xml:space="preserve"> these graphs to compute the tracer contacted volume in hydraulic fracture and in entire system respectively (</w:t>
      </w:r>
      <w:r>
        <w:t xml:space="preserve">i.e. ‘Contacted Fracture Volume’ and ‘Total Contacted Volume’ in </w:t>
      </w:r>
      <w:r w:rsidRPr="00567D0C">
        <w:fldChar w:fldCharType="begin"/>
      </w:r>
      <w:r w:rsidRPr="00567D0C">
        <w:instrText xml:space="preserve"> REF _Ref491963690 \h  \* MERGEFORMAT </w:instrText>
      </w:r>
      <w:r w:rsidRPr="00567D0C">
        <w:fldChar w:fldCharType="separate"/>
      </w:r>
      <w:r w:rsidR="00280FFF" w:rsidRPr="00280FFF">
        <w:t xml:space="preserve">Table </w:t>
      </w:r>
      <w:r w:rsidR="00280FFF" w:rsidRPr="00280FFF">
        <w:rPr>
          <w:noProof/>
        </w:rPr>
        <w:t>3</w:t>
      </w:r>
      <w:r w:rsidR="00280FFF" w:rsidRPr="00280FFF">
        <w:rPr>
          <w:noProof/>
        </w:rPr>
        <w:noBreakHyphen/>
        <w:t>5</w:t>
      </w:r>
      <w:r w:rsidRPr="00567D0C">
        <w:fldChar w:fldCharType="end"/>
      </w:r>
      <w:r>
        <w:t xml:space="preserve"> respectively</w:t>
      </w:r>
      <w:r w:rsidRPr="00B92860">
        <w:t xml:space="preserve">). In </w:t>
      </w:r>
      <w:r>
        <w:fldChar w:fldCharType="begin"/>
      </w:r>
      <w:r>
        <w:instrText xml:space="preserve"> REF _Ref491963813 \h </w:instrText>
      </w:r>
      <w:r>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13</w:t>
      </w:r>
      <w:r>
        <w:fldChar w:fldCharType="end"/>
      </w:r>
      <w:r>
        <w:t xml:space="preserve"> to </w:t>
      </w:r>
      <w:r>
        <w:fldChar w:fldCharType="begin"/>
      </w:r>
      <w:r>
        <w:instrText xml:space="preserve"> REF _Ref453748603 \h </w:instrText>
      </w:r>
      <w:r>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15</w:t>
      </w:r>
      <w:r>
        <w:fldChar w:fldCharType="end"/>
      </w:r>
      <w:r w:rsidRPr="00B92860">
        <w:t xml:space="preserve">, columns of </w:t>
      </w:r>
      <w:r>
        <w:t>x=18</w:t>
      </w:r>
      <w:r w:rsidRPr="00B92860">
        <w:t xml:space="preserve"> indicate the hydraulic fracture. </w:t>
      </w:r>
      <w:r>
        <w:t xml:space="preserve">The ‘Corrected Swept Volume’ in </w:t>
      </w:r>
      <w:r w:rsidRPr="00567D0C">
        <w:fldChar w:fldCharType="begin"/>
      </w:r>
      <w:r w:rsidRPr="00567D0C">
        <w:instrText xml:space="preserve"> REF _Ref491963690 \h  \* MERGEFORMAT </w:instrText>
      </w:r>
      <w:r w:rsidRPr="00567D0C">
        <w:fldChar w:fldCharType="separate"/>
      </w:r>
      <w:r w:rsidR="00280FFF" w:rsidRPr="00280FFF">
        <w:t xml:space="preserve">Table </w:t>
      </w:r>
      <w:r w:rsidR="00280FFF" w:rsidRPr="00280FFF">
        <w:rPr>
          <w:noProof/>
        </w:rPr>
        <w:t>3</w:t>
      </w:r>
      <w:r w:rsidR="00280FFF" w:rsidRPr="00280FFF">
        <w:rPr>
          <w:noProof/>
        </w:rPr>
        <w:noBreakHyphen/>
        <w:t>5</w:t>
      </w:r>
      <w:r w:rsidRPr="00567D0C">
        <w:fldChar w:fldCharType="end"/>
      </w:r>
      <w:r>
        <w:t xml:space="preserve"> was obtained through the dashed line in in </w:t>
      </w:r>
      <w:r>
        <w:fldChar w:fldCharType="begin"/>
      </w:r>
      <w:r>
        <w:instrText xml:space="preserve"> REF _Ref491963790 \h </w:instrText>
      </w:r>
      <w:r>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12</w:t>
      </w:r>
      <w:r>
        <w:fldChar w:fldCharType="end"/>
      </w:r>
      <w:r>
        <w:t>, which was the extrapolation of first section using exponential decline law.</w:t>
      </w:r>
    </w:p>
    <w:p w14:paraId="62F97BD7" w14:textId="77777777" w:rsidR="00567D0C" w:rsidRDefault="00567D0C" w:rsidP="00567D0C">
      <w:pPr>
        <w:pStyle w:val="para"/>
      </w:pPr>
    </w:p>
    <w:p w14:paraId="1810CC56" w14:textId="77777777" w:rsidR="00567D0C" w:rsidRDefault="00567D0C" w:rsidP="00567D0C">
      <w:pPr>
        <w:rPr>
          <w:lang w:bidi="ar-SA"/>
        </w:rPr>
      </w:pPr>
    </w:p>
    <w:p w14:paraId="577BC1ED" w14:textId="77777777" w:rsidR="00567D0C" w:rsidRDefault="00567D0C" w:rsidP="00567D0C">
      <w:pPr>
        <w:rPr>
          <w:lang w:bidi="ar-SA"/>
        </w:rPr>
      </w:pPr>
    </w:p>
    <w:p w14:paraId="41CB9443" w14:textId="77777777" w:rsidR="00567D0C" w:rsidRDefault="00567D0C" w:rsidP="00567D0C">
      <w:pPr>
        <w:rPr>
          <w:lang w:bidi="ar-SA"/>
        </w:rPr>
      </w:pPr>
    </w:p>
    <w:p w14:paraId="3A03AF26" w14:textId="77777777" w:rsidR="00567D0C" w:rsidRDefault="00567D0C" w:rsidP="00567D0C">
      <w:pPr>
        <w:rPr>
          <w:lang w:bidi="ar-SA"/>
        </w:rPr>
      </w:pPr>
    </w:p>
    <w:p w14:paraId="3A63125B" w14:textId="77777777" w:rsidR="00567D0C" w:rsidRDefault="00567D0C" w:rsidP="00567D0C">
      <w:pPr>
        <w:rPr>
          <w:lang w:bidi="ar-SA"/>
        </w:rPr>
      </w:pPr>
    </w:p>
    <w:p w14:paraId="05C406D4" w14:textId="77777777" w:rsidR="00567D0C" w:rsidRDefault="00567D0C" w:rsidP="00567D0C">
      <w:pPr>
        <w:rPr>
          <w:lang w:bidi="ar-SA"/>
        </w:rPr>
      </w:pPr>
    </w:p>
    <w:p w14:paraId="4C46975B" w14:textId="77777777" w:rsidR="00567D0C" w:rsidRDefault="00567D0C" w:rsidP="00567D0C">
      <w:pPr>
        <w:rPr>
          <w:lang w:bidi="ar-SA"/>
        </w:rPr>
      </w:pPr>
    </w:p>
    <w:p w14:paraId="4B295B92" w14:textId="77777777" w:rsidR="00567D0C" w:rsidRDefault="00567D0C" w:rsidP="00567D0C">
      <w:pPr>
        <w:rPr>
          <w:lang w:bidi="ar-SA"/>
        </w:rPr>
      </w:pPr>
    </w:p>
    <w:tbl>
      <w:tblPr>
        <w:tblStyle w:val="TableGrid"/>
        <w:tblW w:w="8496" w:type="dxa"/>
        <w:jc w:val="center"/>
        <w:tblLook w:val="04A0" w:firstRow="1" w:lastRow="0" w:firstColumn="1" w:lastColumn="0" w:noHBand="0" w:noVBand="1"/>
      </w:tblPr>
      <w:tblGrid>
        <w:gridCol w:w="3595"/>
        <w:gridCol w:w="1633"/>
        <w:gridCol w:w="1634"/>
        <w:gridCol w:w="1634"/>
      </w:tblGrid>
      <w:tr w:rsidR="00567D0C" w:rsidRPr="00721CAE" w14:paraId="0D43A31B" w14:textId="77777777" w:rsidTr="00567D0C">
        <w:trPr>
          <w:jc w:val="center"/>
        </w:trPr>
        <w:tc>
          <w:tcPr>
            <w:tcW w:w="8496" w:type="dxa"/>
            <w:gridSpan w:val="4"/>
            <w:tcBorders>
              <w:top w:val="single" w:sz="4" w:space="0" w:color="auto"/>
            </w:tcBorders>
            <w:vAlign w:val="center"/>
          </w:tcPr>
          <w:p w14:paraId="0CAABDE5" w14:textId="62FEE5C0" w:rsidR="00567D0C" w:rsidRPr="00541084" w:rsidRDefault="00567D0C" w:rsidP="00BF3F9B">
            <w:pPr>
              <w:pStyle w:val="Caption"/>
              <w:rPr>
                <w:szCs w:val="22"/>
              </w:rPr>
            </w:pPr>
            <w:bookmarkStart w:id="158" w:name="_Ref491963690"/>
            <w:bookmarkStart w:id="159" w:name="_Toc494014265"/>
            <w:r w:rsidRPr="00541084">
              <w:rPr>
                <w:szCs w:val="22"/>
              </w:rPr>
              <w:t xml:space="preserve">Table </w:t>
            </w:r>
            <w:r w:rsidR="00A63F01" w:rsidRPr="00541084">
              <w:rPr>
                <w:szCs w:val="22"/>
              </w:rPr>
              <w:fldChar w:fldCharType="begin"/>
            </w:r>
            <w:r w:rsidR="00A63F01" w:rsidRPr="00541084">
              <w:rPr>
                <w:szCs w:val="22"/>
              </w:rPr>
              <w:instrText xml:space="preserve"> STYLEREF 1 \s </w:instrText>
            </w:r>
            <w:r w:rsidR="00A63F01" w:rsidRPr="00541084">
              <w:rPr>
                <w:szCs w:val="22"/>
              </w:rPr>
              <w:fldChar w:fldCharType="separate"/>
            </w:r>
            <w:r w:rsidR="00280FFF">
              <w:rPr>
                <w:noProof/>
                <w:szCs w:val="22"/>
              </w:rPr>
              <w:t>3</w:t>
            </w:r>
            <w:r w:rsidR="00A63F01" w:rsidRPr="00541084">
              <w:rPr>
                <w:noProof/>
                <w:szCs w:val="22"/>
              </w:rPr>
              <w:fldChar w:fldCharType="end"/>
            </w:r>
            <w:r w:rsidR="00A67B82" w:rsidRPr="00541084">
              <w:rPr>
                <w:szCs w:val="22"/>
              </w:rPr>
              <w:noBreakHyphen/>
            </w:r>
            <w:r w:rsidR="00A63F01" w:rsidRPr="00541084">
              <w:rPr>
                <w:szCs w:val="22"/>
              </w:rPr>
              <w:fldChar w:fldCharType="begin"/>
            </w:r>
            <w:r w:rsidR="00A63F01" w:rsidRPr="00541084">
              <w:rPr>
                <w:szCs w:val="22"/>
              </w:rPr>
              <w:instrText xml:space="preserve"> SEQ Table \* ARABIC \s 1 </w:instrText>
            </w:r>
            <w:r w:rsidR="00A63F01" w:rsidRPr="00541084">
              <w:rPr>
                <w:szCs w:val="22"/>
              </w:rPr>
              <w:fldChar w:fldCharType="separate"/>
            </w:r>
            <w:r w:rsidR="00280FFF">
              <w:rPr>
                <w:noProof/>
                <w:szCs w:val="22"/>
              </w:rPr>
              <w:t>5</w:t>
            </w:r>
            <w:r w:rsidR="00A63F01" w:rsidRPr="00541084">
              <w:rPr>
                <w:noProof/>
                <w:szCs w:val="22"/>
              </w:rPr>
              <w:fldChar w:fldCharType="end"/>
            </w:r>
            <w:bookmarkEnd w:id="158"/>
            <w:r w:rsidRPr="00541084">
              <w:rPr>
                <w:szCs w:val="22"/>
              </w:rPr>
              <w:t>. Comparison of Swept Volume with Different Partition Coefficient</w:t>
            </w:r>
            <w:bookmarkEnd w:id="159"/>
          </w:p>
        </w:tc>
      </w:tr>
      <w:tr w:rsidR="00567D0C" w:rsidRPr="00721CAE" w14:paraId="6D747681" w14:textId="77777777" w:rsidTr="00567D0C">
        <w:trPr>
          <w:jc w:val="center"/>
        </w:trPr>
        <w:tc>
          <w:tcPr>
            <w:tcW w:w="3595" w:type="dxa"/>
            <w:tcBorders>
              <w:top w:val="single" w:sz="4" w:space="0" w:color="auto"/>
            </w:tcBorders>
            <w:vAlign w:val="center"/>
          </w:tcPr>
          <w:p w14:paraId="76D4FD06" w14:textId="77777777" w:rsidR="00567D0C" w:rsidRPr="00567D0C" w:rsidRDefault="00567D0C" w:rsidP="00567D0C">
            <w:pPr>
              <w:pStyle w:val="TableNormal1"/>
              <w:rPr>
                <w:rFonts w:cs="Arial"/>
                <w:b/>
                <w:color w:val="000000" w:themeColor="text1"/>
              </w:rPr>
            </w:pPr>
            <w:r w:rsidRPr="00567D0C">
              <w:rPr>
                <w:b/>
              </w:rPr>
              <w:t>Partition Coefficient</w:t>
            </w:r>
            <w:r w:rsidRPr="00567D0C">
              <w:rPr>
                <w:rFonts w:cs="Arial"/>
                <w:b/>
                <w:color w:val="000000" w:themeColor="text1"/>
              </w:rPr>
              <w:t>, fraction</w:t>
            </w:r>
          </w:p>
        </w:tc>
        <w:tc>
          <w:tcPr>
            <w:tcW w:w="1633" w:type="dxa"/>
            <w:tcBorders>
              <w:top w:val="single" w:sz="4" w:space="0" w:color="auto"/>
            </w:tcBorders>
            <w:vAlign w:val="center"/>
          </w:tcPr>
          <w:p w14:paraId="63FBD48D" w14:textId="77777777" w:rsidR="00567D0C" w:rsidRPr="00721CAE" w:rsidRDefault="00567D0C" w:rsidP="00567D0C">
            <w:pPr>
              <w:pStyle w:val="TableNormal1"/>
              <w:rPr>
                <w:rFonts w:cs="Arial"/>
                <w:color w:val="000000" w:themeColor="text1"/>
              </w:rPr>
            </w:pPr>
            <w:r>
              <w:rPr>
                <w:rFonts w:cs="Arial"/>
                <w:color w:val="000000" w:themeColor="text1"/>
              </w:rPr>
              <w:t>2.5</w:t>
            </w:r>
          </w:p>
        </w:tc>
        <w:tc>
          <w:tcPr>
            <w:tcW w:w="1634" w:type="dxa"/>
            <w:tcBorders>
              <w:top w:val="single" w:sz="4" w:space="0" w:color="auto"/>
            </w:tcBorders>
            <w:vAlign w:val="center"/>
          </w:tcPr>
          <w:p w14:paraId="4F160B59" w14:textId="77777777" w:rsidR="00567D0C" w:rsidRPr="00721CAE" w:rsidRDefault="00567D0C" w:rsidP="00567D0C">
            <w:pPr>
              <w:pStyle w:val="TableNormal1"/>
              <w:rPr>
                <w:rFonts w:cs="Arial"/>
                <w:color w:val="000000" w:themeColor="text1"/>
              </w:rPr>
            </w:pPr>
            <w:r>
              <w:rPr>
                <w:rFonts w:cs="Arial"/>
                <w:color w:val="000000" w:themeColor="text1"/>
              </w:rPr>
              <w:t>25</w:t>
            </w:r>
          </w:p>
        </w:tc>
        <w:tc>
          <w:tcPr>
            <w:tcW w:w="1634" w:type="dxa"/>
            <w:tcBorders>
              <w:top w:val="single" w:sz="4" w:space="0" w:color="auto"/>
            </w:tcBorders>
            <w:vAlign w:val="center"/>
          </w:tcPr>
          <w:p w14:paraId="1BBE4547" w14:textId="77777777" w:rsidR="00567D0C" w:rsidRPr="00721CAE" w:rsidRDefault="00567D0C" w:rsidP="00567D0C">
            <w:pPr>
              <w:pStyle w:val="TableNormal1"/>
              <w:rPr>
                <w:rFonts w:cs="Arial"/>
                <w:color w:val="000000" w:themeColor="text1"/>
              </w:rPr>
            </w:pPr>
            <w:r>
              <w:rPr>
                <w:rFonts w:cs="Arial"/>
                <w:color w:val="000000" w:themeColor="text1"/>
              </w:rPr>
              <w:t>250</w:t>
            </w:r>
          </w:p>
        </w:tc>
      </w:tr>
      <w:tr w:rsidR="00567D0C" w:rsidRPr="00721CAE" w14:paraId="4E7ED11B" w14:textId="77777777" w:rsidTr="00567D0C">
        <w:trPr>
          <w:jc w:val="center"/>
        </w:trPr>
        <w:tc>
          <w:tcPr>
            <w:tcW w:w="3595" w:type="dxa"/>
            <w:vAlign w:val="center"/>
          </w:tcPr>
          <w:p w14:paraId="27F3182B" w14:textId="77777777" w:rsidR="00567D0C" w:rsidRPr="00567D0C" w:rsidRDefault="00567D0C" w:rsidP="00567D0C">
            <w:pPr>
              <w:pStyle w:val="TableNormal1"/>
              <w:rPr>
                <w:rFonts w:cs="Arial"/>
                <w:b/>
                <w:color w:val="000000" w:themeColor="text1"/>
              </w:rPr>
            </w:pPr>
            <w:r w:rsidRPr="00567D0C">
              <w:rPr>
                <w:rFonts w:cs="Arial"/>
                <w:b/>
                <w:color w:val="000000" w:themeColor="text1"/>
              </w:rPr>
              <w:t>Total Swept Volume, ft</w:t>
            </w:r>
            <w:r w:rsidRPr="00567D0C">
              <w:rPr>
                <w:rFonts w:cs="Arial"/>
                <w:b/>
                <w:color w:val="000000" w:themeColor="text1"/>
                <w:vertAlign w:val="superscript"/>
              </w:rPr>
              <w:t>3</w:t>
            </w:r>
          </w:p>
        </w:tc>
        <w:tc>
          <w:tcPr>
            <w:tcW w:w="1633" w:type="dxa"/>
            <w:vAlign w:val="center"/>
          </w:tcPr>
          <w:p w14:paraId="33F2F347" w14:textId="77777777" w:rsidR="00567D0C" w:rsidRPr="00721CAE" w:rsidRDefault="00567D0C" w:rsidP="00567D0C">
            <w:pPr>
              <w:pStyle w:val="TableNormal1"/>
              <w:rPr>
                <w:rFonts w:cs="Arial"/>
                <w:color w:val="000000" w:themeColor="text1"/>
              </w:rPr>
            </w:pPr>
            <w:r>
              <w:rPr>
                <w:rFonts w:cs="Arial"/>
                <w:color w:val="000000" w:themeColor="text1"/>
              </w:rPr>
              <w:t>3565</w:t>
            </w:r>
          </w:p>
        </w:tc>
        <w:tc>
          <w:tcPr>
            <w:tcW w:w="1634" w:type="dxa"/>
            <w:vAlign w:val="center"/>
          </w:tcPr>
          <w:p w14:paraId="0A6BB37A" w14:textId="77777777" w:rsidR="00567D0C" w:rsidRPr="00721CAE" w:rsidRDefault="00567D0C" w:rsidP="00567D0C">
            <w:pPr>
              <w:pStyle w:val="TableNormal1"/>
              <w:rPr>
                <w:rFonts w:cs="Arial"/>
                <w:color w:val="000000" w:themeColor="text1"/>
              </w:rPr>
            </w:pPr>
            <w:r>
              <w:rPr>
                <w:rFonts w:cs="Arial"/>
                <w:color w:val="000000" w:themeColor="text1"/>
              </w:rPr>
              <w:t>1358</w:t>
            </w:r>
          </w:p>
        </w:tc>
        <w:tc>
          <w:tcPr>
            <w:tcW w:w="1634" w:type="dxa"/>
            <w:vAlign w:val="center"/>
          </w:tcPr>
          <w:p w14:paraId="60D10A23" w14:textId="77777777" w:rsidR="00567D0C" w:rsidRPr="00721CAE" w:rsidRDefault="00567D0C" w:rsidP="00567D0C">
            <w:pPr>
              <w:pStyle w:val="TableNormal1"/>
              <w:rPr>
                <w:rFonts w:cs="Arial"/>
                <w:color w:val="000000" w:themeColor="text1"/>
              </w:rPr>
            </w:pPr>
            <w:r>
              <w:rPr>
                <w:rFonts w:cs="Arial"/>
                <w:color w:val="000000" w:themeColor="text1"/>
              </w:rPr>
              <w:t>398</w:t>
            </w:r>
          </w:p>
        </w:tc>
      </w:tr>
      <w:tr w:rsidR="00567D0C" w:rsidRPr="00721CAE" w14:paraId="70FC7115" w14:textId="77777777" w:rsidTr="00567D0C">
        <w:trPr>
          <w:jc w:val="center"/>
        </w:trPr>
        <w:tc>
          <w:tcPr>
            <w:tcW w:w="3595" w:type="dxa"/>
            <w:vAlign w:val="center"/>
          </w:tcPr>
          <w:p w14:paraId="7228E454" w14:textId="77777777" w:rsidR="00567D0C" w:rsidRPr="00567D0C" w:rsidRDefault="00567D0C" w:rsidP="00567D0C">
            <w:pPr>
              <w:pStyle w:val="TableNormal1"/>
              <w:rPr>
                <w:rFonts w:cs="Arial"/>
                <w:b/>
                <w:color w:val="000000" w:themeColor="text1"/>
              </w:rPr>
            </w:pPr>
            <w:r w:rsidRPr="00567D0C">
              <w:rPr>
                <w:rFonts w:cs="Arial"/>
                <w:b/>
                <w:color w:val="000000" w:themeColor="text1"/>
              </w:rPr>
              <w:t>Total Contacted Volume,  ft</w:t>
            </w:r>
            <w:r w:rsidRPr="00567D0C">
              <w:rPr>
                <w:rFonts w:cs="Arial"/>
                <w:b/>
                <w:color w:val="000000" w:themeColor="text1"/>
                <w:vertAlign w:val="superscript"/>
              </w:rPr>
              <w:t>3</w:t>
            </w:r>
          </w:p>
        </w:tc>
        <w:tc>
          <w:tcPr>
            <w:tcW w:w="1633" w:type="dxa"/>
            <w:vAlign w:val="center"/>
          </w:tcPr>
          <w:p w14:paraId="25CC5D75" w14:textId="77777777" w:rsidR="00567D0C" w:rsidRPr="00721CAE" w:rsidRDefault="00567D0C" w:rsidP="00567D0C">
            <w:pPr>
              <w:pStyle w:val="TableNormal1"/>
              <w:rPr>
                <w:rFonts w:cs="Arial"/>
                <w:color w:val="000000" w:themeColor="text1"/>
              </w:rPr>
            </w:pPr>
            <w:r>
              <w:rPr>
                <w:rFonts w:cs="Arial"/>
                <w:color w:val="000000" w:themeColor="text1"/>
              </w:rPr>
              <w:t>1149</w:t>
            </w:r>
          </w:p>
        </w:tc>
        <w:tc>
          <w:tcPr>
            <w:tcW w:w="1634" w:type="dxa"/>
            <w:vAlign w:val="center"/>
          </w:tcPr>
          <w:p w14:paraId="2C2A1D8F" w14:textId="77777777" w:rsidR="00567D0C" w:rsidRPr="00721CAE" w:rsidRDefault="00567D0C" w:rsidP="00567D0C">
            <w:pPr>
              <w:pStyle w:val="TableNormal1"/>
              <w:rPr>
                <w:rFonts w:cs="Arial"/>
                <w:color w:val="000000" w:themeColor="text1"/>
              </w:rPr>
            </w:pPr>
            <w:r>
              <w:rPr>
                <w:rFonts w:cs="Arial"/>
                <w:color w:val="000000" w:themeColor="text1"/>
              </w:rPr>
              <w:t>1053</w:t>
            </w:r>
          </w:p>
        </w:tc>
        <w:tc>
          <w:tcPr>
            <w:tcW w:w="1634" w:type="dxa"/>
            <w:vAlign w:val="center"/>
          </w:tcPr>
          <w:p w14:paraId="66BCB86F" w14:textId="77777777" w:rsidR="00567D0C" w:rsidRPr="00721CAE" w:rsidRDefault="00567D0C" w:rsidP="00567D0C">
            <w:pPr>
              <w:pStyle w:val="TableNormal1"/>
              <w:rPr>
                <w:rFonts w:cs="Arial"/>
                <w:color w:val="000000" w:themeColor="text1"/>
              </w:rPr>
            </w:pPr>
            <w:r>
              <w:rPr>
                <w:rFonts w:cs="Arial"/>
                <w:color w:val="000000" w:themeColor="text1"/>
              </w:rPr>
              <w:t>374</w:t>
            </w:r>
          </w:p>
        </w:tc>
      </w:tr>
      <w:tr w:rsidR="00567D0C" w:rsidRPr="00721CAE" w14:paraId="4D8199D9" w14:textId="77777777" w:rsidTr="00567D0C">
        <w:trPr>
          <w:jc w:val="center"/>
        </w:trPr>
        <w:tc>
          <w:tcPr>
            <w:tcW w:w="3595" w:type="dxa"/>
            <w:vAlign w:val="center"/>
          </w:tcPr>
          <w:p w14:paraId="1F8B2F03" w14:textId="77777777" w:rsidR="00567D0C" w:rsidRPr="00567D0C" w:rsidRDefault="00567D0C" w:rsidP="00567D0C">
            <w:pPr>
              <w:pStyle w:val="TableNormal1"/>
              <w:rPr>
                <w:rFonts w:cs="Arial"/>
                <w:b/>
                <w:color w:val="000000" w:themeColor="text1"/>
              </w:rPr>
            </w:pPr>
            <w:r w:rsidRPr="00567D0C">
              <w:rPr>
                <w:rFonts w:cs="Arial"/>
                <w:b/>
                <w:color w:val="000000" w:themeColor="text1"/>
              </w:rPr>
              <w:t>Contacted Fracture Volume,  ft</w:t>
            </w:r>
            <w:r w:rsidRPr="00567D0C">
              <w:rPr>
                <w:rFonts w:cs="Arial"/>
                <w:b/>
                <w:color w:val="000000" w:themeColor="text1"/>
                <w:vertAlign w:val="superscript"/>
              </w:rPr>
              <w:t>3</w:t>
            </w:r>
          </w:p>
        </w:tc>
        <w:tc>
          <w:tcPr>
            <w:tcW w:w="1633" w:type="dxa"/>
            <w:vAlign w:val="center"/>
          </w:tcPr>
          <w:p w14:paraId="39974DA6" w14:textId="77777777" w:rsidR="00567D0C" w:rsidRPr="00721CAE" w:rsidRDefault="00567D0C" w:rsidP="00567D0C">
            <w:pPr>
              <w:pStyle w:val="TableNormal1"/>
              <w:rPr>
                <w:rFonts w:cs="Arial"/>
                <w:color w:val="000000" w:themeColor="text1"/>
              </w:rPr>
            </w:pPr>
            <w:r>
              <w:rPr>
                <w:rFonts w:cs="Arial"/>
                <w:color w:val="000000" w:themeColor="text1"/>
              </w:rPr>
              <w:t>657</w:t>
            </w:r>
          </w:p>
        </w:tc>
        <w:tc>
          <w:tcPr>
            <w:tcW w:w="1634" w:type="dxa"/>
            <w:vAlign w:val="center"/>
          </w:tcPr>
          <w:p w14:paraId="7C8A9EAF" w14:textId="77777777" w:rsidR="00567D0C" w:rsidRPr="00721CAE" w:rsidRDefault="00567D0C" w:rsidP="00567D0C">
            <w:pPr>
              <w:pStyle w:val="TableNormal1"/>
              <w:rPr>
                <w:rFonts w:cs="Arial"/>
                <w:color w:val="000000" w:themeColor="text1"/>
              </w:rPr>
            </w:pPr>
            <w:r>
              <w:rPr>
                <w:rFonts w:cs="Arial"/>
                <w:color w:val="000000" w:themeColor="text1"/>
              </w:rPr>
              <w:t>600</w:t>
            </w:r>
          </w:p>
        </w:tc>
        <w:tc>
          <w:tcPr>
            <w:tcW w:w="1634" w:type="dxa"/>
            <w:vAlign w:val="center"/>
          </w:tcPr>
          <w:p w14:paraId="6CF6A76B" w14:textId="77777777" w:rsidR="00567D0C" w:rsidRPr="00721CAE" w:rsidRDefault="00567D0C" w:rsidP="00567D0C">
            <w:pPr>
              <w:pStyle w:val="TableNormal1"/>
              <w:rPr>
                <w:rFonts w:cs="Arial"/>
                <w:color w:val="000000" w:themeColor="text1"/>
              </w:rPr>
            </w:pPr>
            <w:r>
              <w:rPr>
                <w:rFonts w:cs="Arial"/>
                <w:color w:val="000000" w:themeColor="text1"/>
              </w:rPr>
              <w:t>300</w:t>
            </w:r>
          </w:p>
        </w:tc>
      </w:tr>
      <w:tr w:rsidR="00567D0C" w:rsidRPr="00721CAE" w14:paraId="2168FCB6" w14:textId="77777777" w:rsidTr="00567D0C">
        <w:trPr>
          <w:jc w:val="center"/>
        </w:trPr>
        <w:tc>
          <w:tcPr>
            <w:tcW w:w="3595" w:type="dxa"/>
            <w:vAlign w:val="center"/>
          </w:tcPr>
          <w:p w14:paraId="7FF7FBE9" w14:textId="77777777" w:rsidR="00567D0C" w:rsidRPr="00567D0C" w:rsidRDefault="00567D0C" w:rsidP="00567D0C">
            <w:pPr>
              <w:pStyle w:val="TableNormal1"/>
              <w:rPr>
                <w:rFonts w:cs="Arial"/>
                <w:b/>
                <w:color w:val="000000" w:themeColor="text1"/>
              </w:rPr>
            </w:pPr>
            <w:r w:rsidRPr="00567D0C">
              <w:rPr>
                <w:rFonts w:cs="Arial"/>
                <w:b/>
                <w:color w:val="000000" w:themeColor="text1"/>
              </w:rPr>
              <w:t>Corrected Swept Volume, ft</w:t>
            </w:r>
            <w:r w:rsidRPr="00567D0C">
              <w:rPr>
                <w:rFonts w:cs="Arial"/>
                <w:b/>
                <w:color w:val="000000" w:themeColor="text1"/>
                <w:vertAlign w:val="superscript"/>
              </w:rPr>
              <w:t>3</w:t>
            </w:r>
          </w:p>
        </w:tc>
        <w:tc>
          <w:tcPr>
            <w:tcW w:w="1633" w:type="dxa"/>
            <w:vAlign w:val="center"/>
          </w:tcPr>
          <w:p w14:paraId="678810EE" w14:textId="77777777" w:rsidR="00567D0C" w:rsidRPr="00721CAE" w:rsidRDefault="00567D0C" w:rsidP="00567D0C">
            <w:pPr>
              <w:pStyle w:val="TableNormal1"/>
              <w:rPr>
                <w:rFonts w:cs="Arial"/>
                <w:color w:val="000000" w:themeColor="text1"/>
              </w:rPr>
            </w:pPr>
            <w:r>
              <w:rPr>
                <w:rFonts w:cs="Arial"/>
                <w:color w:val="000000" w:themeColor="text1"/>
              </w:rPr>
              <w:t>2014</w:t>
            </w:r>
          </w:p>
        </w:tc>
        <w:tc>
          <w:tcPr>
            <w:tcW w:w="1634" w:type="dxa"/>
            <w:vAlign w:val="center"/>
          </w:tcPr>
          <w:p w14:paraId="69FE5AE4" w14:textId="77777777" w:rsidR="00567D0C" w:rsidRPr="00721CAE" w:rsidRDefault="00567D0C" w:rsidP="00567D0C">
            <w:pPr>
              <w:pStyle w:val="TableNormal1"/>
              <w:rPr>
                <w:rFonts w:cs="Arial"/>
                <w:color w:val="000000" w:themeColor="text1"/>
              </w:rPr>
            </w:pPr>
            <w:r>
              <w:rPr>
                <w:rFonts w:cs="Arial"/>
                <w:color w:val="000000" w:themeColor="text1"/>
              </w:rPr>
              <w:t>835</w:t>
            </w:r>
          </w:p>
        </w:tc>
        <w:tc>
          <w:tcPr>
            <w:tcW w:w="1634" w:type="dxa"/>
            <w:vAlign w:val="center"/>
          </w:tcPr>
          <w:p w14:paraId="5DF1D443" w14:textId="77777777" w:rsidR="00567D0C" w:rsidRPr="00721CAE" w:rsidRDefault="00567D0C" w:rsidP="00567D0C">
            <w:pPr>
              <w:pStyle w:val="TableNormal1"/>
              <w:rPr>
                <w:rFonts w:cs="Arial"/>
                <w:color w:val="000000" w:themeColor="text1"/>
              </w:rPr>
            </w:pPr>
            <w:r>
              <w:rPr>
                <w:rFonts w:cs="Arial"/>
                <w:color w:val="000000" w:themeColor="text1"/>
              </w:rPr>
              <w:t>275</w:t>
            </w:r>
          </w:p>
        </w:tc>
      </w:tr>
    </w:tbl>
    <w:p w14:paraId="53B39AF2" w14:textId="77777777" w:rsidR="00567D0C" w:rsidRPr="004A7057" w:rsidRDefault="00567D0C" w:rsidP="00567D0C">
      <w:pPr>
        <w:pStyle w:val="para1"/>
      </w:pPr>
    </w:p>
    <w:p w14:paraId="2C4C2509" w14:textId="76AB4D6F" w:rsidR="00567D0C" w:rsidRDefault="00D2140E" w:rsidP="00567D0C">
      <w:pPr>
        <w:pStyle w:val="TableNormal1"/>
      </w:pPr>
      <w:r>
        <mc:AlternateContent>
          <mc:Choice Requires="wps">
            <w:drawing>
              <wp:anchor distT="0" distB="0" distL="114300" distR="114300" simplePos="0" relativeHeight="251663360" behindDoc="0" locked="0" layoutInCell="1" allowOverlap="1" wp14:anchorId="24C685CD" wp14:editId="5BE55036">
                <wp:simplePos x="0" y="0"/>
                <wp:positionH relativeFrom="column">
                  <wp:posOffset>4413885</wp:posOffset>
                </wp:positionH>
                <wp:positionV relativeFrom="paragraph">
                  <wp:posOffset>2874645</wp:posOffset>
                </wp:positionV>
                <wp:extent cx="523875" cy="228600"/>
                <wp:effectExtent l="0" t="0" r="28575" b="19050"/>
                <wp:wrapNone/>
                <wp:docPr id="252" name="Text Box 252"/>
                <wp:cNvGraphicFramePr/>
                <a:graphic xmlns:a="http://schemas.openxmlformats.org/drawingml/2006/main">
                  <a:graphicData uri="http://schemas.microsoft.com/office/word/2010/wordprocessingShape">
                    <wps:wsp>
                      <wps:cNvSpPr txBox="1"/>
                      <wps:spPr>
                        <a:xfrm>
                          <a:off x="0" y="0"/>
                          <a:ext cx="523875" cy="228600"/>
                        </a:xfrm>
                        <a:prstGeom prst="rect">
                          <a:avLst/>
                        </a:prstGeom>
                        <a:solidFill>
                          <a:schemeClr val="lt1"/>
                        </a:solidFill>
                        <a:ln w="6350">
                          <a:solidFill>
                            <a:schemeClr val="bg1"/>
                          </a:solidFill>
                        </a:ln>
                      </wps:spPr>
                      <wps:txbx>
                        <w:txbxContent>
                          <w:p w14:paraId="21262AB6" w14:textId="4B981C5C" w:rsidR="00C679FA" w:rsidRPr="00D2140E" w:rsidRDefault="00C679FA" w:rsidP="00D2140E">
                            <w:pPr>
                              <w:ind w:firstLine="0"/>
                              <w:jc w:val="left"/>
                              <w:rPr>
                                <w:color w:val="000000" w:themeColor="text1"/>
                                <w:sz w:val="15"/>
                                <w:szCs w:val="15"/>
                              </w:rPr>
                            </w:pPr>
                            <w:r>
                              <w:rPr>
                                <w:color w:val="000000" w:themeColor="text1"/>
                                <w:sz w:val="15"/>
                                <w:szCs w:val="15"/>
                              </w:rPr>
                              <w:t>3</w:t>
                            </w:r>
                            <w:r w:rsidRPr="00D2140E">
                              <w:rPr>
                                <w:color w:val="000000" w:themeColor="text1"/>
                                <w:sz w:val="15"/>
                                <w:szCs w:val="15"/>
                              </w:rPr>
                              <w:t>.5</w:t>
                            </w:r>
                            <w:r w:rsidRPr="00D2140E">
                              <w:rPr>
                                <w:rFonts w:cstheme="minorHAnsi"/>
                                <w:color w:val="000000" w:themeColor="text1"/>
                                <w:sz w:val="15"/>
                                <w:szCs w:val="15"/>
                              </w:rPr>
                              <w:t>×</w:t>
                            </w:r>
                            <w:r w:rsidRPr="00D2140E">
                              <w:rPr>
                                <w:color w:val="000000" w:themeColor="text1"/>
                                <w:sz w:val="15"/>
                                <w:szCs w:val="15"/>
                              </w:rPr>
                              <w:t>10</w:t>
                            </w:r>
                            <w:r w:rsidRPr="00D2140E">
                              <w:rPr>
                                <w:color w:val="000000" w:themeColor="text1"/>
                                <w:sz w:val="15"/>
                                <w:szCs w:val="15"/>
                                <w:vertAlign w:val="superscript"/>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685CD" id="Text Box 252" o:spid="_x0000_s1028" type="#_x0000_t202" style="position:absolute;left:0;text-align:left;margin-left:347.55pt;margin-top:226.35pt;width:41.2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" fillcolor="white [3201]" strokecolor="white [3212]" strokeweight=".5pt">
                <v:textbox>
                  <w:txbxContent>
                    <w:p w14:paraId="21262AB6" w14:textId="4B981C5C" w:rsidR="00C679FA" w:rsidRPr="00D2140E" w:rsidRDefault="00C679FA" w:rsidP="00D2140E">
                      <w:pPr>
                        <w:ind w:firstLine="0"/>
                        <w:jc w:val="left"/>
                        <w:rPr>
                          <w:color w:val="000000" w:themeColor="text1"/>
                          <w:sz w:val="15"/>
                          <w:szCs w:val="15"/>
                        </w:rPr>
                      </w:pPr>
                      <w:r>
                        <w:rPr>
                          <w:color w:val="000000" w:themeColor="text1"/>
                          <w:sz w:val="15"/>
                          <w:szCs w:val="15"/>
                        </w:rPr>
                        <w:t>3</w:t>
                      </w:r>
                      <w:r w:rsidRPr="00D2140E">
                        <w:rPr>
                          <w:color w:val="000000" w:themeColor="text1"/>
                          <w:sz w:val="15"/>
                          <w:szCs w:val="15"/>
                        </w:rPr>
                        <w:t>.5</w:t>
                      </w:r>
                      <w:r w:rsidRPr="00D2140E">
                        <w:rPr>
                          <w:rFonts w:cstheme="minorHAnsi"/>
                          <w:color w:val="000000" w:themeColor="text1"/>
                          <w:sz w:val="15"/>
                          <w:szCs w:val="15"/>
                        </w:rPr>
                        <w:t>×</w:t>
                      </w:r>
                      <w:r w:rsidRPr="00D2140E">
                        <w:rPr>
                          <w:color w:val="000000" w:themeColor="text1"/>
                          <w:sz w:val="15"/>
                          <w:szCs w:val="15"/>
                        </w:rPr>
                        <w:t>10</w:t>
                      </w:r>
                      <w:r w:rsidRPr="00D2140E">
                        <w:rPr>
                          <w:color w:val="000000" w:themeColor="text1"/>
                          <w:sz w:val="15"/>
                          <w:szCs w:val="15"/>
                          <w:vertAlign w:val="superscript"/>
                        </w:rPr>
                        <w:t>5</w:t>
                      </w:r>
                    </w:p>
                  </w:txbxContent>
                </v:textbox>
              </v:shape>
            </w:pict>
          </mc:Fallback>
        </mc:AlternateContent>
      </w:r>
      <w:r>
        <mc:AlternateContent>
          <mc:Choice Requires="wps">
            <w:drawing>
              <wp:anchor distT="0" distB="0" distL="114300" distR="114300" simplePos="0" relativeHeight="251660288" behindDoc="0" locked="0" layoutInCell="1" allowOverlap="1" wp14:anchorId="356B6260" wp14:editId="6A6CA57A">
                <wp:simplePos x="0" y="0"/>
                <wp:positionH relativeFrom="column">
                  <wp:posOffset>3242310</wp:posOffset>
                </wp:positionH>
                <wp:positionV relativeFrom="paragraph">
                  <wp:posOffset>2865120</wp:posOffset>
                </wp:positionV>
                <wp:extent cx="523875" cy="228600"/>
                <wp:effectExtent l="0" t="0" r="28575" b="19050"/>
                <wp:wrapNone/>
                <wp:docPr id="251" name="Text Box 251"/>
                <wp:cNvGraphicFramePr/>
                <a:graphic xmlns:a="http://schemas.openxmlformats.org/drawingml/2006/main">
                  <a:graphicData uri="http://schemas.microsoft.com/office/word/2010/wordprocessingShape">
                    <wps:wsp>
                      <wps:cNvSpPr txBox="1"/>
                      <wps:spPr>
                        <a:xfrm>
                          <a:off x="0" y="0"/>
                          <a:ext cx="523875" cy="228600"/>
                        </a:xfrm>
                        <a:prstGeom prst="rect">
                          <a:avLst/>
                        </a:prstGeom>
                        <a:solidFill>
                          <a:schemeClr val="lt1"/>
                        </a:solidFill>
                        <a:ln w="6350">
                          <a:solidFill>
                            <a:schemeClr val="bg1"/>
                          </a:solidFill>
                        </a:ln>
                      </wps:spPr>
                      <wps:txbx>
                        <w:txbxContent>
                          <w:p w14:paraId="770CC5D5" w14:textId="77777777" w:rsidR="00C679FA" w:rsidRPr="00D2140E" w:rsidRDefault="00C679FA" w:rsidP="00D2140E">
                            <w:pPr>
                              <w:ind w:firstLine="0"/>
                              <w:jc w:val="left"/>
                              <w:rPr>
                                <w:color w:val="000000" w:themeColor="text1"/>
                                <w:sz w:val="15"/>
                                <w:szCs w:val="15"/>
                              </w:rPr>
                            </w:pPr>
                            <w:r w:rsidRPr="00D2140E">
                              <w:rPr>
                                <w:color w:val="000000" w:themeColor="text1"/>
                                <w:sz w:val="15"/>
                                <w:szCs w:val="15"/>
                              </w:rPr>
                              <w:t>2.5</w:t>
                            </w:r>
                            <w:r w:rsidRPr="00D2140E">
                              <w:rPr>
                                <w:rFonts w:cstheme="minorHAnsi"/>
                                <w:color w:val="000000" w:themeColor="text1"/>
                                <w:sz w:val="15"/>
                                <w:szCs w:val="15"/>
                              </w:rPr>
                              <w:t>×</w:t>
                            </w:r>
                            <w:r w:rsidRPr="00D2140E">
                              <w:rPr>
                                <w:color w:val="000000" w:themeColor="text1"/>
                                <w:sz w:val="15"/>
                                <w:szCs w:val="15"/>
                              </w:rPr>
                              <w:t>10</w:t>
                            </w:r>
                            <w:r w:rsidRPr="00D2140E">
                              <w:rPr>
                                <w:color w:val="000000" w:themeColor="text1"/>
                                <w:sz w:val="15"/>
                                <w:szCs w:val="15"/>
                                <w:vertAlign w:val="superscript"/>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B6260" id="Text Box 251" o:spid="_x0000_s1029" type="#_x0000_t202" style="position:absolute;left:0;text-align:left;margin-left:255.3pt;margin-top:225.6pt;width:41.2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" fillcolor="white [3201]" strokecolor="white [3212]" strokeweight=".5pt">
                <v:textbox>
                  <w:txbxContent>
                    <w:p w14:paraId="770CC5D5" w14:textId="77777777" w:rsidR="00C679FA" w:rsidRPr="00D2140E" w:rsidRDefault="00C679FA" w:rsidP="00D2140E">
                      <w:pPr>
                        <w:ind w:firstLine="0"/>
                        <w:jc w:val="left"/>
                        <w:rPr>
                          <w:color w:val="000000" w:themeColor="text1"/>
                          <w:sz w:val="15"/>
                          <w:szCs w:val="15"/>
                        </w:rPr>
                      </w:pPr>
                      <w:r w:rsidRPr="00D2140E">
                        <w:rPr>
                          <w:color w:val="000000" w:themeColor="text1"/>
                          <w:sz w:val="15"/>
                          <w:szCs w:val="15"/>
                        </w:rPr>
                        <w:t>2.5</w:t>
                      </w:r>
                      <w:r w:rsidRPr="00D2140E">
                        <w:rPr>
                          <w:rFonts w:cstheme="minorHAnsi"/>
                          <w:color w:val="000000" w:themeColor="text1"/>
                          <w:sz w:val="15"/>
                          <w:szCs w:val="15"/>
                        </w:rPr>
                        <w:t>×</w:t>
                      </w:r>
                      <w:r w:rsidRPr="00D2140E">
                        <w:rPr>
                          <w:color w:val="000000" w:themeColor="text1"/>
                          <w:sz w:val="15"/>
                          <w:szCs w:val="15"/>
                        </w:rPr>
                        <w:t>10</w:t>
                      </w:r>
                      <w:r w:rsidRPr="00D2140E">
                        <w:rPr>
                          <w:color w:val="000000" w:themeColor="text1"/>
                          <w:sz w:val="15"/>
                          <w:szCs w:val="15"/>
                          <w:vertAlign w:val="superscript"/>
                        </w:rPr>
                        <w:t>5</w:t>
                      </w:r>
                    </w:p>
                  </w:txbxContent>
                </v:textbox>
              </v:shape>
            </w:pict>
          </mc:Fallback>
        </mc:AlternateContent>
      </w:r>
      <w:r w:rsidR="00567D0C">
        <w:drawing>
          <wp:inline distT="0" distB="0" distL="0" distR="0" wp14:anchorId="57DF4042" wp14:editId="1382AA57">
            <wp:extent cx="4410426" cy="3291840"/>
            <wp:effectExtent l="0" t="0" r="9525"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10426" cy="3291840"/>
                    </a:xfrm>
                    <a:prstGeom prst="rect">
                      <a:avLst/>
                    </a:prstGeom>
                    <a:noFill/>
                    <a:ln>
                      <a:noFill/>
                    </a:ln>
                  </pic:spPr>
                </pic:pic>
              </a:graphicData>
            </a:graphic>
          </wp:inline>
        </w:drawing>
      </w:r>
    </w:p>
    <w:p w14:paraId="33681AC4" w14:textId="3ACBACDE" w:rsidR="00C519C3" w:rsidRPr="00541084" w:rsidRDefault="00567D0C" w:rsidP="00C519C3">
      <w:pPr>
        <w:pStyle w:val="Caption"/>
        <w:rPr>
          <w:szCs w:val="22"/>
        </w:rPr>
      </w:pPr>
      <w:bookmarkStart w:id="160" w:name="_Ref491963790"/>
      <w:bookmarkStart w:id="161" w:name="_Toc495144735"/>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12</w:t>
      </w:r>
      <w:r w:rsidR="00280FFF">
        <w:rPr>
          <w:szCs w:val="22"/>
        </w:rPr>
        <w:fldChar w:fldCharType="end"/>
      </w:r>
      <w:bookmarkEnd w:id="160"/>
      <w:r w:rsidRPr="00541084">
        <w:rPr>
          <w:szCs w:val="22"/>
        </w:rPr>
        <w:t xml:space="preserve">. Partitioning chemical tracer production data in gas. Solid lines are simulation output. The dashed lines are the extrapolation based on the first linear section. This figure shows the difference between the cases with different partition coefficient (K). </w:t>
      </w:r>
      <w:r w:rsidR="00C519C3">
        <w:rPr>
          <w:szCs w:val="22"/>
        </w:rPr>
        <w:t>x axis is normal scale and y axis is in log scale.</w:t>
      </w:r>
      <w:bookmarkEnd w:id="161"/>
    </w:p>
    <w:p w14:paraId="00358C10" w14:textId="33D2B206" w:rsidR="00567D0C" w:rsidRPr="00541084" w:rsidRDefault="00567D0C" w:rsidP="00BF3F9B">
      <w:pPr>
        <w:pStyle w:val="Caption"/>
        <w:rPr>
          <w:szCs w:val="22"/>
        </w:rPr>
      </w:pPr>
    </w:p>
    <w:p w14:paraId="214AE15C" w14:textId="77777777" w:rsidR="00567D0C" w:rsidRPr="00541084" w:rsidRDefault="00567D0C" w:rsidP="00BF3F9B">
      <w:pPr>
        <w:pStyle w:val="Caption"/>
        <w:rPr>
          <w:szCs w:val="22"/>
        </w:rPr>
      </w:pPr>
    </w:p>
    <w:p w14:paraId="50B44BF5" w14:textId="77777777" w:rsidR="00567D0C" w:rsidRDefault="00567D0C" w:rsidP="00567D0C">
      <w:pPr>
        <w:pStyle w:val="TableNormal1"/>
      </w:pPr>
      <w:r>
        <w:lastRenderedPageBreak/>
        <w:drawing>
          <wp:inline distT="0" distB="0" distL="0" distR="0" wp14:anchorId="63340A87" wp14:editId="5E84C138">
            <wp:extent cx="4207404" cy="3291840"/>
            <wp:effectExtent l="0" t="0" r="3175" b="381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07404" cy="3291840"/>
                    </a:xfrm>
                    <a:prstGeom prst="rect">
                      <a:avLst/>
                    </a:prstGeom>
                    <a:noFill/>
                    <a:ln>
                      <a:noFill/>
                    </a:ln>
                  </pic:spPr>
                </pic:pic>
              </a:graphicData>
            </a:graphic>
          </wp:inline>
        </w:drawing>
      </w:r>
    </w:p>
    <w:p w14:paraId="2FD2CD72" w14:textId="42937B10" w:rsidR="00567D0C" w:rsidRPr="00541084" w:rsidRDefault="00567D0C" w:rsidP="00BF3F9B">
      <w:pPr>
        <w:pStyle w:val="Caption"/>
        <w:rPr>
          <w:szCs w:val="22"/>
        </w:rPr>
      </w:pPr>
      <w:bookmarkStart w:id="162" w:name="_Ref491963813"/>
      <w:bookmarkStart w:id="163" w:name="_Toc495144736"/>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13</w:t>
      </w:r>
      <w:r w:rsidR="00280FFF">
        <w:rPr>
          <w:szCs w:val="22"/>
        </w:rPr>
        <w:fldChar w:fldCharType="end"/>
      </w:r>
      <w:bookmarkEnd w:id="162"/>
      <w:r w:rsidRPr="00541084">
        <w:rPr>
          <w:szCs w:val="22"/>
        </w:rPr>
        <w:t>. The tracer distribution profile inside domain at the end of shut in. K=2.5.</w:t>
      </w:r>
      <w:bookmarkEnd w:id="163"/>
      <w:r w:rsidRPr="00541084">
        <w:rPr>
          <w:szCs w:val="22"/>
        </w:rPr>
        <w:t xml:space="preserve"> </w:t>
      </w:r>
    </w:p>
    <w:p w14:paraId="45206747" w14:textId="77777777" w:rsidR="00567D0C" w:rsidRPr="00541084" w:rsidRDefault="00567D0C" w:rsidP="00BF3F9B">
      <w:pPr>
        <w:pStyle w:val="Caption"/>
        <w:rPr>
          <w:szCs w:val="22"/>
        </w:rPr>
      </w:pPr>
    </w:p>
    <w:p w14:paraId="0726F8F8" w14:textId="77777777" w:rsidR="00567D0C" w:rsidRPr="00A4606B" w:rsidRDefault="00567D0C" w:rsidP="00567D0C">
      <w:pPr>
        <w:pStyle w:val="TableNormal1"/>
      </w:pPr>
      <w:r>
        <w:drawing>
          <wp:inline distT="0" distB="0" distL="0" distR="0" wp14:anchorId="25F57BEE" wp14:editId="55A0133B">
            <wp:extent cx="4261757" cy="3291840"/>
            <wp:effectExtent l="0" t="0" r="5715" b="381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61757" cy="3291840"/>
                    </a:xfrm>
                    <a:prstGeom prst="rect">
                      <a:avLst/>
                    </a:prstGeom>
                    <a:noFill/>
                    <a:ln>
                      <a:noFill/>
                    </a:ln>
                  </pic:spPr>
                </pic:pic>
              </a:graphicData>
            </a:graphic>
          </wp:inline>
        </w:drawing>
      </w:r>
    </w:p>
    <w:p w14:paraId="4FF4FA3C" w14:textId="1B7662E5" w:rsidR="00567D0C" w:rsidRPr="00541084" w:rsidRDefault="00567D0C" w:rsidP="00BF3F9B">
      <w:pPr>
        <w:pStyle w:val="Caption"/>
        <w:rPr>
          <w:szCs w:val="22"/>
        </w:rPr>
      </w:pPr>
      <w:bookmarkStart w:id="164" w:name="_Toc495144737"/>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14</w:t>
      </w:r>
      <w:r w:rsidR="00280FFF">
        <w:rPr>
          <w:szCs w:val="22"/>
        </w:rPr>
        <w:fldChar w:fldCharType="end"/>
      </w:r>
      <w:r w:rsidRPr="00541084">
        <w:rPr>
          <w:szCs w:val="22"/>
        </w:rPr>
        <w:t>. The tracer distribution profile inside domain at the end of shut in. K=25.</w:t>
      </w:r>
      <w:bookmarkEnd w:id="164"/>
      <w:r w:rsidRPr="00541084">
        <w:rPr>
          <w:szCs w:val="22"/>
        </w:rPr>
        <w:t xml:space="preserve"> </w:t>
      </w:r>
    </w:p>
    <w:p w14:paraId="0430A30C" w14:textId="77777777" w:rsidR="00567D0C" w:rsidRDefault="00567D0C" w:rsidP="00567D0C">
      <w:pPr>
        <w:pStyle w:val="TableNormal1"/>
      </w:pPr>
      <w:r>
        <w:lastRenderedPageBreak/>
        <w:drawing>
          <wp:inline distT="0" distB="0" distL="0" distR="0" wp14:anchorId="790E99FE" wp14:editId="4036A421">
            <wp:extent cx="4265906" cy="3291840"/>
            <wp:effectExtent l="0" t="0" r="1905" b="381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65906" cy="3291840"/>
                    </a:xfrm>
                    <a:prstGeom prst="rect">
                      <a:avLst/>
                    </a:prstGeom>
                    <a:noFill/>
                    <a:ln>
                      <a:noFill/>
                    </a:ln>
                  </pic:spPr>
                </pic:pic>
              </a:graphicData>
            </a:graphic>
          </wp:inline>
        </w:drawing>
      </w:r>
    </w:p>
    <w:p w14:paraId="58EBAF44" w14:textId="1B74C066" w:rsidR="00567D0C" w:rsidRPr="00541084" w:rsidRDefault="00567D0C" w:rsidP="00BF3F9B">
      <w:pPr>
        <w:pStyle w:val="Caption"/>
        <w:rPr>
          <w:szCs w:val="22"/>
        </w:rPr>
      </w:pPr>
      <w:bookmarkStart w:id="165" w:name="_Ref453748603"/>
      <w:bookmarkStart w:id="166" w:name="_Toc495144738"/>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15</w:t>
      </w:r>
      <w:r w:rsidR="00280FFF">
        <w:rPr>
          <w:szCs w:val="22"/>
        </w:rPr>
        <w:fldChar w:fldCharType="end"/>
      </w:r>
      <w:bookmarkEnd w:id="165"/>
      <w:r w:rsidRPr="00541084">
        <w:rPr>
          <w:szCs w:val="22"/>
        </w:rPr>
        <w:t>. The tracer distribution profile inside domain at the end of shut in. K=250.</w:t>
      </w:r>
      <w:bookmarkEnd w:id="166"/>
      <w:r w:rsidRPr="00541084">
        <w:rPr>
          <w:szCs w:val="22"/>
        </w:rPr>
        <w:t xml:space="preserve"> </w:t>
      </w:r>
    </w:p>
    <w:p w14:paraId="64AFAE79" w14:textId="77777777" w:rsidR="005A6F71" w:rsidRDefault="005A6F71" w:rsidP="00567D0C"/>
    <w:p w14:paraId="42C551F1" w14:textId="4A996845" w:rsidR="00567D0C" w:rsidRDefault="005A6F71" w:rsidP="00567D0C">
      <w:r>
        <w:fldChar w:fldCharType="begin"/>
      </w:r>
      <w:r>
        <w:instrText xml:space="preserve"> REF _Ref491963790 \h </w:instrText>
      </w:r>
      <w:r>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12</w:t>
      </w:r>
      <w:r>
        <w:fldChar w:fldCharType="end"/>
      </w:r>
      <w:r>
        <w:t xml:space="preserve"> </w:t>
      </w:r>
      <w:r w:rsidR="00567D0C">
        <w:t xml:space="preserve">shows that tracer will be produced back faster with a larger partition coefficient because majority of the partitioning chemical tracer will flow with gas. Such observation is in an agreement with the observation in Wu (2006). It indicates that we could obtain tracer response quickly if the partition coefficient is larger. </w:t>
      </w:r>
    </w:p>
    <w:p w14:paraId="26E5594D" w14:textId="27D80A54" w:rsidR="00567D0C" w:rsidRDefault="00567D0C" w:rsidP="00567D0C">
      <w:r>
        <w:t>Entire tracer production data gives a more precise evaluation of the total swept volume with larger partition coefficient as shown in</w:t>
      </w:r>
      <w:r w:rsidR="005A6F71">
        <w:t xml:space="preserve"> </w:t>
      </w:r>
      <w:r w:rsidR="005A6F71">
        <w:fldChar w:fldCharType="begin"/>
      </w:r>
      <w:r w:rsidR="005A6F71">
        <w:instrText xml:space="preserve"> REF _Ref491963690 \h </w:instrText>
      </w:r>
      <w:r w:rsidR="005A6F71">
        <w:fldChar w:fldCharType="separate"/>
      </w:r>
      <w:r w:rsidR="00280FFF" w:rsidRPr="00541084">
        <w:rPr>
          <w:szCs w:val="22"/>
        </w:rPr>
        <w:t xml:space="preserve">Table </w:t>
      </w:r>
      <w:r w:rsidR="00280FFF">
        <w:rPr>
          <w:noProof/>
          <w:szCs w:val="22"/>
        </w:rPr>
        <w:t>3</w:t>
      </w:r>
      <w:r w:rsidR="00280FFF" w:rsidRPr="00541084">
        <w:rPr>
          <w:szCs w:val="22"/>
        </w:rPr>
        <w:noBreakHyphen/>
      </w:r>
      <w:r w:rsidR="00280FFF">
        <w:rPr>
          <w:noProof/>
          <w:szCs w:val="22"/>
        </w:rPr>
        <w:t>5</w:t>
      </w:r>
      <w:r w:rsidR="005A6F71">
        <w:fldChar w:fldCharType="end"/>
      </w:r>
      <w:r>
        <w:t xml:space="preserve">. Additionally, the ‘Contacted Fracture Volume’ is closer to the ‘Corrected Swept Volume’ along with the increase of partition coefficient, indicating that the tracer with a large partition coefficient could provide an accurate estimation of swept hydraulic fracture volume through the extrapolation of first straight section of tracer production tail. For tracer with small partition coefficient, more tracer particles are trapped in the residual water so </w:t>
      </w:r>
      <w:r>
        <w:lastRenderedPageBreak/>
        <w:t xml:space="preserve">that its production is delayed and it fails to accurately assess the hydraulic fracture volume and total swept volume. </w:t>
      </w:r>
    </w:p>
    <w:p w14:paraId="479FB524" w14:textId="4AE4FDB8" w:rsidR="00567D0C" w:rsidRDefault="00567D0C" w:rsidP="00567D0C">
      <w:r>
        <w:t xml:space="preserve">Although above two observations indicate that large partition coefficient is favorable to hydraulic fracture diagnosis, it is also noted that the tracer with large partition coefficient only sweeps a small volume of the system. </w:t>
      </w:r>
      <w:r w:rsidR="005A6F71">
        <w:fldChar w:fldCharType="begin"/>
      </w:r>
      <w:r w:rsidR="005A6F71">
        <w:instrText xml:space="preserve"> REF _Ref491963690 \h </w:instrText>
      </w:r>
      <w:r w:rsidR="005A6F71">
        <w:fldChar w:fldCharType="separate"/>
      </w:r>
      <w:r w:rsidR="00280FFF" w:rsidRPr="00541084">
        <w:rPr>
          <w:szCs w:val="22"/>
        </w:rPr>
        <w:t xml:space="preserve">Table </w:t>
      </w:r>
      <w:r w:rsidR="00280FFF">
        <w:rPr>
          <w:noProof/>
          <w:szCs w:val="22"/>
        </w:rPr>
        <w:t>3</w:t>
      </w:r>
      <w:r w:rsidR="00280FFF" w:rsidRPr="00541084">
        <w:rPr>
          <w:szCs w:val="22"/>
        </w:rPr>
        <w:noBreakHyphen/>
      </w:r>
      <w:r w:rsidR="00280FFF">
        <w:rPr>
          <w:noProof/>
          <w:szCs w:val="22"/>
        </w:rPr>
        <w:t>5</w:t>
      </w:r>
      <w:r w:rsidR="005A6F71">
        <w:fldChar w:fldCharType="end"/>
      </w:r>
      <w:r w:rsidR="005A6F71">
        <w:t xml:space="preserve"> </w:t>
      </w:r>
      <w:r w:rsidR="0004427B">
        <w:t>shows that</w:t>
      </w:r>
      <w:r>
        <w:t xml:space="preserve"> both ‘Total Contact Volume’ and ‘Contacted Fracture Volume’ decrease with the increase of partition coefficient. </w:t>
      </w:r>
      <w:r>
        <w:fldChar w:fldCharType="begin"/>
      </w:r>
      <w:r>
        <w:instrText xml:space="preserve"> REF _Ref453754461 \h  \* MERGEFORMAT </w:instrText>
      </w:r>
      <w:r>
        <w:fldChar w:fldCharType="separate"/>
      </w:r>
      <w:r w:rsidR="00280FFF" w:rsidRPr="00280FFF">
        <w:t xml:space="preserve">Figure </w:t>
      </w:r>
      <w:r w:rsidR="00280FFF" w:rsidRPr="00280FFF">
        <w:rPr>
          <w:noProof/>
        </w:rPr>
        <w:t>3</w:t>
      </w:r>
      <w:r w:rsidR="00280FFF" w:rsidRPr="00280FFF">
        <w:rPr>
          <w:noProof/>
        </w:rPr>
        <w:noBreakHyphen/>
        <w:t>16</w:t>
      </w:r>
      <w:r>
        <w:fldChar w:fldCharType="end"/>
      </w:r>
      <w:r>
        <w:t xml:space="preserve"> illustrates the fracking fluid distribution at the end of shut in inside hydraulic fracture grid column. It is identical in each case. We can consider actual fracture volume is based on the penetration distance (around 200 ft away from wellbore). Comparing fracking fluid distribution with tracer distribution, we notice that the tracer with larger partition coefficient remains close to the well and such tracer does not travel/penetrate into the fracture as deep as fracking fluid. The reason is that the more tracer particles partitions into the residual gas near wellbore and these particles will not be able to flow farther. Consequently, the tracer with large partition coefficient will only reflect the swept fracture volume, not the actual fracture volume.</w:t>
      </w:r>
    </w:p>
    <w:p w14:paraId="54F4FB92" w14:textId="3FAE37B6" w:rsidR="00567D0C" w:rsidRDefault="00567D0C" w:rsidP="00567D0C">
      <w:r>
        <w:t xml:space="preserve">A tracer with large partition coefficient could provide </w:t>
      </w:r>
      <w:r w:rsidR="00A80041">
        <w:t xml:space="preserve">an </w:t>
      </w:r>
      <w:r>
        <w:t>accurate estimation of swept fracture volume, which could be, however, much smaller than the actual fracture volume. On the other hand, the tracer with small partition coefficient could penetrate as deep as fracking fluid, while it might overestimate the actual fracture volume.  Therefore, the tracer partition coefficient should be carefully selected considering the balance between investigation volume and result accuracy.</w:t>
      </w:r>
    </w:p>
    <w:p w14:paraId="5563F38B" w14:textId="77777777" w:rsidR="00567D0C" w:rsidRDefault="00567D0C" w:rsidP="00567D0C">
      <w:pPr>
        <w:pStyle w:val="para1"/>
      </w:pPr>
    </w:p>
    <w:p w14:paraId="7682FDB9" w14:textId="77777777" w:rsidR="00567D0C" w:rsidRDefault="00567D0C" w:rsidP="00567D0C">
      <w:pPr>
        <w:pStyle w:val="TableNormal1"/>
      </w:pPr>
      <w:r>
        <w:lastRenderedPageBreak/>
        <w:drawing>
          <wp:inline distT="0" distB="0" distL="0" distR="0" wp14:anchorId="0B434D66" wp14:editId="356A06ED">
            <wp:extent cx="5303520" cy="3060700"/>
            <wp:effectExtent l="0" t="0" r="0" b="6350"/>
            <wp:docPr id="227" name="Chart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A4CA76F" w14:textId="1C1FE2DD" w:rsidR="00567D0C" w:rsidRPr="00541084" w:rsidRDefault="00567D0C" w:rsidP="00BF3F9B">
      <w:pPr>
        <w:pStyle w:val="Caption"/>
        <w:rPr>
          <w:szCs w:val="22"/>
        </w:rPr>
      </w:pPr>
      <w:bookmarkStart w:id="167" w:name="_Ref453754461"/>
      <w:bookmarkStart w:id="168" w:name="_Toc495144739"/>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16</w:t>
      </w:r>
      <w:r w:rsidR="00280FFF">
        <w:rPr>
          <w:szCs w:val="22"/>
        </w:rPr>
        <w:fldChar w:fldCharType="end"/>
      </w:r>
      <w:bookmarkEnd w:id="167"/>
      <w:r w:rsidRPr="00541084">
        <w:rPr>
          <w:szCs w:val="22"/>
        </w:rPr>
        <w:t>. Fracking fluid (water) distribution at the end of shut in. Inside hydraulic fracture grid column (x=18).</w:t>
      </w:r>
      <w:bookmarkEnd w:id="168"/>
    </w:p>
    <w:p w14:paraId="09BFFF4E" w14:textId="77777777" w:rsidR="00567D0C" w:rsidRPr="00567D0C" w:rsidRDefault="00567D0C" w:rsidP="00567D0C"/>
    <w:p w14:paraId="25B20CBC" w14:textId="77777777" w:rsidR="00567D0C" w:rsidRDefault="00567D0C" w:rsidP="00567D0C">
      <w:pPr>
        <w:pStyle w:val="Heading3"/>
      </w:pPr>
      <w:bookmarkStart w:id="169" w:name="_Toc494014219"/>
      <w:r>
        <w:t>Impact of Adsorption</w:t>
      </w:r>
      <w:bookmarkEnd w:id="169"/>
    </w:p>
    <w:p w14:paraId="3A9F4105" w14:textId="42C93BF4" w:rsidR="00567D0C" w:rsidRDefault="00567D0C" w:rsidP="00567D0C">
      <w:r>
        <w:t xml:space="preserve">Tracer may have the tendency to </w:t>
      </w:r>
      <w:r w:rsidR="00A80041">
        <w:t xml:space="preserve">be </w:t>
      </w:r>
      <w:r>
        <w:t>adsorb</w:t>
      </w:r>
      <w:r w:rsidR="00A80041">
        <w:t>ed</w:t>
      </w:r>
      <w:r>
        <w:t xml:space="preserve"> on </w:t>
      </w:r>
      <w:r w:rsidR="00A80041">
        <w:t xml:space="preserve">the </w:t>
      </w:r>
      <w:r>
        <w:t>grain surface and affect tracer response. Langmuir isotherm model (Type I) (Langmuir 1918) was applied in the simulations. The governing equation of adsorption is (</w:t>
      </w:r>
      <w:r w:rsidRPr="00C076D9">
        <w:rPr>
          <w:color w:val="000000" w:themeColor="text1"/>
          <w:szCs w:val="18"/>
        </w:rPr>
        <w:t>CMG-STARS User’s Guide 2012)</w:t>
      </w:r>
      <w:r>
        <w:t>:</w:t>
      </w:r>
    </w:p>
    <w:p w14:paraId="0A8E238D" w14:textId="77777777" w:rsidR="00567D0C" w:rsidRDefault="00567D0C" w:rsidP="00567D0C">
      <m:oMath>
        <m:r>
          <w:rPr>
            <w:rFonts w:ascii="Cambria Math" w:hAnsi="Cambria Math"/>
          </w:rPr>
          <m:t>ad=</m:t>
        </m:r>
        <m:f>
          <m:fPr>
            <m:ctrlPr>
              <w:rPr>
                <w:rFonts w:ascii="Cambria Math" w:hAnsi="Cambria Math"/>
                <w:i/>
              </w:rPr>
            </m:ctrlPr>
          </m:fPr>
          <m:num>
            <m:r>
              <w:rPr>
                <w:rFonts w:ascii="Cambria Math" w:hAnsi="Cambria Math"/>
              </w:rPr>
              <m:t>aC</m:t>
            </m:r>
          </m:num>
          <m:den>
            <m:r>
              <w:rPr>
                <w:rFonts w:ascii="Cambria Math" w:hAnsi="Cambria Math"/>
              </w:rPr>
              <m:t>1+bC</m:t>
            </m:r>
          </m:den>
        </m:f>
      </m:oMath>
      <w:r>
        <w:rPr>
          <w:iCs/>
        </w:rPr>
        <w:tab/>
      </w:r>
      <w:r w:rsidR="0081183F">
        <w:t>(</w:t>
      </w:r>
      <w:r w:rsidR="0081183F">
        <w:rPr>
          <w:rFonts w:hint="eastAsia"/>
          <w:lang w:eastAsia="zh-CN"/>
        </w:rPr>
        <w:t>3-6</w:t>
      </w:r>
      <w:r>
        <w:t>)</w:t>
      </w:r>
    </w:p>
    <w:p w14:paraId="09F69DAF" w14:textId="77777777" w:rsidR="00567D0C" w:rsidRDefault="00567D0C" w:rsidP="00567D0C">
      <w:r>
        <w:t xml:space="preserve">Where, </w:t>
      </w:r>
      <w:r w:rsidRPr="00957B4E">
        <w:rPr>
          <w:i/>
        </w:rPr>
        <w:t>ad</w:t>
      </w:r>
      <w:r>
        <w:t xml:space="preserve"> represents the adsorbed moles of component per unit pore volume. </w:t>
      </w:r>
      <w:r>
        <w:rPr>
          <w:i/>
        </w:rPr>
        <w:t>a</w:t>
      </w:r>
      <w:r>
        <w:t xml:space="preserve"> and </w:t>
      </w:r>
      <w:r>
        <w:rPr>
          <w:i/>
        </w:rPr>
        <w:t>b</w:t>
      </w:r>
      <w:r>
        <w:t xml:space="preserve"> are two parameters.</w:t>
      </w:r>
    </w:p>
    <w:p w14:paraId="550C04A9" w14:textId="3B4CDCFA" w:rsidR="00567D0C" w:rsidRDefault="0011235F" w:rsidP="00567D0C">
      <w:r>
        <w:t xml:space="preserve">It was </w:t>
      </w:r>
      <w:r w:rsidR="00567D0C">
        <w:t xml:space="preserve">assumed tracer adsorption on fracture and matrix was the same. Each case had the identical </w:t>
      </w:r>
      <w:r w:rsidR="00567D0C">
        <w:rPr>
          <w:i/>
        </w:rPr>
        <w:t>b</w:t>
      </w:r>
      <w:r w:rsidR="00567D0C">
        <w:t xml:space="preserve"> value of 100. The parameter </w:t>
      </w:r>
      <w:r w:rsidR="00567D0C">
        <w:rPr>
          <w:i/>
        </w:rPr>
        <w:t>a</w:t>
      </w:r>
      <w:r w:rsidR="00567D0C">
        <w:t xml:space="preserve"> had three different values to represent different adsorption capacity as shown </w:t>
      </w:r>
      <w:r w:rsidR="00567D0C" w:rsidRPr="009720CE">
        <w:t>in</w:t>
      </w:r>
      <w:r w:rsidR="005A6F71">
        <w:t xml:space="preserve"> </w:t>
      </w:r>
      <w:r w:rsidR="005A6F71">
        <w:fldChar w:fldCharType="begin"/>
      </w:r>
      <w:r w:rsidR="005A6F71">
        <w:instrText xml:space="preserve"> REF _Ref491964133 \h </w:instrText>
      </w:r>
      <w:r w:rsidR="005A6F71">
        <w:fldChar w:fldCharType="separate"/>
      </w:r>
      <w:r w:rsidR="00280FFF" w:rsidRPr="00541084">
        <w:rPr>
          <w:szCs w:val="22"/>
        </w:rPr>
        <w:t xml:space="preserve">Table </w:t>
      </w:r>
      <w:r w:rsidR="00280FFF">
        <w:rPr>
          <w:noProof/>
          <w:szCs w:val="22"/>
        </w:rPr>
        <w:t>3</w:t>
      </w:r>
      <w:r w:rsidR="00280FFF" w:rsidRPr="00541084">
        <w:rPr>
          <w:szCs w:val="22"/>
        </w:rPr>
        <w:noBreakHyphen/>
      </w:r>
      <w:r w:rsidR="00280FFF">
        <w:rPr>
          <w:noProof/>
          <w:szCs w:val="22"/>
        </w:rPr>
        <w:t>6</w:t>
      </w:r>
      <w:r w:rsidR="005A6F71">
        <w:fldChar w:fldCharType="end"/>
      </w:r>
      <w:r w:rsidR="00567D0C" w:rsidRPr="009720CE">
        <w:t>.</w:t>
      </w:r>
      <w:r w:rsidR="00567D0C">
        <w:t xml:space="preserve"> The tracer partition coefficient </w:t>
      </w:r>
      <w:r w:rsidR="005B0243">
        <w:t>i</w:t>
      </w:r>
      <w:r w:rsidR="00567D0C">
        <w:t>s 25</w:t>
      </w:r>
      <w:r w:rsidR="00BF5593">
        <w:t xml:space="preserve"> and matrix permeability is 50</w:t>
      </w:r>
      <w:r w:rsidR="00A80041">
        <w:t xml:space="preserve"> </w:t>
      </w:r>
      <w:r w:rsidR="00BF5593">
        <w:t>nd</w:t>
      </w:r>
      <w:r w:rsidR="00567D0C">
        <w:t>. The meaning of other terms in</w:t>
      </w:r>
      <w:r w:rsidR="005A6F71">
        <w:t xml:space="preserve"> </w:t>
      </w:r>
      <w:r w:rsidR="005A6F71">
        <w:fldChar w:fldCharType="begin"/>
      </w:r>
      <w:r w:rsidR="005A6F71">
        <w:instrText xml:space="preserve"> REF _Ref491964133 \h </w:instrText>
      </w:r>
      <w:r w:rsidR="005A6F71">
        <w:fldChar w:fldCharType="separate"/>
      </w:r>
      <w:r w:rsidR="00280FFF" w:rsidRPr="00541084">
        <w:rPr>
          <w:szCs w:val="22"/>
        </w:rPr>
        <w:t xml:space="preserve">Table </w:t>
      </w:r>
      <w:r w:rsidR="00280FFF">
        <w:rPr>
          <w:noProof/>
          <w:szCs w:val="22"/>
        </w:rPr>
        <w:t>3</w:t>
      </w:r>
      <w:r w:rsidR="00280FFF" w:rsidRPr="00541084">
        <w:rPr>
          <w:szCs w:val="22"/>
        </w:rPr>
        <w:noBreakHyphen/>
      </w:r>
      <w:r w:rsidR="00280FFF">
        <w:rPr>
          <w:noProof/>
          <w:szCs w:val="22"/>
        </w:rPr>
        <w:t>6</w:t>
      </w:r>
      <w:r w:rsidR="005A6F71">
        <w:fldChar w:fldCharType="end"/>
      </w:r>
      <w:r w:rsidR="00567D0C">
        <w:t xml:space="preserve"> is the </w:t>
      </w:r>
      <w:r w:rsidR="00567D0C">
        <w:lastRenderedPageBreak/>
        <w:t xml:space="preserve">same as previous. </w:t>
      </w:r>
      <w:r w:rsidR="005A6F71">
        <w:fldChar w:fldCharType="begin"/>
      </w:r>
      <w:r w:rsidR="005A6F71">
        <w:instrText xml:space="preserve"> REF _Ref491964177 \h </w:instrText>
      </w:r>
      <w:r w:rsidR="005A6F71">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17</w:t>
      </w:r>
      <w:r w:rsidR="005A6F71">
        <w:fldChar w:fldCharType="end"/>
      </w:r>
      <w:r w:rsidR="005A6F71">
        <w:t xml:space="preserve"> </w:t>
      </w:r>
      <w:r w:rsidR="00567D0C">
        <w:t xml:space="preserve">is the tracer production data. </w:t>
      </w:r>
      <w:r w:rsidR="00567D0C">
        <w:fldChar w:fldCharType="begin"/>
      </w:r>
      <w:r w:rsidR="00567D0C">
        <w:instrText xml:space="preserve"> REF _Ref450490315 \h </w:instrText>
      </w:r>
      <w:r w:rsidR="00567D0C">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18</w:t>
      </w:r>
      <w:r w:rsidR="00567D0C">
        <w:fldChar w:fldCharType="end"/>
      </w:r>
      <w:r w:rsidR="00567D0C">
        <w:t xml:space="preserve"> and </w:t>
      </w:r>
      <w:r w:rsidR="005A6F71">
        <w:fldChar w:fldCharType="begin"/>
      </w:r>
      <w:r w:rsidR="005A6F71">
        <w:instrText xml:space="preserve"> REF _Ref491964195 \h </w:instrText>
      </w:r>
      <w:r w:rsidR="005A6F71">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19</w:t>
      </w:r>
      <w:r w:rsidR="005A6F71">
        <w:fldChar w:fldCharType="end"/>
      </w:r>
      <w:r w:rsidR="005A6F71">
        <w:t xml:space="preserve"> </w:t>
      </w:r>
      <w:r w:rsidR="00567D0C">
        <w:t>are tracer distribution profile for cases of medium adsorption and high adsorption respectively. The tracer profile of low (no) adsorption case is the same with</w:t>
      </w:r>
      <w:r w:rsidR="005A6F71">
        <w:t xml:space="preserve"> </w:t>
      </w:r>
      <w:r w:rsidR="005A6F71">
        <w:fldChar w:fldCharType="begin"/>
      </w:r>
      <w:r w:rsidR="005A6F71">
        <w:instrText xml:space="preserve"> REF _Ref438024968 \h </w:instrText>
      </w:r>
      <w:r w:rsidR="005A6F71">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8</w:t>
      </w:r>
      <w:r w:rsidR="005A6F71">
        <w:fldChar w:fldCharType="end"/>
      </w:r>
      <w:r w:rsidR="00567D0C">
        <w:t>.</w:t>
      </w:r>
    </w:p>
    <w:p w14:paraId="491BA92D" w14:textId="77777777" w:rsidR="00567D0C" w:rsidRPr="009E6C74" w:rsidRDefault="00567D0C" w:rsidP="00567D0C">
      <w:pPr>
        <w:pStyle w:val="para1"/>
      </w:pPr>
    </w:p>
    <w:tbl>
      <w:tblPr>
        <w:tblStyle w:val="TableGrid"/>
        <w:tblW w:w="0" w:type="auto"/>
        <w:jc w:val="center"/>
        <w:tblLook w:val="04A0" w:firstRow="1" w:lastRow="0" w:firstColumn="1" w:lastColumn="0" w:noHBand="0" w:noVBand="1"/>
      </w:tblPr>
      <w:tblGrid>
        <w:gridCol w:w="3595"/>
        <w:gridCol w:w="1630"/>
        <w:gridCol w:w="1630"/>
        <w:gridCol w:w="1631"/>
      </w:tblGrid>
      <w:tr w:rsidR="00567D0C" w:rsidRPr="00721CAE" w14:paraId="437B4965" w14:textId="77777777" w:rsidTr="005A6F71">
        <w:trPr>
          <w:jc w:val="center"/>
        </w:trPr>
        <w:tc>
          <w:tcPr>
            <w:tcW w:w="8486" w:type="dxa"/>
            <w:gridSpan w:val="4"/>
            <w:tcBorders>
              <w:top w:val="single" w:sz="4" w:space="0" w:color="auto"/>
              <w:left w:val="single" w:sz="4" w:space="0" w:color="auto"/>
              <w:bottom w:val="single" w:sz="4" w:space="0" w:color="auto"/>
              <w:right w:val="single" w:sz="4" w:space="0" w:color="auto"/>
            </w:tcBorders>
            <w:vAlign w:val="center"/>
          </w:tcPr>
          <w:p w14:paraId="4535FEC3" w14:textId="77CF6EB8" w:rsidR="00567D0C" w:rsidRPr="00541084" w:rsidRDefault="00567D0C" w:rsidP="00BF3F9B">
            <w:pPr>
              <w:pStyle w:val="Caption"/>
              <w:rPr>
                <w:szCs w:val="22"/>
              </w:rPr>
            </w:pPr>
            <w:bookmarkStart w:id="170" w:name="_Ref491964133"/>
            <w:bookmarkStart w:id="171" w:name="_Toc494014266"/>
            <w:r w:rsidRPr="00541084">
              <w:rPr>
                <w:szCs w:val="22"/>
              </w:rPr>
              <w:t xml:space="preserve">Table </w:t>
            </w:r>
            <w:r w:rsidR="00A63F01" w:rsidRPr="00541084">
              <w:rPr>
                <w:szCs w:val="22"/>
              </w:rPr>
              <w:fldChar w:fldCharType="begin"/>
            </w:r>
            <w:r w:rsidR="00A63F01" w:rsidRPr="00541084">
              <w:rPr>
                <w:szCs w:val="22"/>
              </w:rPr>
              <w:instrText xml:space="preserve"> STYLEREF 1 \s </w:instrText>
            </w:r>
            <w:r w:rsidR="00A63F01" w:rsidRPr="00541084">
              <w:rPr>
                <w:szCs w:val="22"/>
              </w:rPr>
              <w:fldChar w:fldCharType="separate"/>
            </w:r>
            <w:r w:rsidR="00280FFF">
              <w:rPr>
                <w:noProof/>
                <w:szCs w:val="22"/>
              </w:rPr>
              <w:t>3</w:t>
            </w:r>
            <w:r w:rsidR="00A63F01" w:rsidRPr="00541084">
              <w:rPr>
                <w:noProof/>
                <w:szCs w:val="22"/>
              </w:rPr>
              <w:fldChar w:fldCharType="end"/>
            </w:r>
            <w:r w:rsidR="00A67B82" w:rsidRPr="00541084">
              <w:rPr>
                <w:szCs w:val="22"/>
              </w:rPr>
              <w:noBreakHyphen/>
            </w:r>
            <w:r w:rsidR="00A63F01" w:rsidRPr="00541084">
              <w:rPr>
                <w:szCs w:val="22"/>
              </w:rPr>
              <w:fldChar w:fldCharType="begin"/>
            </w:r>
            <w:r w:rsidR="00A63F01" w:rsidRPr="00541084">
              <w:rPr>
                <w:szCs w:val="22"/>
              </w:rPr>
              <w:instrText xml:space="preserve"> SEQ Table \* ARABIC \s 1 </w:instrText>
            </w:r>
            <w:r w:rsidR="00A63F01" w:rsidRPr="00541084">
              <w:rPr>
                <w:szCs w:val="22"/>
              </w:rPr>
              <w:fldChar w:fldCharType="separate"/>
            </w:r>
            <w:r w:rsidR="00280FFF">
              <w:rPr>
                <w:noProof/>
                <w:szCs w:val="22"/>
              </w:rPr>
              <w:t>6</w:t>
            </w:r>
            <w:r w:rsidR="00A63F01" w:rsidRPr="00541084">
              <w:rPr>
                <w:noProof/>
                <w:szCs w:val="22"/>
              </w:rPr>
              <w:fldChar w:fldCharType="end"/>
            </w:r>
            <w:bookmarkEnd w:id="170"/>
            <w:r w:rsidRPr="00541084">
              <w:rPr>
                <w:szCs w:val="22"/>
              </w:rPr>
              <w:t>. Comparison of Swept Volume with Different Adsorption Parameter</w:t>
            </w:r>
            <w:bookmarkEnd w:id="171"/>
          </w:p>
        </w:tc>
      </w:tr>
      <w:tr w:rsidR="00567D0C" w:rsidRPr="00721CAE" w14:paraId="1CB9EF12" w14:textId="77777777" w:rsidTr="005A6F71">
        <w:trPr>
          <w:jc w:val="center"/>
        </w:trPr>
        <w:tc>
          <w:tcPr>
            <w:tcW w:w="3595" w:type="dxa"/>
            <w:tcBorders>
              <w:top w:val="single" w:sz="4" w:space="0" w:color="auto"/>
            </w:tcBorders>
            <w:vAlign w:val="center"/>
          </w:tcPr>
          <w:p w14:paraId="6BBB7743" w14:textId="77777777" w:rsidR="00567D0C" w:rsidRPr="005A6F71" w:rsidRDefault="00567D0C" w:rsidP="005A6F71">
            <w:pPr>
              <w:pStyle w:val="TableNormal1"/>
              <w:rPr>
                <w:b/>
              </w:rPr>
            </w:pPr>
            <w:r w:rsidRPr="005A6F71">
              <w:rPr>
                <w:b/>
              </w:rPr>
              <w:t>Adsorption</w:t>
            </w:r>
          </w:p>
        </w:tc>
        <w:tc>
          <w:tcPr>
            <w:tcW w:w="1630" w:type="dxa"/>
            <w:tcBorders>
              <w:top w:val="single" w:sz="4" w:space="0" w:color="auto"/>
            </w:tcBorders>
            <w:vAlign w:val="center"/>
          </w:tcPr>
          <w:p w14:paraId="11DB41CD" w14:textId="77777777" w:rsidR="00567D0C" w:rsidRPr="00721CAE" w:rsidRDefault="00567D0C" w:rsidP="005A6F71">
            <w:pPr>
              <w:pStyle w:val="TableNormal1"/>
            </w:pPr>
            <w:r>
              <w:t>Low (No)</w:t>
            </w:r>
          </w:p>
        </w:tc>
        <w:tc>
          <w:tcPr>
            <w:tcW w:w="1630" w:type="dxa"/>
            <w:tcBorders>
              <w:top w:val="single" w:sz="4" w:space="0" w:color="auto"/>
            </w:tcBorders>
            <w:vAlign w:val="center"/>
          </w:tcPr>
          <w:p w14:paraId="2377FDB6" w14:textId="77777777" w:rsidR="00567D0C" w:rsidRPr="00721CAE" w:rsidRDefault="00567D0C" w:rsidP="005A6F71">
            <w:pPr>
              <w:pStyle w:val="TableNormal1"/>
            </w:pPr>
            <w:r>
              <w:t>Medium</w:t>
            </w:r>
          </w:p>
        </w:tc>
        <w:tc>
          <w:tcPr>
            <w:tcW w:w="1631" w:type="dxa"/>
            <w:tcBorders>
              <w:top w:val="single" w:sz="4" w:space="0" w:color="auto"/>
            </w:tcBorders>
            <w:vAlign w:val="center"/>
          </w:tcPr>
          <w:p w14:paraId="4D4CF759" w14:textId="77777777" w:rsidR="00567D0C" w:rsidRPr="00721CAE" w:rsidRDefault="00567D0C" w:rsidP="005A6F71">
            <w:pPr>
              <w:pStyle w:val="TableNormal1"/>
            </w:pPr>
            <w:r>
              <w:t>High</w:t>
            </w:r>
          </w:p>
        </w:tc>
      </w:tr>
      <w:tr w:rsidR="00567D0C" w:rsidRPr="00721CAE" w14:paraId="36DC93E0" w14:textId="77777777" w:rsidTr="005A6F71">
        <w:trPr>
          <w:jc w:val="center"/>
        </w:trPr>
        <w:tc>
          <w:tcPr>
            <w:tcW w:w="3595" w:type="dxa"/>
            <w:tcBorders>
              <w:top w:val="single" w:sz="4" w:space="0" w:color="auto"/>
            </w:tcBorders>
            <w:vAlign w:val="center"/>
          </w:tcPr>
          <w:p w14:paraId="241541EF" w14:textId="77777777" w:rsidR="00567D0C" w:rsidRPr="005A6F71" w:rsidRDefault="00567D0C" w:rsidP="005A6F71">
            <w:pPr>
              <w:pStyle w:val="TableNormal1"/>
              <w:rPr>
                <w:b/>
              </w:rPr>
            </w:pPr>
            <w:r w:rsidRPr="005A6F71">
              <w:rPr>
                <w:b/>
                <w:i/>
              </w:rPr>
              <w:t xml:space="preserve">a, </w:t>
            </w:r>
            <w:r w:rsidRPr="005A6F71">
              <w:rPr>
                <w:b/>
              </w:rPr>
              <w:t>lbmol/ft</w:t>
            </w:r>
            <w:r w:rsidRPr="005A6F71">
              <w:rPr>
                <w:b/>
                <w:vertAlign w:val="superscript"/>
              </w:rPr>
              <w:t>3</w:t>
            </w:r>
          </w:p>
        </w:tc>
        <w:tc>
          <w:tcPr>
            <w:tcW w:w="1630" w:type="dxa"/>
            <w:tcBorders>
              <w:top w:val="single" w:sz="4" w:space="0" w:color="auto"/>
            </w:tcBorders>
            <w:vAlign w:val="center"/>
          </w:tcPr>
          <w:p w14:paraId="5E8F30BC" w14:textId="77777777" w:rsidR="00567D0C" w:rsidRPr="00721CAE" w:rsidRDefault="00567D0C" w:rsidP="005A6F71">
            <w:pPr>
              <w:pStyle w:val="TableNormal1"/>
            </w:pPr>
            <w:r>
              <w:t>0</w:t>
            </w:r>
          </w:p>
        </w:tc>
        <w:tc>
          <w:tcPr>
            <w:tcW w:w="1630" w:type="dxa"/>
            <w:tcBorders>
              <w:top w:val="single" w:sz="4" w:space="0" w:color="auto"/>
            </w:tcBorders>
            <w:vAlign w:val="center"/>
          </w:tcPr>
          <w:p w14:paraId="364D7E01" w14:textId="77777777" w:rsidR="00567D0C" w:rsidRPr="00721CAE" w:rsidRDefault="00567D0C" w:rsidP="005A6F71">
            <w:pPr>
              <w:pStyle w:val="TableNormal1"/>
            </w:pPr>
            <w:r>
              <w:t>0.5</w:t>
            </w:r>
          </w:p>
        </w:tc>
        <w:tc>
          <w:tcPr>
            <w:tcW w:w="1631" w:type="dxa"/>
            <w:tcBorders>
              <w:top w:val="single" w:sz="4" w:space="0" w:color="auto"/>
            </w:tcBorders>
            <w:vAlign w:val="center"/>
          </w:tcPr>
          <w:p w14:paraId="55E7C0CE" w14:textId="77777777" w:rsidR="00567D0C" w:rsidRPr="00721CAE" w:rsidRDefault="00567D0C" w:rsidP="005A6F71">
            <w:pPr>
              <w:pStyle w:val="TableNormal1"/>
            </w:pPr>
            <w:r>
              <w:t>5</w:t>
            </w:r>
          </w:p>
        </w:tc>
      </w:tr>
      <w:tr w:rsidR="00567D0C" w:rsidRPr="00721CAE" w14:paraId="2BB07813" w14:textId="77777777" w:rsidTr="005A6F71">
        <w:trPr>
          <w:jc w:val="center"/>
        </w:trPr>
        <w:tc>
          <w:tcPr>
            <w:tcW w:w="3595" w:type="dxa"/>
            <w:vAlign w:val="center"/>
          </w:tcPr>
          <w:p w14:paraId="4721C793" w14:textId="77777777" w:rsidR="00567D0C" w:rsidRPr="005A6F71" w:rsidRDefault="00567D0C" w:rsidP="005A6F71">
            <w:pPr>
              <w:pStyle w:val="TableNormal1"/>
              <w:rPr>
                <w:b/>
              </w:rPr>
            </w:pPr>
            <w:r w:rsidRPr="005A6F71">
              <w:rPr>
                <w:b/>
              </w:rPr>
              <w:t>Total Swept Volume, ft</w:t>
            </w:r>
            <w:r w:rsidRPr="005A6F71">
              <w:rPr>
                <w:b/>
                <w:vertAlign w:val="superscript"/>
              </w:rPr>
              <w:t>3</w:t>
            </w:r>
          </w:p>
        </w:tc>
        <w:tc>
          <w:tcPr>
            <w:tcW w:w="1630" w:type="dxa"/>
            <w:vAlign w:val="center"/>
          </w:tcPr>
          <w:p w14:paraId="75F22C03" w14:textId="77777777" w:rsidR="00567D0C" w:rsidRPr="00721CAE" w:rsidRDefault="00567D0C" w:rsidP="005A6F71">
            <w:pPr>
              <w:pStyle w:val="TableNormal1"/>
            </w:pPr>
            <w:r>
              <w:t>1358</w:t>
            </w:r>
          </w:p>
        </w:tc>
        <w:tc>
          <w:tcPr>
            <w:tcW w:w="1630" w:type="dxa"/>
            <w:vAlign w:val="center"/>
          </w:tcPr>
          <w:p w14:paraId="668F7895" w14:textId="77777777" w:rsidR="00567D0C" w:rsidRPr="00721CAE" w:rsidRDefault="00567D0C" w:rsidP="005A6F71">
            <w:pPr>
              <w:pStyle w:val="TableNormal1"/>
            </w:pPr>
            <w:r>
              <w:t>1348</w:t>
            </w:r>
          </w:p>
        </w:tc>
        <w:tc>
          <w:tcPr>
            <w:tcW w:w="1631" w:type="dxa"/>
            <w:vAlign w:val="center"/>
          </w:tcPr>
          <w:p w14:paraId="2911D1F5" w14:textId="77777777" w:rsidR="00567D0C" w:rsidRPr="00721CAE" w:rsidRDefault="00567D0C" w:rsidP="005A6F71">
            <w:pPr>
              <w:pStyle w:val="TableNormal1"/>
            </w:pPr>
            <w:r>
              <w:t>1349</w:t>
            </w:r>
          </w:p>
        </w:tc>
      </w:tr>
      <w:tr w:rsidR="00567D0C" w:rsidRPr="00721CAE" w14:paraId="0638F655" w14:textId="77777777" w:rsidTr="005A6F71">
        <w:trPr>
          <w:jc w:val="center"/>
        </w:trPr>
        <w:tc>
          <w:tcPr>
            <w:tcW w:w="3595" w:type="dxa"/>
            <w:vAlign w:val="center"/>
          </w:tcPr>
          <w:p w14:paraId="2BFB431A" w14:textId="77777777" w:rsidR="00567D0C" w:rsidRPr="005A6F71" w:rsidRDefault="00567D0C" w:rsidP="005A6F71">
            <w:pPr>
              <w:pStyle w:val="TableNormal1"/>
              <w:rPr>
                <w:b/>
              </w:rPr>
            </w:pPr>
            <w:r w:rsidRPr="005A6F71">
              <w:rPr>
                <w:b/>
              </w:rPr>
              <w:t>Total Contacted Volume,  ft</w:t>
            </w:r>
            <w:r w:rsidRPr="005A6F71">
              <w:rPr>
                <w:b/>
                <w:vertAlign w:val="superscript"/>
              </w:rPr>
              <w:t>3</w:t>
            </w:r>
          </w:p>
        </w:tc>
        <w:tc>
          <w:tcPr>
            <w:tcW w:w="1630" w:type="dxa"/>
            <w:vAlign w:val="center"/>
          </w:tcPr>
          <w:p w14:paraId="6149F9E3" w14:textId="77777777" w:rsidR="00567D0C" w:rsidRPr="00721CAE" w:rsidRDefault="00567D0C" w:rsidP="005A6F71">
            <w:pPr>
              <w:pStyle w:val="TableNormal1"/>
            </w:pPr>
            <w:r>
              <w:t>1053</w:t>
            </w:r>
          </w:p>
        </w:tc>
        <w:tc>
          <w:tcPr>
            <w:tcW w:w="1630" w:type="dxa"/>
            <w:vAlign w:val="center"/>
          </w:tcPr>
          <w:p w14:paraId="6E045134" w14:textId="77777777" w:rsidR="00567D0C" w:rsidRPr="00721CAE" w:rsidRDefault="00567D0C" w:rsidP="005A6F71">
            <w:pPr>
              <w:pStyle w:val="TableNormal1"/>
            </w:pPr>
            <w:r>
              <w:t>820</w:t>
            </w:r>
          </w:p>
        </w:tc>
        <w:tc>
          <w:tcPr>
            <w:tcW w:w="1631" w:type="dxa"/>
            <w:vAlign w:val="center"/>
          </w:tcPr>
          <w:p w14:paraId="36AC2CA1" w14:textId="77777777" w:rsidR="00567D0C" w:rsidRPr="00721CAE" w:rsidRDefault="00567D0C" w:rsidP="005A6F71">
            <w:pPr>
              <w:pStyle w:val="TableNormal1"/>
            </w:pPr>
            <w:r>
              <w:t>373</w:t>
            </w:r>
          </w:p>
        </w:tc>
      </w:tr>
      <w:tr w:rsidR="00567D0C" w:rsidRPr="00721CAE" w14:paraId="3615B0D9" w14:textId="77777777" w:rsidTr="005A6F71">
        <w:trPr>
          <w:jc w:val="center"/>
        </w:trPr>
        <w:tc>
          <w:tcPr>
            <w:tcW w:w="3595" w:type="dxa"/>
            <w:vAlign w:val="center"/>
          </w:tcPr>
          <w:p w14:paraId="524EC630" w14:textId="77777777" w:rsidR="00567D0C" w:rsidRPr="005A6F71" w:rsidRDefault="00567D0C" w:rsidP="005A6F71">
            <w:pPr>
              <w:pStyle w:val="TableNormal1"/>
              <w:rPr>
                <w:b/>
              </w:rPr>
            </w:pPr>
            <w:r w:rsidRPr="005A6F71">
              <w:rPr>
                <w:b/>
              </w:rPr>
              <w:t>Contacted Fracture Volume,  ft</w:t>
            </w:r>
            <w:r w:rsidRPr="005A6F71">
              <w:rPr>
                <w:b/>
                <w:vertAlign w:val="superscript"/>
              </w:rPr>
              <w:t>3</w:t>
            </w:r>
          </w:p>
        </w:tc>
        <w:tc>
          <w:tcPr>
            <w:tcW w:w="1630" w:type="dxa"/>
            <w:vAlign w:val="center"/>
          </w:tcPr>
          <w:p w14:paraId="3315F8D4" w14:textId="77777777" w:rsidR="00567D0C" w:rsidRPr="00721CAE" w:rsidRDefault="00567D0C" w:rsidP="005A6F71">
            <w:pPr>
              <w:pStyle w:val="TableNormal1"/>
            </w:pPr>
            <w:r>
              <w:t>600</w:t>
            </w:r>
          </w:p>
        </w:tc>
        <w:tc>
          <w:tcPr>
            <w:tcW w:w="1630" w:type="dxa"/>
            <w:vAlign w:val="center"/>
          </w:tcPr>
          <w:p w14:paraId="6CF7AB3D" w14:textId="77777777" w:rsidR="00567D0C" w:rsidRPr="00721CAE" w:rsidRDefault="00567D0C" w:rsidP="005A6F71">
            <w:pPr>
              <w:pStyle w:val="TableNormal1"/>
            </w:pPr>
            <w:r>
              <w:t>513</w:t>
            </w:r>
          </w:p>
        </w:tc>
        <w:tc>
          <w:tcPr>
            <w:tcW w:w="1631" w:type="dxa"/>
            <w:vAlign w:val="center"/>
          </w:tcPr>
          <w:p w14:paraId="74713546" w14:textId="77777777" w:rsidR="00567D0C" w:rsidRPr="00721CAE" w:rsidRDefault="00567D0C" w:rsidP="005A6F71">
            <w:pPr>
              <w:pStyle w:val="TableNormal1"/>
            </w:pPr>
            <w:r>
              <w:t>279</w:t>
            </w:r>
          </w:p>
        </w:tc>
      </w:tr>
      <w:tr w:rsidR="00567D0C" w:rsidRPr="00721CAE" w14:paraId="7548DD37" w14:textId="77777777" w:rsidTr="005A6F71">
        <w:trPr>
          <w:jc w:val="center"/>
        </w:trPr>
        <w:tc>
          <w:tcPr>
            <w:tcW w:w="3595" w:type="dxa"/>
            <w:vAlign w:val="center"/>
          </w:tcPr>
          <w:p w14:paraId="792E3664" w14:textId="77777777" w:rsidR="00567D0C" w:rsidRPr="005A6F71" w:rsidRDefault="00567D0C" w:rsidP="005A6F71">
            <w:pPr>
              <w:pStyle w:val="TableNormal1"/>
              <w:rPr>
                <w:b/>
              </w:rPr>
            </w:pPr>
            <w:r w:rsidRPr="005A6F71">
              <w:rPr>
                <w:b/>
              </w:rPr>
              <w:t>Corrected Swept Volume, ft</w:t>
            </w:r>
            <w:r w:rsidRPr="005A6F71">
              <w:rPr>
                <w:b/>
                <w:vertAlign w:val="superscript"/>
              </w:rPr>
              <w:t>3</w:t>
            </w:r>
          </w:p>
        </w:tc>
        <w:tc>
          <w:tcPr>
            <w:tcW w:w="1630" w:type="dxa"/>
            <w:vAlign w:val="center"/>
          </w:tcPr>
          <w:p w14:paraId="7CE9980E" w14:textId="77777777" w:rsidR="00567D0C" w:rsidRPr="00721CAE" w:rsidRDefault="00567D0C" w:rsidP="005A6F71">
            <w:pPr>
              <w:pStyle w:val="TableNormal1"/>
            </w:pPr>
            <w:r>
              <w:t>835</w:t>
            </w:r>
          </w:p>
        </w:tc>
        <w:tc>
          <w:tcPr>
            <w:tcW w:w="1630" w:type="dxa"/>
            <w:vAlign w:val="center"/>
          </w:tcPr>
          <w:p w14:paraId="287B497F" w14:textId="77777777" w:rsidR="00567D0C" w:rsidRPr="00721CAE" w:rsidRDefault="00567D0C" w:rsidP="005A6F71">
            <w:pPr>
              <w:pStyle w:val="TableNormal1"/>
            </w:pPr>
            <w:r>
              <w:t>855</w:t>
            </w:r>
          </w:p>
        </w:tc>
        <w:tc>
          <w:tcPr>
            <w:tcW w:w="1631" w:type="dxa"/>
            <w:vAlign w:val="center"/>
          </w:tcPr>
          <w:p w14:paraId="1CBF6315" w14:textId="77777777" w:rsidR="00567D0C" w:rsidRPr="00721CAE" w:rsidRDefault="00567D0C" w:rsidP="005A6F71">
            <w:pPr>
              <w:pStyle w:val="TableNormal1"/>
            </w:pPr>
            <w:r>
              <w:t>974</w:t>
            </w:r>
          </w:p>
        </w:tc>
      </w:tr>
    </w:tbl>
    <w:p w14:paraId="075B76DA" w14:textId="77777777" w:rsidR="00567D0C" w:rsidRPr="00B92860" w:rsidRDefault="00567D0C" w:rsidP="00567D0C">
      <w:pPr>
        <w:pStyle w:val="para1"/>
      </w:pPr>
    </w:p>
    <w:p w14:paraId="5AEB4403" w14:textId="77777777" w:rsidR="00567D0C" w:rsidRDefault="00567D0C" w:rsidP="005A6F71">
      <w:pPr>
        <w:pStyle w:val="TableNormal1"/>
      </w:pPr>
      <w:r>
        <w:drawing>
          <wp:inline distT="0" distB="0" distL="0" distR="0" wp14:anchorId="16FC8D3A" wp14:editId="71C2A8DC">
            <wp:extent cx="4187844" cy="3291840"/>
            <wp:effectExtent l="0" t="0" r="3175"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87844" cy="3291840"/>
                    </a:xfrm>
                    <a:prstGeom prst="rect">
                      <a:avLst/>
                    </a:prstGeom>
                    <a:noFill/>
                    <a:ln>
                      <a:noFill/>
                    </a:ln>
                  </pic:spPr>
                </pic:pic>
              </a:graphicData>
            </a:graphic>
          </wp:inline>
        </w:drawing>
      </w:r>
    </w:p>
    <w:p w14:paraId="0E9D177C" w14:textId="6A34E388" w:rsidR="00567D0C" w:rsidRPr="00541084" w:rsidRDefault="00567D0C" w:rsidP="00BF3F9B">
      <w:pPr>
        <w:pStyle w:val="Caption"/>
        <w:rPr>
          <w:szCs w:val="22"/>
        </w:rPr>
      </w:pPr>
      <w:bookmarkStart w:id="172" w:name="_Ref491964177"/>
      <w:bookmarkStart w:id="173" w:name="_Toc495144740"/>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17</w:t>
      </w:r>
      <w:r w:rsidR="00280FFF">
        <w:rPr>
          <w:szCs w:val="22"/>
        </w:rPr>
        <w:fldChar w:fldCharType="end"/>
      </w:r>
      <w:bookmarkEnd w:id="172"/>
      <w:r w:rsidRPr="00541084">
        <w:rPr>
          <w:szCs w:val="22"/>
        </w:rPr>
        <w:t>. Partitioning chemical tracer production data in gas. Solid lines are simulation output. The dashed lines are the extrapolation based on the first linear section. This figure shows the difference between the cases with different adsorption.</w:t>
      </w:r>
      <w:bookmarkEnd w:id="173"/>
    </w:p>
    <w:p w14:paraId="3B9AB535" w14:textId="77777777" w:rsidR="00567D0C" w:rsidRDefault="00567D0C" w:rsidP="00567D0C"/>
    <w:p w14:paraId="39267ED5" w14:textId="77777777" w:rsidR="00567D0C" w:rsidRDefault="00567D0C" w:rsidP="005A6F71">
      <w:pPr>
        <w:pStyle w:val="TableNormal1"/>
      </w:pPr>
      <w:r>
        <w:lastRenderedPageBreak/>
        <w:drawing>
          <wp:inline distT="0" distB="0" distL="0" distR="0" wp14:anchorId="53D4E201" wp14:editId="28EF115D">
            <wp:extent cx="4261757" cy="3291840"/>
            <wp:effectExtent l="0" t="0" r="5715" b="381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61757" cy="3291840"/>
                    </a:xfrm>
                    <a:prstGeom prst="rect">
                      <a:avLst/>
                    </a:prstGeom>
                    <a:noFill/>
                    <a:ln>
                      <a:noFill/>
                    </a:ln>
                  </pic:spPr>
                </pic:pic>
              </a:graphicData>
            </a:graphic>
          </wp:inline>
        </w:drawing>
      </w:r>
    </w:p>
    <w:p w14:paraId="14DC7D49" w14:textId="4EC3A9E1" w:rsidR="00567D0C" w:rsidRPr="00541084" w:rsidRDefault="00567D0C" w:rsidP="00BF3F9B">
      <w:pPr>
        <w:pStyle w:val="Caption"/>
        <w:rPr>
          <w:szCs w:val="22"/>
        </w:rPr>
      </w:pPr>
      <w:bookmarkStart w:id="174" w:name="_Ref450490315"/>
      <w:bookmarkStart w:id="175" w:name="_Toc495144741"/>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18</w:t>
      </w:r>
      <w:r w:rsidR="00280FFF">
        <w:rPr>
          <w:szCs w:val="22"/>
        </w:rPr>
        <w:fldChar w:fldCharType="end"/>
      </w:r>
      <w:bookmarkEnd w:id="174"/>
      <w:r w:rsidRPr="00541084">
        <w:rPr>
          <w:szCs w:val="22"/>
        </w:rPr>
        <w:t>. The tracer distribution profile inside domain at the end of shut in. Medium adsorption.</w:t>
      </w:r>
      <w:bookmarkEnd w:id="175"/>
      <w:r w:rsidRPr="00541084">
        <w:rPr>
          <w:szCs w:val="22"/>
        </w:rPr>
        <w:t xml:space="preserve"> </w:t>
      </w:r>
    </w:p>
    <w:p w14:paraId="69BF0D11" w14:textId="77777777" w:rsidR="00567D0C" w:rsidRDefault="00567D0C" w:rsidP="005A6F71">
      <w:pPr>
        <w:pStyle w:val="TableNormal1"/>
      </w:pPr>
      <w:r>
        <w:drawing>
          <wp:inline distT="0" distB="0" distL="0" distR="0" wp14:anchorId="7679DDD2" wp14:editId="3C3FB49B">
            <wp:extent cx="4261758" cy="3291840"/>
            <wp:effectExtent l="0" t="0" r="5715" b="381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61758" cy="3291840"/>
                    </a:xfrm>
                    <a:prstGeom prst="rect">
                      <a:avLst/>
                    </a:prstGeom>
                    <a:noFill/>
                    <a:ln>
                      <a:noFill/>
                    </a:ln>
                  </pic:spPr>
                </pic:pic>
              </a:graphicData>
            </a:graphic>
          </wp:inline>
        </w:drawing>
      </w:r>
    </w:p>
    <w:p w14:paraId="6165442D" w14:textId="6F26D021" w:rsidR="00567D0C" w:rsidRPr="00541084" w:rsidRDefault="00567D0C" w:rsidP="00BF3F9B">
      <w:pPr>
        <w:pStyle w:val="Caption"/>
        <w:rPr>
          <w:szCs w:val="22"/>
        </w:rPr>
      </w:pPr>
      <w:bookmarkStart w:id="176" w:name="_Ref491964195"/>
      <w:bookmarkStart w:id="177" w:name="_Toc495144742"/>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3</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19</w:t>
      </w:r>
      <w:r w:rsidR="00280FFF">
        <w:rPr>
          <w:szCs w:val="22"/>
        </w:rPr>
        <w:fldChar w:fldCharType="end"/>
      </w:r>
      <w:bookmarkEnd w:id="176"/>
      <w:r w:rsidRPr="00541084">
        <w:rPr>
          <w:szCs w:val="22"/>
        </w:rPr>
        <w:t>. The tracer distribution profile inside domain at the end of shut in. High adsorption.</w:t>
      </w:r>
      <w:bookmarkEnd w:id="177"/>
    </w:p>
    <w:p w14:paraId="04F56DFC" w14:textId="77777777" w:rsidR="00567D0C" w:rsidRPr="00541084" w:rsidRDefault="00567D0C" w:rsidP="00BF3F9B">
      <w:pPr>
        <w:pStyle w:val="Caption"/>
        <w:rPr>
          <w:szCs w:val="22"/>
        </w:rPr>
      </w:pPr>
    </w:p>
    <w:p w14:paraId="568904C8" w14:textId="76F9B9CE" w:rsidR="00567D0C" w:rsidRDefault="00567D0C" w:rsidP="00567D0C">
      <w:r>
        <w:lastRenderedPageBreak/>
        <w:t xml:space="preserve">The tracer distribution profile demonstrates that tracer penetrates less into the fracture and matrix when there is adsorption. Tracer particles are adsorbed on the grain surface near the wellbore instead of flowing farther. The tracer production is delayed due to the adsorption as well </w:t>
      </w:r>
      <w:r w:rsidR="005A6F71">
        <w:t>(</w:t>
      </w:r>
      <w:r w:rsidR="005A6F71">
        <w:fldChar w:fldCharType="begin"/>
      </w:r>
      <w:r w:rsidR="005A6F71">
        <w:instrText xml:space="preserve"> REF _Ref491964177 \h </w:instrText>
      </w:r>
      <w:r w:rsidR="005A6F71">
        <w:fldChar w:fldCharType="separate"/>
      </w:r>
      <w:r w:rsidR="00280FFF" w:rsidRPr="00541084">
        <w:rPr>
          <w:szCs w:val="22"/>
        </w:rPr>
        <w:t xml:space="preserve">Figure </w:t>
      </w:r>
      <w:r w:rsidR="00280FFF">
        <w:rPr>
          <w:noProof/>
          <w:szCs w:val="22"/>
        </w:rPr>
        <w:t>3</w:t>
      </w:r>
      <w:r w:rsidR="00280FFF">
        <w:rPr>
          <w:szCs w:val="22"/>
        </w:rPr>
        <w:noBreakHyphen/>
      </w:r>
      <w:r w:rsidR="00280FFF">
        <w:rPr>
          <w:noProof/>
          <w:szCs w:val="22"/>
        </w:rPr>
        <w:t>17</w:t>
      </w:r>
      <w:r w:rsidR="005A6F71">
        <w:fldChar w:fldCharType="end"/>
      </w:r>
      <w:r>
        <w:t xml:space="preserve">). </w:t>
      </w:r>
    </w:p>
    <w:p w14:paraId="61895B40" w14:textId="18B4A61F" w:rsidR="00567D0C" w:rsidRDefault="005A6F71" w:rsidP="00567D0C">
      <w:r>
        <w:fldChar w:fldCharType="begin"/>
      </w:r>
      <w:r>
        <w:instrText xml:space="preserve"> REF _Ref491964133 \h </w:instrText>
      </w:r>
      <w:r>
        <w:fldChar w:fldCharType="separate"/>
      </w:r>
      <w:r w:rsidR="00280FFF" w:rsidRPr="00541084">
        <w:rPr>
          <w:szCs w:val="22"/>
        </w:rPr>
        <w:t xml:space="preserve">Table </w:t>
      </w:r>
      <w:r w:rsidR="00280FFF">
        <w:rPr>
          <w:noProof/>
          <w:szCs w:val="22"/>
        </w:rPr>
        <w:t>3</w:t>
      </w:r>
      <w:r w:rsidR="00280FFF" w:rsidRPr="00541084">
        <w:rPr>
          <w:szCs w:val="22"/>
        </w:rPr>
        <w:noBreakHyphen/>
      </w:r>
      <w:r w:rsidR="00280FFF">
        <w:rPr>
          <w:noProof/>
          <w:szCs w:val="22"/>
        </w:rPr>
        <w:t>6</w:t>
      </w:r>
      <w:r>
        <w:fldChar w:fldCharType="end"/>
      </w:r>
      <w:r w:rsidR="0011235F">
        <w:t xml:space="preserve"> illustrates</w:t>
      </w:r>
      <w:r w:rsidR="00567D0C">
        <w:t xml:space="preserve"> that the difference between the ‘Total Swept Volume’ and the ‘Total Contacted Volume’ is getting larger with the adsorption. The same trend is also observed for the difference between the ‘Corrected Swept Volume’ and the ‘Contacted Fracture Volume’. This result indicates that the partitioning production data could not provide reliable estimation of the total swept volume or fracture volume. Hence, adsorption should be avoided when selecting the tracer for fracture volume diagnosis.</w:t>
      </w:r>
    </w:p>
    <w:p w14:paraId="6D7E83FC" w14:textId="77777777" w:rsidR="002659FC" w:rsidRPr="00567D0C" w:rsidRDefault="002659FC" w:rsidP="00567D0C"/>
    <w:p w14:paraId="299A3D4E" w14:textId="77777777" w:rsidR="00A85DF8" w:rsidRDefault="006E2F7E" w:rsidP="006E2F7E">
      <w:pPr>
        <w:pStyle w:val="Heading2"/>
      </w:pPr>
      <w:bookmarkStart w:id="178" w:name="_Toc494014220"/>
      <w:r>
        <w:t>Conclusion</w:t>
      </w:r>
      <w:bookmarkEnd w:id="178"/>
    </w:p>
    <w:p w14:paraId="1D2E9C66" w14:textId="5DA63B5A" w:rsidR="00CF75C3" w:rsidRDefault="00CF75C3" w:rsidP="00CF75C3">
      <w:r>
        <w:t xml:space="preserve">This </w:t>
      </w:r>
      <w:r w:rsidR="0081183F">
        <w:t>chapter</w:t>
      </w:r>
      <w:r>
        <w:t xml:space="preserve"> introduces an approach to estimate fracture volume by injecting</w:t>
      </w:r>
      <w:r w:rsidRPr="00036234">
        <w:t xml:space="preserve"> a </w:t>
      </w:r>
      <w:r w:rsidR="005E1148">
        <w:t>slug</w:t>
      </w:r>
      <w:r w:rsidRPr="00036234">
        <w:t xml:space="preserve"> of aqueous solution </w:t>
      </w:r>
      <w:r>
        <w:t>containing a partitioning tracer into a shale gas reservoir. T</w:t>
      </w:r>
      <w:r w:rsidRPr="00036234">
        <w:t>he tracer will continuously partition into and</w:t>
      </w:r>
      <w:r>
        <w:t xml:space="preserve"> out of the liquid water phase. The tracer in solution will penetrate</w:t>
      </w:r>
      <w:r w:rsidRPr="00036234">
        <w:t xml:space="preserve"> into the rock matrix formation and some of them will be in the fracture. When the</w:t>
      </w:r>
      <w:r w:rsidRPr="00C3349F">
        <w:t xml:space="preserve"> well is flowing back, the injected tracers are sampled </w:t>
      </w:r>
      <w:r w:rsidR="000D000C">
        <w:t xml:space="preserve">during the </w:t>
      </w:r>
      <w:r w:rsidRPr="00C3349F">
        <w:t>production of gas, and the t</w:t>
      </w:r>
      <w:r>
        <w:t>racer test can be analyzed for fracturing</w:t>
      </w:r>
      <w:r w:rsidRPr="00C3349F">
        <w:t xml:space="preserve"> information</w:t>
      </w:r>
      <w:r>
        <w:t xml:space="preserve">. </w:t>
      </w:r>
      <w:r w:rsidR="0011235F">
        <w:t>N</w:t>
      </w:r>
      <w:r>
        <w:t xml:space="preserve">umerical simulation </w:t>
      </w:r>
      <w:r w:rsidR="0011235F">
        <w:t xml:space="preserve">was employed </w:t>
      </w:r>
      <w:r>
        <w:t>to validate the use of MoM in estimating fracture volume and the impact of fracking fluid infiltration into the matrix. The impacts of partition coefficient and adsorption are also investigated. Several following conclusions are made:</w:t>
      </w:r>
    </w:p>
    <w:p w14:paraId="2032BE56" w14:textId="2406577B" w:rsidR="00CF75C3" w:rsidRDefault="00CF75C3" w:rsidP="00295701">
      <w:pPr>
        <w:pStyle w:val="ListParagraph"/>
        <w:numPr>
          <w:ilvl w:val="0"/>
          <w:numId w:val="8"/>
        </w:numPr>
        <w:ind w:left="720"/>
      </w:pPr>
      <w:r>
        <w:lastRenderedPageBreak/>
        <w:t xml:space="preserve">MoM </w:t>
      </w:r>
      <w:r w:rsidR="00A80041">
        <w:t>can be used to</w:t>
      </w:r>
      <w:r>
        <w:t xml:space="preserve"> determine the swept volume of partitioning tracer under two-mobile-phase condition. </w:t>
      </w:r>
    </w:p>
    <w:p w14:paraId="55BCB571" w14:textId="308CDAA0" w:rsidR="00CF75C3" w:rsidRDefault="00CF75C3" w:rsidP="00295701">
      <w:pPr>
        <w:pStyle w:val="ListParagraph"/>
        <w:numPr>
          <w:ilvl w:val="0"/>
          <w:numId w:val="8"/>
        </w:numPr>
        <w:ind w:left="720"/>
      </w:pPr>
      <w:r>
        <w:t xml:space="preserve">The tracer production data </w:t>
      </w:r>
      <w:r w:rsidR="00A80041">
        <w:t>indicate</w:t>
      </w:r>
      <w:r>
        <w:t xml:space="preserve"> the total volume of fracture and infiltration zone. </w:t>
      </w:r>
    </w:p>
    <w:p w14:paraId="4389A5D7" w14:textId="664F26B5" w:rsidR="00CF75C3" w:rsidRDefault="00CF75C3" w:rsidP="00295701">
      <w:pPr>
        <w:pStyle w:val="ListParagraph"/>
        <w:numPr>
          <w:ilvl w:val="0"/>
          <w:numId w:val="8"/>
        </w:numPr>
        <w:ind w:left="720"/>
      </w:pPr>
      <w:r>
        <w:t xml:space="preserve">Two linear relationships of tracer tail are observed when fracture exists. Extrapolating the first straight section using exponential decline </w:t>
      </w:r>
      <w:r w:rsidR="00FE3B38">
        <w:t xml:space="preserve">law </w:t>
      </w:r>
      <w:r>
        <w:t>can estimate fracture volume. Its accuracy is influenced by permeability ratio</w:t>
      </w:r>
      <w:r w:rsidR="00A80041">
        <w:t xml:space="preserve"> between </w:t>
      </w:r>
      <w:r w:rsidR="005027A4">
        <w:t>2,000</w:t>
      </w:r>
      <w:r w:rsidR="00A80041">
        <w:t xml:space="preserve"> and </w:t>
      </w:r>
      <w:r w:rsidR="005027A4">
        <w:t>200,000.</w:t>
      </w:r>
    </w:p>
    <w:p w14:paraId="12ABF144" w14:textId="77777777" w:rsidR="00CF75C3" w:rsidRPr="00E863DB" w:rsidRDefault="00CF75C3" w:rsidP="00295701">
      <w:pPr>
        <w:pStyle w:val="ListParagraph"/>
        <w:numPr>
          <w:ilvl w:val="0"/>
          <w:numId w:val="8"/>
        </w:numPr>
        <w:ind w:left="720"/>
      </w:pPr>
      <w:r>
        <w:t xml:space="preserve">Partitioning tracer has rapid feedback even though the injected fracking fluid is trapped in the system. The tracer test is therefore time-efficient. </w:t>
      </w:r>
    </w:p>
    <w:p w14:paraId="69536E1B" w14:textId="77777777" w:rsidR="005A6F71" w:rsidRDefault="005A6F71" w:rsidP="00295701">
      <w:pPr>
        <w:pStyle w:val="ListParagraph"/>
        <w:numPr>
          <w:ilvl w:val="0"/>
          <w:numId w:val="8"/>
        </w:numPr>
        <w:ind w:left="720"/>
      </w:pPr>
      <w:r>
        <w:t>Increase the partition coefficient can increase the accuracy of swept volume estimation from tracer production data. The partitioning chemical tracer will also flow back faster if it is more soluble in gas.</w:t>
      </w:r>
    </w:p>
    <w:p w14:paraId="40B3E8AF" w14:textId="77777777" w:rsidR="005A6F71" w:rsidRDefault="005A6F71" w:rsidP="00295701">
      <w:pPr>
        <w:pStyle w:val="ListParagraph"/>
        <w:numPr>
          <w:ilvl w:val="0"/>
          <w:numId w:val="8"/>
        </w:numPr>
        <w:ind w:left="720"/>
      </w:pPr>
      <w:r>
        <w:t>The tracer with high partition coefficient will not be able to reflect the actual fracture volume. When the partition coefficient is small, the calculated volume does not accurately reflect the swept volume. Therefore, careful selection of partition coefficient is required.</w:t>
      </w:r>
    </w:p>
    <w:p w14:paraId="50F26A79" w14:textId="77777777" w:rsidR="005A6F71" w:rsidRDefault="005A6F71" w:rsidP="00295701">
      <w:pPr>
        <w:pStyle w:val="ListParagraph"/>
        <w:numPr>
          <w:ilvl w:val="0"/>
          <w:numId w:val="8"/>
        </w:numPr>
        <w:ind w:left="720"/>
      </w:pPr>
      <w:r>
        <w:t>The tracer adsorption should be avoided when selecting the tracer for fracture volume diagnosis.</w:t>
      </w:r>
    </w:p>
    <w:p w14:paraId="7EEB892E" w14:textId="1A726DB3" w:rsidR="005A6F71" w:rsidRDefault="005A6F71" w:rsidP="005A6F71"/>
    <w:p w14:paraId="32E7220D" w14:textId="306595AD" w:rsidR="00433649" w:rsidRDefault="00433649" w:rsidP="005A6F71"/>
    <w:p w14:paraId="442BDE52" w14:textId="77777777" w:rsidR="00433649" w:rsidRPr="005A6F71" w:rsidRDefault="00433649" w:rsidP="005A6F71"/>
    <w:p w14:paraId="2CFAB920" w14:textId="77777777" w:rsidR="006E2F7E" w:rsidRPr="00CF7134" w:rsidRDefault="006E2F7E" w:rsidP="006E2F7E">
      <w:pPr>
        <w:pStyle w:val="Heading2"/>
        <w:numPr>
          <w:ilvl w:val="0"/>
          <w:numId w:val="0"/>
        </w:numPr>
      </w:pPr>
      <w:bookmarkStart w:id="179" w:name="_Toc494014221"/>
      <w:r>
        <w:lastRenderedPageBreak/>
        <w:t>Nomenclature</w:t>
      </w:r>
      <w:bookmarkEnd w:id="179"/>
    </w:p>
    <w:p w14:paraId="299CCD94" w14:textId="77777777" w:rsidR="006E2F7E" w:rsidRPr="006E2F7E" w:rsidRDefault="006E2F7E" w:rsidP="006E2F7E">
      <w:pPr>
        <w:pStyle w:val="Para0"/>
        <w:spacing w:line="480" w:lineRule="auto"/>
        <w:rPr>
          <w:b/>
        </w:rPr>
      </w:pPr>
      <w:r w:rsidRPr="006E2F7E">
        <w:rPr>
          <w:b/>
        </w:rPr>
        <w:t>Normal</w:t>
      </w:r>
      <w:r w:rsidRPr="006E2F7E">
        <w:rPr>
          <w:b/>
        </w:rPr>
        <w:tab/>
      </w:r>
    </w:p>
    <w:p w14:paraId="7F876F25" w14:textId="77777777" w:rsidR="002B0191" w:rsidRPr="002B0191" w:rsidRDefault="002B0191" w:rsidP="002B0191">
      <w:pPr>
        <w:pStyle w:val="Nomenclature"/>
        <w:spacing w:line="480" w:lineRule="auto"/>
        <w:ind w:left="1037" w:hanging="1037"/>
        <w:rPr>
          <w:rFonts w:ascii="Cambria Math" w:hAnsi="Cambria Math"/>
          <w:iCs/>
          <w:sz w:val="24"/>
          <w:szCs w:val="24"/>
        </w:rPr>
      </w:pPr>
      <m:oMath>
        <m:r>
          <w:rPr>
            <w:rFonts w:ascii="Cambria Math" w:hAnsi="Cambria Math"/>
            <w:sz w:val="24"/>
            <w:szCs w:val="24"/>
          </w:rPr>
          <m:t>ad</m:t>
        </m:r>
      </m:oMath>
      <w:r w:rsidRPr="002B0191">
        <w:rPr>
          <w:rFonts w:ascii="Cambria Math" w:hAnsi="Cambria Math"/>
          <w:iCs/>
          <w:sz w:val="24"/>
          <w:szCs w:val="24"/>
        </w:rPr>
        <w:tab/>
      </w:r>
      <w:r w:rsidRPr="002B0191">
        <w:rPr>
          <w:rFonts w:ascii="Cambria Math" w:hAnsi="Cambria Math"/>
          <w:iCs/>
          <w:sz w:val="24"/>
          <w:szCs w:val="24"/>
        </w:rPr>
        <w:tab/>
        <w:t>=adsorbed moles of component,  mol/L</w:t>
      </w:r>
      <w:r w:rsidRPr="002B0191">
        <w:rPr>
          <w:rFonts w:ascii="Cambria Math" w:hAnsi="Cambria Math"/>
          <w:iCs/>
          <w:sz w:val="24"/>
          <w:szCs w:val="24"/>
          <w:vertAlign w:val="superscript"/>
        </w:rPr>
        <w:t>3</w:t>
      </w:r>
    </w:p>
    <w:p w14:paraId="09BFCA1E" w14:textId="77777777" w:rsidR="002B0191" w:rsidRPr="002B0191" w:rsidRDefault="002B0191" w:rsidP="002B0191">
      <w:pPr>
        <w:pStyle w:val="Nomenclature"/>
        <w:spacing w:line="480" w:lineRule="auto"/>
        <w:ind w:left="1037" w:hanging="1037"/>
        <w:rPr>
          <w:rFonts w:ascii="Cambria Math" w:hAnsi="Cambria Math"/>
          <w:iCs/>
          <w:sz w:val="24"/>
          <w:szCs w:val="24"/>
        </w:rPr>
      </w:pPr>
      <m:oMath>
        <m:r>
          <w:rPr>
            <w:rFonts w:ascii="Cambria Math" w:hAnsi="Cambria Math"/>
            <w:sz w:val="24"/>
            <w:szCs w:val="24"/>
          </w:rPr>
          <m:t>a</m:t>
        </m:r>
      </m:oMath>
      <w:r w:rsidRPr="002B0191">
        <w:rPr>
          <w:rFonts w:ascii="Cambria Math" w:hAnsi="Cambria Math"/>
          <w:iCs/>
          <w:sz w:val="24"/>
          <w:szCs w:val="24"/>
        </w:rPr>
        <w:tab/>
      </w:r>
      <w:r w:rsidRPr="002B0191">
        <w:rPr>
          <w:rFonts w:ascii="Cambria Math" w:hAnsi="Cambria Math"/>
          <w:iCs/>
          <w:sz w:val="24"/>
          <w:szCs w:val="24"/>
        </w:rPr>
        <w:tab/>
        <w:t>=First coefficient of Langmuir expression,  mol/L</w:t>
      </w:r>
      <w:r w:rsidRPr="002B0191">
        <w:rPr>
          <w:rFonts w:ascii="Cambria Math" w:hAnsi="Cambria Math"/>
          <w:iCs/>
          <w:sz w:val="24"/>
          <w:szCs w:val="24"/>
          <w:vertAlign w:val="superscript"/>
        </w:rPr>
        <w:t>3</w:t>
      </w:r>
    </w:p>
    <w:p w14:paraId="1DB99520" w14:textId="77777777" w:rsidR="002B0191" w:rsidRPr="002B0191" w:rsidRDefault="002B0191" w:rsidP="002B0191">
      <w:pPr>
        <w:pStyle w:val="Nomenclature"/>
        <w:spacing w:line="480" w:lineRule="auto"/>
        <w:ind w:left="1037" w:hanging="1037"/>
        <w:rPr>
          <w:rFonts w:ascii="Cambria Math" w:hAnsi="Cambria Math"/>
          <w:sz w:val="24"/>
          <w:szCs w:val="24"/>
        </w:rPr>
      </w:pPr>
      <m:oMath>
        <m:r>
          <w:rPr>
            <w:rFonts w:ascii="Cambria Math" w:hAnsi="Cambria Math"/>
            <w:sz w:val="24"/>
            <w:szCs w:val="24"/>
          </w:rPr>
          <m:t>B</m:t>
        </m:r>
      </m:oMath>
      <w:r w:rsidRPr="002B0191">
        <w:rPr>
          <w:rFonts w:ascii="Cambria Math" w:hAnsi="Cambria Math"/>
          <w:iCs/>
          <w:sz w:val="24"/>
          <w:szCs w:val="24"/>
        </w:rPr>
        <w:tab/>
      </w:r>
      <w:r w:rsidRPr="002B0191">
        <w:rPr>
          <w:rFonts w:ascii="Cambria Math" w:hAnsi="Cambria Math"/>
          <w:iCs/>
          <w:sz w:val="24"/>
          <w:szCs w:val="24"/>
        </w:rPr>
        <w:tab/>
        <w:t>=</w:t>
      </w:r>
      <m:oMath>
        <m:r>
          <w:rPr>
            <w:rFonts w:ascii="Cambria Math" w:hAnsi="Cambria Math"/>
            <w:sz w:val="24"/>
            <w:szCs w:val="24"/>
          </w:rPr>
          <m:t>Formation volume factor, fraction</m:t>
        </m:r>
      </m:oMath>
    </w:p>
    <w:p w14:paraId="739AB740" w14:textId="77777777" w:rsidR="006E2F7E" w:rsidRPr="002B0191" w:rsidRDefault="0087407F" w:rsidP="006E2F7E">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C</m:t>
        </m:r>
      </m:oMath>
      <w:r w:rsidR="006E2F7E" w:rsidRPr="002B0191">
        <w:rPr>
          <w:rFonts w:ascii="Cambria Math" w:hAnsi="Cambria Math"/>
          <w:color w:val="000000" w:themeColor="text1"/>
          <w:sz w:val="24"/>
          <w:szCs w:val="24"/>
        </w:rPr>
        <w:tab/>
      </w:r>
      <w:r w:rsidR="006E2F7E" w:rsidRPr="002B0191">
        <w:rPr>
          <w:rFonts w:ascii="Cambria Math" w:hAnsi="Cambria Math"/>
          <w:color w:val="000000" w:themeColor="text1"/>
          <w:sz w:val="24"/>
          <w:szCs w:val="24"/>
        </w:rPr>
        <w:tab/>
        <w:t>=Chemical Tracer Concentration, mole fraction</w:t>
      </w:r>
    </w:p>
    <w:p w14:paraId="11750F29" w14:textId="77777777" w:rsidR="006E2F7E" w:rsidRPr="002B0191" w:rsidRDefault="0087407F" w:rsidP="006E2F7E">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K</m:t>
        </m:r>
      </m:oMath>
      <w:r w:rsidR="006E2F7E" w:rsidRPr="002B0191">
        <w:rPr>
          <w:rFonts w:ascii="Cambria Math" w:hAnsi="Cambria Math"/>
          <w:color w:val="000000" w:themeColor="text1"/>
          <w:sz w:val="24"/>
          <w:szCs w:val="24"/>
        </w:rPr>
        <w:tab/>
      </w:r>
      <w:r w:rsidR="006E2F7E" w:rsidRPr="002B0191">
        <w:rPr>
          <w:rFonts w:ascii="Cambria Math" w:hAnsi="Cambria Math"/>
          <w:color w:val="000000" w:themeColor="text1"/>
          <w:sz w:val="24"/>
          <w:szCs w:val="24"/>
        </w:rPr>
        <w:tab/>
        <w:t>=</w:t>
      </w:r>
      <m:oMath>
        <m:r>
          <w:rPr>
            <w:rFonts w:ascii="Cambria Math" w:hAnsi="Cambria Math"/>
            <w:color w:val="000000" w:themeColor="text1"/>
            <w:sz w:val="24"/>
            <w:szCs w:val="24"/>
          </w:rPr>
          <m:t>Partitioning Coefficient, fraction</m:t>
        </m:r>
      </m:oMath>
    </w:p>
    <w:p w14:paraId="52D34394" w14:textId="77777777" w:rsidR="006E2F7E" w:rsidRPr="0087407F" w:rsidRDefault="006E2F7E" w:rsidP="006E2F7E">
      <w:pPr>
        <w:pStyle w:val="Nomenclature"/>
        <w:spacing w:line="480" w:lineRule="auto"/>
        <w:rPr>
          <w:rFonts w:ascii="Cambria Math" w:hAnsi="Cambria Math"/>
          <w:color w:val="000000" w:themeColor="text1"/>
          <w:sz w:val="24"/>
          <w:szCs w:val="24"/>
        </w:rPr>
      </w:pPr>
      <w:r w:rsidRPr="0087407F">
        <w:rPr>
          <w:rFonts w:ascii="Cambria Math" w:hAnsi="Cambria Math"/>
          <w:color w:val="000000" w:themeColor="text1"/>
          <w:sz w:val="24"/>
          <w:szCs w:val="24"/>
        </w:rPr>
        <w:t>L</w:t>
      </w:r>
      <w:r w:rsidRPr="0087407F">
        <w:rPr>
          <w:rFonts w:ascii="Cambria Math" w:hAnsi="Cambria Math"/>
          <w:color w:val="000000" w:themeColor="text1"/>
          <w:sz w:val="24"/>
          <w:szCs w:val="24"/>
        </w:rPr>
        <w:tab/>
      </w:r>
      <w:r w:rsidRPr="0087407F">
        <w:rPr>
          <w:rFonts w:ascii="Cambria Math" w:hAnsi="Cambria Math"/>
          <w:color w:val="000000" w:themeColor="text1"/>
          <w:sz w:val="24"/>
          <w:szCs w:val="24"/>
        </w:rPr>
        <w:tab/>
        <w:t>=</w:t>
      </w:r>
      <m:oMath>
        <m:r>
          <w:rPr>
            <w:rFonts w:ascii="Cambria Math" w:hAnsi="Cambria Math"/>
            <w:color w:val="000000" w:themeColor="text1"/>
            <w:sz w:val="24"/>
            <w:szCs w:val="24"/>
          </w:rPr>
          <m:t>Length, L</m:t>
        </m:r>
      </m:oMath>
    </w:p>
    <w:p w14:paraId="0DD45AA3" w14:textId="77777777" w:rsidR="006E2F7E" w:rsidRPr="0087407F" w:rsidRDefault="0087407F" w:rsidP="006E2F7E">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h</m:t>
        </m:r>
      </m:oMath>
      <w:r w:rsidR="006E2F7E" w:rsidRPr="0087407F">
        <w:rPr>
          <w:rFonts w:ascii="Cambria Math" w:hAnsi="Cambria Math"/>
          <w:color w:val="000000" w:themeColor="text1"/>
          <w:sz w:val="24"/>
          <w:szCs w:val="24"/>
        </w:rPr>
        <w:tab/>
      </w:r>
      <w:r w:rsidR="006E2F7E" w:rsidRPr="0087407F">
        <w:rPr>
          <w:rFonts w:ascii="Cambria Math" w:hAnsi="Cambria Math"/>
          <w:color w:val="000000" w:themeColor="text1"/>
          <w:sz w:val="24"/>
          <w:szCs w:val="24"/>
        </w:rPr>
        <w:tab/>
        <w:t>=</w:t>
      </w:r>
      <m:oMath>
        <m:r>
          <w:rPr>
            <w:rFonts w:ascii="Cambria Math" w:hAnsi="Cambria Math" w:cs="Cambria Math"/>
            <w:color w:val="000000" w:themeColor="text1"/>
            <w:sz w:val="24"/>
            <w:szCs w:val="24"/>
          </w:rPr>
          <m:t>H</m:t>
        </m:r>
        <m:r>
          <w:rPr>
            <w:rFonts w:ascii="Cambria Math" w:hAnsi="Cambria Math"/>
            <w:color w:val="000000" w:themeColor="text1"/>
            <w:sz w:val="24"/>
            <w:szCs w:val="24"/>
          </w:rPr>
          <m:t>eight, L</m:t>
        </m:r>
      </m:oMath>
    </w:p>
    <w:p w14:paraId="26A5D8D6" w14:textId="77777777" w:rsidR="006E2F7E" w:rsidRPr="0087407F" w:rsidRDefault="0087407F" w:rsidP="006E2F7E">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t</m:t>
        </m:r>
      </m:oMath>
      <w:r w:rsidR="006E2F7E" w:rsidRPr="0087407F">
        <w:rPr>
          <w:rFonts w:ascii="Cambria Math" w:hAnsi="Cambria Math"/>
          <w:color w:val="000000" w:themeColor="text1"/>
          <w:sz w:val="24"/>
          <w:szCs w:val="24"/>
        </w:rPr>
        <w:tab/>
      </w:r>
      <w:r w:rsidR="006E2F7E" w:rsidRPr="0087407F">
        <w:rPr>
          <w:rFonts w:ascii="Cambria Math" w:hAnsi="Cambria Math"/>
          <w:color w:val="000000" w:themeColor="text1"/>
          <w:sz w:val="24"/>
          <w:szCs w:val="24"/>
        </w:rPr>
        <w:tab/>
        <w:t>=</w:t>
      </w:r>
      <m:oMath>
        <m:r>
          <w:rPr>
            <w:rFonts w:ascii="Cambria Math" w:hAnsi="Cambria Math"/>
            <w:color w:val="000000" w:themeColor="text1"/>
            <w:sz w:val="24"/>
            <w:szCs w:val="24"/>
          </w:rPr>
          <m:t>Time, T</m:t>
        </m:r>
      </m:oMath>
    </w:p>
    <w:p w14:paraId="437C575E" w14:textId="77777777" w:rsidR="006E2F7E" w:rsidRPr="0087407F" w:rsidRDefault="0087407F" w:rsidP="006E2F7E">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V</m:t>
        </m:r>
      </m:oMath>
      <w:r w:rsidR="006E2F7E" w:rsidRPr="0087407F">
        <w:rPr>
          <w:rFonts w:ascii="Cambria Math" w:hAnsi="Cambria Math"/>
          <w:color w:val="000000" w:themeColor="text1"/>
          <w:sz w:val="24"/>
          <w:szCs w:val="24"/>
        </w:rPr>
        <w:tab/>
      </w:r>
      <w:r w:rsidR="006E2F7E" w:rsidRPr="0087407F">
        <w:rPr>
          <w:rFonts w:ascii="Cambria Math" w:hAnsi="Cambria Math"/>
          <w:color w:val="000000" w:themeColor="text1"/>
          <w:sz w:val="24"/>
          <w:szCs w:val="24"/>
        </w:rPr>
        <w:tab/>
        <w:t>=</w:t>
      </w:r>
      <m:oMath>
        <m:r>
          <w:rPr>
            <w:rFonts w:ascii="Cambria Math" w:hAnsi="Cambria Math"/>
            <w:color w:val="000000" w:themeColor="text1"/>
            <w:sz w:val="24"/>
            <w:szCs w:val="24"/>
          </w:rPr>
          <m:t xml:space="preserve">Swept Volume, </m:t>
        </m:r>
        <m:sSup>
          <m:sSupPr>
            <m:ctrlPr>
              <w:rPr>
                <w:rFonts w:ascii="Cambria Math" w:hAnsi="Cambria Math"/>
                <w:color w:val="000000" w:themeColor="text1"/>
                <w:sz w:val="24"/>
                <w:szCs w:val="24"/>
              </w:rPr>
            </m:ctrlPr>
          </m:sSupPr>
          <m:e>
            <m:r>
              <w:rPr>
                <w:rFonts w:ascii="Cambria Math" w:hAnsi="Cambria Math"/>
                <w:color w:val="000000" w:themeColor="text1"/>
                <w:sz w:val="24"/>
                <w:szCs w:val="24"/>
              </w:rPr>
              <m:t>L</m:t>
            </m:r>
          </m:e>
          <m:sup>
            <m:r>
              <w:rPr>
                <w:rFonts w:ascii="Cambria Math" w:hAnsi="Cambria Math"/>
                <w:color w:val="000000" w:themeColor="text1"/>
                <w:sz w:val="24"/>
                <w:szCs w:val="24"/>
              </w:rPr>
              <m:t>3</m:t>
            </m:r>
          </m:sup>
        </m:sSup>
      </m:oMath>
    </w:p>
    <w:p w14:paraId="143091E2" w14:textId="77777777" w:rsidR="006E2F7E" w:rsidRPr="0087407F" w:rsidRDefault="0087407F" w:rsidP="006E2F7E">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w</m:t>
        </m:r>
      </m:oMath>
      <w:r w:rsidR="006E2F7E" w:rsidRPr="0087407F">
        <w:rPr>
          <w:rFonts w:ascii="Cambria Math" w:hAnsi="Cambria Math"/>
          <w:color w:val="000000" w:themeColor="text1"/>
          <w:sz w:val="24"/>
          <w:szCs w:val="24"/>
        </w:rPr>
        <w:tab/>
      </w:r>
      <w:r w:rsidR="006E2F7E" w:rsidRPr="0087407F">
        <w:rPr>
          <w:rFonts w:ascii="Cambria Math" w:hAnsi="Cambria Math"/>
          <w:color w:val="000000" w:themeColor="text1"/>
          <w:sz w:val="24"/>
          <w:szCs w:val="24"/>
        </w:rPr>
        <w:tab/>
        <w:t>=</w:t>
      </w:r>
      <m:oMath>
        <m:r>
          <w:rPr>
            <w:rFonts w:ascii="Cambria Math" w:hAnsi="Cambria Math"/>
            <w:color w:val="000000" w:themeColor="text1"/>
            <w:sz w:val="24"/>
            <w:szCs w:val="24"/>
          </w:rPr>
          <m:t>Width, L</m:t>
        </m:r>
      </m:oMath>
    </w:p>
    <w:p w14:paraId="265951B0" w14:textId="77777777" w:rsidR="006E2F7E" w:rsidRPr="0087407F" w:rsidRDefault="0087407F" w:rsidP="006E2F7E">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ϕ</m:t>
        </m:r>
      </m:oMath>
      <w:r w:rsidR="006E2F7E" w:rsidRPr="0087407F">
        <w:rPr>
          <w:rFonts w:ascii="Cambria Math" w:hAnsi="Cambria Math"/>
          <w:color w:val="000000" w:themeColor="text1"/>
          <w:sz w:val="24"/>
          <w:szCs w:val="24"/>
        </w:rPr>
        <w:tab/>
      </w:r>
      <w:r w:rsidR="006E2F7E" w:rsidRPr="0087407F">
        <w:rPr>
          <w:rFonts w:ascii="Cambria Math" w:hAnsi="Cambria Math"/>
          <w:color w:val="000000" w:themeColor="text1"/>
          <w:sz w:val="24"/>
          <w:szCs w:val="24"/>
        </w:rPr>
        <w:tab/>
        <w:t>=</w:t>
      </w:r>
      <m:oMath>
        <m:r>
          <w:rPr>
            <w:rFonts w:ascii="Cambria Math" w:hAnsi="Cambria Math"/>
            <w:color w:val="000000" w:themeColor="text1"/>
            <w:sz w:val="24"/>
            <w:szCs w:val="24"/>
          </w:rPr>
          <m:t>poroity, fraction</m:t>
        </m:r>
      </m:oMath>
    </w:p>
    <w:p w14:paraId="4B9F8476" w14:textId="77777777" w:rsidR="006E2F7E" w:rsidRPr="00053734" w:rsidRDefault="006E2F7E" w:rsidP="006E2F7E">
      <w:pPr>
        <w:pStyle w:val="Nomenclature"/>
        <w:spacing w:line="480" w:lineRule="auto"/>
        <w:ind w:left="0" w:firstLine="0"/>
        <w:rPr>
          <w:i w:val="0"/>
        </w:rPr>
      </w:pPr>
    </w:p>
    <w:p w14:paraId="41A96D32" w14:textId="77777777" w:rsidR="006E2F7E" w:rsidRPr="00053734" w:rsidRDefault="006E2F7E" w:rsidP="006E2F7E">
      <w:pPr>
        <w:pStyle w:val="Para0"/>
        <w:spacing w:line="480" w:lineRule="auto"/>
        <w:rPr>
          <w:b/>
        </w:rPr>
      </w:pPr>
      <w:r w:rsidRPr="00053734">
        <w:rPr>
          <w:b/>
        </w:rPr>
        <w:t>Subscript</w:t>
      </w:r>
    </w:p>
    <w:p w14:paraId="1BCEF833" w14:textId="77777777" w:rsidR="006E2F7E" w:rsidRPr="0087407F" w:rsidRDefault="0087407F" w:rsidP="006E2F7E">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a</m:t>
        </m:r>
      </m:oMath>
      <w:r w:rsidR="006E2F7E" w:rsidRPr="0087407F">
        <w:rPr>
          <w:rFonts w:ascii="Cambria Math" w:hAnsi="Cambria Math"/>
          <w:color w:val="000000" w:themeColor="text1"/>
          <w:sz w:val="24"/>
          <w:szCs w:val="24"/>
        </w:rPr>
        <w:tab/>
      </w:r>
      <w:r w:rsidR="006E2F7E" w:rsidRPr="0087407F">
        <w:rPr>
          <w:rFonts w:ascii="Cambria Math" w:hAnsi="Cambria Math"/>
          <w:color w:val="000000" w:themeColor="text1"/>
          <w:sz w:val="24"/>
          <w:szCs w:val="24"/>
        </w:rPr>
        <w:tab/>
        <w:t>=Coefficient</w:t>
      </w:r>
    </w:p>
    <w:p w14:paraId="6E14789E" w14:textId="77777777" w:rsidR="006E2F7E" w:rsidRPr="0087407F" w:rsidRDefault="006E2F7E" w:rsidP="006E2F7E">
      <w:pPr>
        <w:pStyle w:val="Nomenclature"/>
        <w:spacing w:line="480" w:lineRule="auto"/>
        <w:rPr>
          <w:rFonts w:ascii="Cambria Math" w:hAnsi="Cambria Math"/>
          <w:color w:val="000000" w:themeColor="text1"/>
          <w:sz w:val="24"/>
          <w:szCs w:val="24"/>
        </w:rPr>
      </w:pPr>
      <w:r w:rsidRPr="0087407F">
        <w:rPr>
          <w:rFonts w:ascii="Cambria Math" w:hAnsi="Cambria Math"/>
          <w:color w:val="000000" w:themeColor="text1"/>
          <w:sz w:val="24"/>
          <w:szCs w:val="24"/>
        </w:rPr>
        <w:t>b</w:t>
      </w:r>
      <w:r w:rsidRPr="0087407F">
        <w:rPr>
          <w:rFonts w:ascii="Cambria Math" w:hAnsi="Cambria Math"/>
          <w:color w:val="000000" w:themeColor="text1"/>
          <w:sz w:val="24"/>
          <w:szCs w:val="24"/>
        </w:rPr>
        <w:tab/>
      </w:r>
      <w:r w:rsidRPr="0087407F">
        <w:rPr>
          <w:rFonts w:ascii="Cambria Math" w:hAnsi="Cambria Math"/>
          <w:color w:val="000000" w:themeColor="text1"/>
          <w:sz w:val="24"/>
          <w:szCs w:val="24"/>
        </w:rPr>
        <w:tab/>
        <w:t>=Coefficient</w:t>
      </w:r>
    </w:p>
    <w:p w14:paraId="2264392A" w14:textId="77777777" w:rsidR="006E2F7E" w:rsidRPr="0087407F" w:rsidRDefault="0087407F" w:rsidP="006E2F7E">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BHP</m:t>
        </m:r>
      </m:oMath>
      <w:r w:rsidR="006E2F7E" w:rsidRPr="0087407F">
        <w:rPr>
          <w:rFonts w:ascii="Cambria Math" w:hAnsi="Cambria Math"/>
          <w:color w:val="000000" w:themeColor="text1"/>
          <w:sz w:val="24"/>
          <w:szCs w:val="24"/>
        </w:rPr>
        <w:tab/>
      </w:r>
      <w:r w:rsidR="006E2F7E" w:rsidRPr="0087407F">
        <w:rPr>
          <w:rFonts w:ascii="Cambria Math" w:hAnsi="Cambria Math"/>
          <w:color w:val="000000" w:themeColor="text1"/>
          <w:sz w:val="24"/>
          <w:szCs w:val="24"/>
        </w:rPr>
        <w:tab/>
        <w:t>=Bottom-Hole Pressure</w:t>
      </w:r>
    </w:p>
    <w:p w14:paraId="79F1CC28" w14:textId="77777777" w:rsidR="006E2F7E" w:rsidRPr="0087407F" w:rsidRDefault="0087407F" w:rsidP="006E2F7E">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e</m:t>
        </m:r>
      </m:oMath>
      <w:r w:rsidR="006E2F7E" w:rsidRPr="0087407F">
        <w:rPr>
          <w:rFonts w:ascii="Cambria Math" w:hAnsi="Cambria Math"/>
          <w:color w:val="000000" w:themeColor="text1"/>
          <w:sz w:val="24"/>
          <w:szCs w:val="24"/>
        </w:rPr>
        <w:tab/>
      </w:r>
      <w:r w:rsidR="006E2F7E" w:rsidRPr="0087407F">
        <w:rPr>
          <w:rFonts w:ascii="Cambria Math" w:hAnsi="Cambria Math"/>
          <w:color w:val="000000" w:themeColor="text1"/>
          <w:sz w:val="24"/>
          <w:szCs w:val="24"/>
        </w:rPr>
        <w:tab/>
        <w:t>=End Point</w:t>
      </w:r>
    </w:p>
    <w:p w14:paraId="4C321ACF" w14:textId="77777777" w:rsidR="006E2F7E" w:rsidRPr="0087407F" w:rsidRDefault="0087407F" w:rsidP="006E2F7E">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eq</m:t>
        </m:r>
      </m:oMath>
      <w:r w:rsidR="006E2F7E" w:rsidRPr="0087407F">
        <w:rPr>
          <w:rFonts w:ascii="Cambria Math" w:hAnsi="Cambria Math"/>
          <w:color w:val="000000" w:themeColor="text1"/>
          <w:sz w:val="24"/>
          <w:szCs w:val="24"/>
        </w:rPr>
        <w:tab/>
      </w:r>
      <w:r w:rsidR="006E2F7E" w:rsidRPr="0087407F">
        <w:rPr>
          <w:rFonts w:ascii="Cambria Math" w:hAnsi="Cambria Math"/>
          <w:color w:val="000000" w:themeColor="text1"/>
          <w:sz w:val="24"/>
          <w:szCs w:val="24"/>
        </w:rPr>
        <w:tab/>
        <w:t>=Equilibrium</w:t>
      </w:r>
    </w:p>
    <w:p w14:paraId="393B4FD7" w14:textId="77777777" w:rsidR="006E2F7E" w:rsidRPr="0087407F" w:rsidRDefault="0087407F" w:rsidP="006E2F7E">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g</m:t>
        </m:r>
      </m:oMath>
      <w:r w:rsidR="006E2F7E" w:rsidRPr="0087407F">
        <w:rPr>
          <w:rFonts w:ascii="Cambria Math" w:hAnsi="Cambria Math"/>
          <w:color w:val="000000" w:themeColor="text1"/>
          <w:sz w:val="24"/>
          <w:szCs w:val="24"/>
        </w:rPr>
        <w:tab/>
      </w:r>
      <w:r w:rsidR="006E2F7E" w:rsidRPr="0087407F">
        <w:rPr>
          <w:rFonts w:ascii="Cambria Math" w:hAnsi="Cambria Math"/>
          <w:color w:val="000000" w:themeColor="text1"/>
          <w:sz w:val="24"/>
          <w:szCs w:val="24"/>
        </w:rPr>
        <w:tab/>
        <w:t>=Gas</w:t>
      </w:r>
    </w:p>
    <w:p w14:paraId="3372C060" w14:textId="77777777" w:rsidR="006E2F7E" w:rsidRPr="0087407F" w:rsidRDefault="0087407F" w:rsidP="006E2F7E">
      <w:pPr>
        <w:pStyle w:val="Nomenclature"/>
        <w:spacing w:line="480" w:lineRule="auto"/>
        <w:rPr>
          <w:rFonts w:ascii="Cambria Math" w:hAnsi="Cambria Math"/>
          <w:color w:val="000000" w:themeColor="text1"/>
          <w:sz w:val="24"/>
          <w:szCs w:val="24"/>
        </w:rPr>
      </w:pPr>
      <m:oMath>
        <m:r>
          <w:rPr>
            <w:rFonts w:ascii="Cambria Math" w:hAnsi="Cambria Math"/>
            <w:color w:val="000000" w:themeColor="text1"/>
            <w:sz w:val="24"/>
            <w:szCs w:val="24"/>
          </w:rPr>
          <m:t>i</m:t>
        </m:r>
      </m:oMath>
      <w:r w:rsidR="006E2F7E" w:rsidRPr="0087407F">
        <w:rPr>
          <w:rFonts w:ascii="Cambria Math" w:hAnsi="Cambria Math"/>
          <w:color w:val="000000" w:themeColor="text1"/>
          <w:sz w:val="24"/>
          <w:szCs w:val="24"/>
        </w:rPr>
        <w:tab/>
      </w:r>
      <w:r w:rsidR="006E2F7E" w:rsidRPr="0087407F">
        <w:rPr>
          <w:rFonts w:ascii="Cambria Math" w:hAnsi="Cambria Math"/>
          <w:color w:val="000000" w:themeColor="text1"/>
          <w:sz w:val="24"/>
          <w:szCs w:val="24"/>
        </w:rPr>
        <w:tab/>
        <w:t>=Component i</w:t>
      </w:r>
    </w:p>
    <w:p w14:paraId="544AF179" w14:textId="77777777" w:rsidR="006E2F7E" w:rsidRPr="0087407F" w:rsidRDefault="006E2F7E" w:rsidP="006E2F7E">
      <w:pPr>
        <w:pStyle w:val="Nomenclature"/>
        <w:spacing w:line="480" w:lineRule="auto"/>
        <w:rPr>
          <w:rFonts w:ascii="Cambria Math" w:hAnsi="Cambria Math"/>
          <w:color w:val="000000" w:themeColor="text1"/>
          <w:sz w:val="24"/>
          <w:szCs w:val="24"/>
        </w:rPr>
      </w:pPr>
      <w:r w:rsidRPr="0087407F">
        <w:rPr>
          <w:rFonts w:ascii="Cambria Math" w:hAnsi="Cambria Math"/>
          <w:color w:val="000000" w:themeColor="text1"/>
          <w:sz w:val="24"/>
          <w:szCs w:val="24"/>
        </w:rPr>
        <w:t>swept</w:t>
      </w:r>
      <w:r w:rsidRPr="0087407F">
        <w:rPr>
          <w:rFonts w:ascii="Cambria Math" w:hAnsi="Cambria Math"/>
          <w:color w:val="000000" w:themeColor="text1"/>
          <w:sz w:val="24"/>
          <w:szCs w:val="24"/>
        </w:rPr>
        <w:tab/>
      </w:r>
      <w:r w:rsidRPr="0087407F">
        <w:rPr>
          <w:rFonts w:ascii="Cambria Math" w:hAnsi="Cambria Math"/>
          <w:color w:val="000000" w:themeColor="text1"/>
          <w:sz w:val="24"/>
          <w:szCs w:val="24"/>
        </w:rPr>
        <w:tab/>
        <w:t>=Swept Volume</w:t>
      </w:r>
    </w:p>
    <w:p w14:paraId="5A1E9D8D" w14:textId="77777777" w:rsidR="00C56C84" w:rsidRPr="0087407F" w:rsidRDefault="006E2F7E" w:rsidP="006E2F7E">
      <w:pPr>
        <w:pStyle w:val="Nomenclature"/>
        <w:spacing w:line="480" w:lineRule="auto"/>
        <w:rPr>
          <w:rFonts w:ascii="Cambria Math" w:hAnsi="Cambria Math"/>
          <w:color w:val="000000" w:themeColor="text1"/>
          <w:sz w:val="24"/>
          <w:szCs w:val="24"/>
        </w:rPr>
      </w:pPr>
      <w:r w:rsidRPr="0087407F">
        <w:rPr>
          <w:rFonts w:ascii="Cambria Math" w:hAnsi="Cambria Math"/>
          <w:color w:val="000000" w:themeColor="text1"/>
          <w:sz w:val="24"/>
          <w:szCs w:val="24"/>
        </w:rPr>
        <w:lastRenderedPageBreak/>
        <w:t>w</w:t>
      </w:r>
      <w:r w:rsidRPr="0087407F">
        <w:rPr>
          <w:rFonts w:ascii="Cambria Math" w:hAnsi="Cambria Math"/>
          <w:color w:val="000000" w:themeColor="text1"/>
          <w:sz w:val="24"/>
          <w:szCs w:val="24"/>
        </w:rPr>
        <w:tab/>
      </w:r>
      <w:r w:rsidRPr="0087407F">
        <w:rPr>
          <w:rFonts w:ascii="Cambria Math" w:hAnsi="Cambria Math"/>
          <w:color w:val="000000" w:themeColor="text1"/>
          <w:sz w:val="24"/>
          <w:szCs w:val="24"/>
        </w:rPr>
        <w:tab/>
        <w:t>=Water</w:t>
      </w:r>
    </w:p>
    <w:p w14:paraId="638F07F5" w14:textId="77777777" w:rsidR="00320BD2" w:rsidRDefault="00320BD2">
      <w:pPr>
        <w:tabs>
          <w:tab w:val="clear" w:pos="7632"/>
        </w:tabs>
        <w:ind w:firstLine="0"/>
        <w:rPr>
          <w:rFonts w:asciiTheme="majorHAnsi" w:hAnsiTheme="majorHAnsi"/>
          <w:b/>
          <w:bCs/>
          <w:sz w:val="28"/>
          <w:szCs w:val="32"/>
        </w:rPr>
      </w:pPr>
      <w:bookmarkStart w:id="180" w:name="_Toc310579474"/>
      <w:r>
        <w:br w:type="page"/>
      </w:r>
    </w:p>
    <w:p w14:paraId="013124C3" w14:textId="2D23EAC6" w:rsidR="00C56C84" w:rsidRDefault="00C56C84" w:rsidP="00C56C84">
      <w:pPr>
        <w:pStyle w:val="Heading1"/>
        <w:rPr>
          <w:lang w:eastAsia="zh-CN"/>
        </w:rPr>
      </w:pPr>
      <w:bookmarkStart w:id="181" w:name="_Toc494014222"/>
      <w:r>
        <w:lastRenderedPageBreak/>
        <w:t xml:space="preserve">Random Walk Algorithm to Track </w:t>
      </w:r>
      <w:r>
        <w:rPr>
          <w:rFonts w:hint="eastAsia"/>
          <w:lang w:eastAsia="zh-CN"/>
        </w:rPr>
        <w:t>Partitioning</w:t>
      </w:r>
      <w:r>
        <w:t xml:space="preserve"> </w:t>
      </w:r>
      <w:r>
        <w:rPr>
          <w:rFonts w:hint="eastAsia"/>
          <w:lang w:eastAsia="zh-CN"/>
        </w:rPr>
        <w:t>Tracer</w:t>
      </w:r>
      <w:r>
        <w:t xml:space="preserve"> </w:t>
      </w:r>
      <w:r>
        <w:rPr>
          <w:rFonts w:hint="eastAsia"/>
          <w:lang w:eastAsia="zh-CN"/>
        </w:rPr>
        <w:t>Movement</w:t>
      </w:r>
      <w:bookmarkEnd w:id="181"/>
    </w:p>
    <w:p w14:paraId="555C0FC0" w14:textId="77777777" w:rsidR="00320BD2" w:rsidRDefault="0077743D" w:rsidP="00FC5391">
      <w:pPr>
        <w:pStyle w:val="Heading2"/>
        <w:rPr>
          <w:lang w:eastAsia="zh-CN"/>
        </w:rPr>
      </w:pPr>
      <w:bookmarkStart w:id="182" w:name="_Toc494014223"/>
      <w:r>
        <w:rPr>
          <w:lang w:eastAsia="zh-CN"/>
        </w:rPr>
        <w:t>Introduction</w:t>
      </w:r>
      <w:bookmarkEnd w:id="182"/>
    </w:p>
    <w:p w14:paraId="47D51A75" w14:textId="536C5FE0" w:rsidR="007758D0" w:rsidRDefault="00F31BB1" w:rsidP="007758D0">
      <w:r>
        <w:t xml:space="preserve">Finite-different method and streamline simulations are two widely applied numerical methods to simulate the tracer’s movement of advection and dispersion. However, they all have drawbacks. </w:t>
      </w:r>
      <w:r w:rsidR="007758D0">
        <w:t xml:space="preserve">In recent years, RWPT algorithm was applied in petroleum engineering to trace solute transport in porous media (Yi et al. 1994; Jha et al. 2011; </w:t>
      </w:r>
      <w:r w:rsidR="007758D0">
        <w:rPr>
          <w:noProof/>
        </w:rPr>
        <w:t>Stalgorova and Babadagli 2012</w:t>
      </w:r>
      <w:r w:rsidR="007758D0">
        <w:t xml:space="preserve">). The major advantage of RWPT over finite-difference method based simulators is that RWPT does not need to solve the partial differential equation numerically. As a result, the tracer concentration front is less artificially smeared (Liu et al. 2000). </w:t>
      </w:r>
      <w:r>
        <w:t xml:space="preserve">In addition, RWPT takes transvers dispersion into account, which is </w:t>
      </w:r>
      <w:r w:rsidR="00A5145A">
        <w:rPr>
          <w:rFonts w:hint="eastAsia"/>
          <w:lang w:eastAsia="zh-CN"/>
        </w:rPr>
        <w:t>restricted</w:t>
      </w:r>
      <w:r>
        <w:t xml:space="preserve"> in the streamline simulation. Nevertheless, </w:t>
      </w:r>
      <w:r w:rsidR="007758D0">
        <w:t>current application of RWPT is limited to conservative tracer or partitioning chemical tracer with</w:t>
      </w:r>
      <w:r w:rsidR="00295162">
        <w:t>in</w:t>
      </w:r>
      <w:r w:rsidR="007758D0">
        <w:t xml:space="preserve"> one</w:t>
      </w:r>
      <w:r w:rsidR="00295162">
        <w:t>-</w:t>
      </w:r>
      <w:r w:rsidR="007758D0">
        <w:t>mobile</w:t>
      </w:r>
      <w:r w:rsidR="00295162">
        <w:t>-</w:t>
      </w:r>
      <w:r w:rsidR="007758D0">
        <w:t xml:space="preserve">phase condition (Liu et al. 1999; </w:t>
      </w:r>
      <w:r w:rsidR="007758D0">
        <w:rPr>
          <w:color w:val="000000" w:themeColor="text1"/>
          <w:shd w:val="clear" w:color="auto" w:fill="FFFFFF"/>
        </w:rPr>
        <w:t>Benson and</w:t>
      </w:r>
      <w:r w:rsidR="007758D0" w:rsidRPr="000D0BCE">
        <w:rPr>
          <w:color w:val="000000" w:themeColor="text1"/>
          <w:shd w:val="clear" w:color="auto" w:fill="FFFFFF"/>
        </w:rPr>
        <w:t xml:space="preserve"> Meerschaert</w:t>
      </w:r>
      <w:r w:rsidR="007758D0">
        <w:t xml:space="preserve"> 2009). To the best of </w:t>
      </w:r>
      <w:r w:rsidR="00304B8E">
        <w:t>present</w:t>
      </w:r>
      <w:r w:rsidR="007758D0">
        <w:t xml:space="preserve"> knowledge, no work has been done dealing with partitioning chemical tracer with two mobile phases. This chapter proposes a modified RWPT program to resolve such issue. </w:t>
      </w:r>
    </w:p>
    <w:p w14:paraId="5564DA69" w14:textId="77777777" w:rsidR="0077743D" w:rsidRDefault="007758D0" w:rsidP="007758D0">
      <w:pPr>
        <w:pStyle w:val="Heading2"/>
        <w:rPr>
          <w:lang w:eastAsia="zh-CN"/>
        </w:rPr>
      </w:pPr>
      <w:bookmarkStart w:id="183" w:name="_Toc494014224"/>
      <w:r>
        <w:rPr>
          <w:lang w:eastAsia="zh-CN"/>
        </w:rPr>
        <w:t>Algorithm Description</w:t>
      </w:r>
      <w:bookmarkEnd w:id="183"/>
    </w:p>
    <w:p w14:paraId="191BDB2B" w14:textId="12BA0FAC" w:rsidR="007758D0" w:rsidRDefault="007758D0" w:rsidP="007758D0">
      <w:r>
        <w:t xml:space="preserve">RWPT uses particles to represent tracer solutes. Each particle is designated as a certain amount of solutes. The movement of particle within each time step is divided into two </w:t>
      </w:r>
      <w:r w:rsidR="00295162">
        <w:t>segments</w:t>
      </w:r>
      <w:r>
        <w:t xml:space="preserve">: advection and diffusion. As shown in </w:t>
      </w:r>
      <w:r>
        <w:fldChar w:fldCharType="begin"/>
      </w:r>
      <w:r>
        <w:instrText xml:space="preserve"> REF _Ref437341672 \h </w:instrText>
      </w:r>
      <w:r>
        <w:fldChar w:fldCharType="separate"/>
      </w:r>
      <w:r w:rsidR="003F19BC" w:rsidRPr="00B54C4E">
        <w:t xml:space="preserve">Figure </w:t>
      </w:r>
      <w:r w:rsidR="003F19BC">
        <w:rPr>
          <w:noProof/>
        </w:rPr>
        <w:t>4</w:t>
      </w:r>
      <w:r w:rsidR="003F19BC">
        <w:noBreakHyphen/>
      </w:r>
      <w:r w:rsidR="003F19BC">
        <w:rPr>
          <w:noProof/>
        </w:rPr>
        <w:t>1</w:t>
      </w:r>
      <w:r>
        <w:fldChar w:fldCharType="end"/>
      </w:r>
      <w:r>
        <w:t xml:space="preserve">, the particle located at A first travels a distance to B due to the advection. </w:t>
      </w:r>
      <w:r w:rsidR="00295162">
        <w:t>After advection step,</w:t>
      </w:r>
      <w:r>
        <w:t xml:space="preserve"> it starts the diffusion step in both longitudinal and transverse directions respectively. The overall </w:t>
      </w:r>
      <w:r>
        <w:lastRenderedPageBreak/>
        <w:t>diffusion displacement is the vector of BE. The particle eventually reach</w:t>
      </w:r>
      <w:r w:rsidR="00295162">
        <w:t>es</w:t>
      </w:r>
      <w:r>
        <w:t xml:space="preserve"> the position E.  </w:t>
      </w:r>
    </w:p>
    <w:p w14:paraId="5CB3BF1C" w14:textId="77777777" w:rsidR="007758D0" w:rsidRDefault="007758D0" w:rsidP="007758D0">
      <w:pPr>
        <w:pStyle w:val="TableNormal1"/>
      </w:pPr>
      <w:r w:rsidRPr="00B54C4E">
        <w:drawing>
          <wp:inline distT="0" distB="0" distL="0" distR="0" wp14:anchorId="730066C3" wp14:editId="7173397A">
            <wp:extent cx="2456688" cy="2146151"/>
            <wp:effectExtent l="0" t="0" r="127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461364" cy="2150236"/>
                    </a:xfrm>
                    <a:prstGeom prst="rect">
                      <a:avLst/>
                    </a:prstGeom>
                  </pic:spPr>
                </pic:pic>
              </a:graphicData>
            </a:graphic>
          </wp:inline>
        </w:drawing>
      </w:r>
    </w:p>
    <w:p w14:paraId="76B781BD" w14:textId="407B6546" w:rsidR="007758D0" w:rsidRPr="00541084" w:rsidRDefault="007758D0" w:rsidP="00BF3F9B">
      <w:pPr>
        <w:pStyle w:val="Caption"/>
        <w:rPr>
          <w:szCs w:val="22"/>
        </w:rPr>
      </w:pPr>
      <w:bookmarkStart w:id="184" w:name="_Ref437341672"/>
      <w:bookmarkStart w:id="185" w:name="_Toc495144743"/>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4</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w:t>
      </w:r>
      <w:r w:rsidR="00280FFF">
        <w:rPr>
          <w:szCs w:val="22"/>
        </w:rPr>
        <w:fldChar w:fldCharType="end"/>
      </w:r>
      <w:bookmarkEnd w:id="184"/>
      <w:r w:rsidRPr="00541084">
        <w:rPr>
          <w:szCs w:val="22"/>
        </w:rPr>
        <w:t>. Particle movement is consisted by advection and diffusion (Yi et al. 1994).</w:t>
      </w:r>
      <w:bookmarkEnd w:id="185"/>
    </w:p>
    <w:p w14:paraId="78F9376D" w14:textId="77777777" w:rsidR="007758D0" w:rsidRDefault="007758D0" w:rsidP="007758D0">
      <w:pPr>
        <w:pStyle w:val="Para10"/>
      </w:pPr>
    </w:p>
    <w:p w14:paraId="0BD055E6" w14:textId="78408539" w:rsidR="007758D0" w:rsidRDefault="007758D0" w:rsidP="007758D0">
      <w:r>
        <w:t xml:space="preserve">Mathematically, particle travel distance in x direction </w:t>
      </w:r>
      <m:oMath>
        <m:sSub>
          <m:sSubPr>
            <m:ctrlPr>
              <w:rPr>
                <w:rFonts w:ascii="Cambria Math" w:hAnsi="Cambria Math"/>
                <w:i/>
              </w:rPr>
            </m:ctrlPr>
          </m:sSubPr>
          <m:e>
            <m:r>
              <w:rPr>
                <w:rFonts w:ascii="Cambria Math" w:hAnsi="Cambria Math"/>
              </w:rPr>
              <m:t>d</m:t>
            </m:r>
          </m:e>
          <m:sub>
            <m:r>
              <w:rPr>
                <w:rFonts w:ascii="Cambria Math" w:hAnsi="Cambria Math"/>
              </w:rPr>
              <m:t>t,x</m:t>
            </m:r>
          </m:sub>
        </m:sSub>
      </m:oMath>
      <w:r>
        <w:t xml:space="preserve"> is the sum of advection distance </w:t>
      </w:r>
      <m:oMath>
        <m:sSub>
          <m:sSubPr>
            <m:ctrlPr>
              <w:rPr>
                <w:rFonts w:ascii="Cambria Math" w:hAnsi="Cambria Math"/>
                <w:i/>
              </w:rPr>
            </m:ctrlPr>
          </m:sSubPr>
          <m:e>
            <m:r>
              <w:rPr>
                <w:rFonts w:ascii="Cambria Math" w:hAnsi="Cambria Math"/>
              </w:rPr>
              <m:t>u</m:t>
            </m:r>
          </m:e>
          <m:sub>
            <m:r>
              <w:rPr>
                <w:rFonts w:ascii="Cambria Math" w:hAnsi="Cambria Math"/>
              </w:rPr>
              <m:t>x</m:t>
            </m:r>
          </m:sub>
        </m:sSub>
        <m:r>
          <w:rPr>
            <w:rFonts w:ascii="Cambria Math" w:hAnsi="Cambria Math"/>
          </w:rPr>
          <m:t>∆t</m:t>
        </m:r>
      </m:oMath>
      <w:r>
        <w:t xml:space="preserve">  and diffusion </w:t>
      </w:r>
      <w:r w:rsidR="0004427B">
        <w:t>distance</w:t>
      </w:r>
      <m:oMath>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diffusion,x</m:t>
            </m:r>
          </m:sub>
        </m:sSub>
      </m:oMath>
      <w:r>
        <w:t>. This relation is also valid in y and z directions if the problem is in 3D.</w:t>
      </w:r>
    </w:p>
    <w:p w14:paraId="527C116D" w14:textId="09DB1C77" w:rsidR="007758D0" w:rsidRPr="00ED7C9B" w:rsidRDefault="007758D0" w:rsidP="007758D0">
      <m:oMath>
        <m:r>
          <w:rPr>
            <w:rFonts w:ascii="Cambria Math" w:hAnsi="Cambria Math"/>
          </w:rPr>
          <m:t xml:space="preserve"> </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t,  x</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x</m:t>
            </m:r>
          </m:sub>
        </m:sSub>
        <m:r>
          <m:rPr>
            <m:sty m:val="p"/>
          </m:rPr>
          <w:rPr>
            <w:rFonts w:ascii="Cambria Math" w:hAnsi="Cambria Math"/>
          </w:rPr>
          <m:t>∆t+</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diff,x</m:t>
            </m:r>
          </m:sub>
        </m:sSub>
      </m:oMath>
      <w:r>
        <w:tab/>
        <w:t>(4-1)</w:t>
      </w:r>
    </w:p>
    <w:p w14:paraId="7CB55743" w14:textId="29D8778C" w:rsidR="007758D0" w:rsidRPr="00E36CBB" w:rsidRDefault="007758D0" w:rsidP="007758D0">
      <w:r>
        <w:t>For the partitioning chemical tracer, its advection velocity is related with carrier fluids. For example, ethyl formate (EtFm) partitions between oil and water</w:t>
      </w:r>
      <w:r w:rsidR="0004427B">
        <w:t>. I</w:t>
      </w:r>
      <w:r>
        <w:t xml:space="preserve">ts velocity is a combination of oil velocity and water </w:t>
      </w:r>
      <w:r w:rsidRPr="00E36CBB">
        <w:t xml:space="preserve">velocity (Eq. </w:t>
      </w:r>
      <w:r>
        <w:t>4-2)</w:t>
      </w:r>
      <w:r w:rsidRPr="00E36CBB">
        <w:t xml:space="preserve"> </w:t>
      </w:r>
      <w:r>
        <w:t xml:space="preserve">(Deans and Shallenberge 1974). </w:t>
      </w:r>
      <w:r w:rsidR="00B130D2">
        <w:t>T</w:t>
      </w:r>
      <w:r w:rsidRPr="002F7626">
        <w:t xml:space="preserve">he partition coefficient </w:t>
      </w:r>
      <w:r w:rsidR="00B130D2">
        <w:t xml:space="preserve">in Eq. 4-2 </w:t>
      </w:r>
      <w:r w:rsidRPr="002F7626">
        <w:t>is mass concentration based instead of mole fraction.</w:t>
      </w:r>
      <w:r>
        <w:t xml:space="preserve"> Appropriate unit conversion is needed.</w:t>
      </w:r>
    </w:p>
    <w:p w14:paraId="53E1AF48" w14:textId="77777777" w:rsidR="007758D0" w:rsidRDefault="00A53410" w:rsidP="007758D0">
      <m:oMath>
        <m:sSub>
          <m:sSubPr>
            <m:ctrlPr>
              <w:rPr>
                <w:rFonts w:ascii="Cambria Math" w:hAnsi="Cambria Math"/>
              </w:rPr>
            </m:ctrlPr>
          </m:sSubPr>
          <m:e>
            <m:r>
              <m:rPr>
                <m:sty m:val="p"/>
              </m:rPr>
              <w:rPr>
                <w:rFonts w:ascii="Cambria Math" w:hAnsi="Cambria Math"/>
              </w:rPr>
              <m:t>u</m:t>
            </m:r>
          </m:e>
          <m:sub>
            <m:r>
              <m:rPr>
                <m:sty m:val="p"/>
              </m:rPr>
              <w:rPr>
                <w:rFonts w:ascii="Cambria Math" w:hAnsi="Cambria Math"/>
              </w:rPr>
              <m:t>p</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S</m:t>
                </m:r>
              </m:e>
              <m:sub>
                <m:r>
                  <m:rPr>
                    <m:sty m:val="p"/>
                  </m:rPr>
                  <w:rPr>
                    <w:rFonts w:ascii="Cambria Math" w:hAnsi="Cambria Math"/>
                  </w:rPr>
                  <m:t>w</m:t>
                </m:r>
              </m:sub>
            </m:sSub>
          </m:num>
          <m:den>
            <m:sSub>
              <m:sSubPr>
                <m:ctrlPr>
                  <w:rPr>
                    <w:rFonts w:ascii="Cambria Math" w:hAnsi="Cambria Math"/>
                  </w:rPr>
                </m:ctrlPr>
              </m:sSubPr>
              <m:e>
                <m:r>
                  <m:rPr>
                    <m:sty m:val="p"/>
                  </m:rPr>
                  <w:rPr>
                    <w:rFonts w:ascii="Cambria Math" w:hAnsi="Cambria Math"/>
                  </w:rPr>
                  <m:t>S</m:t>
                </m:r>
              </m:e>
              <m:sub>
                <m:r>
                  <m:rPr>
                    <m:sty m:val="p"/>
                  </m:rPr>
                  <w:rPr>
                    <w:rFonts w:ascii="Cambria Math" w:hAnsi="Cambria Math"/>
                  </w:rPr>
                  <m:t>w</m:t>
                </m:r>
              </m:sub>
            </m:sSub>
            <m:r>
              <m:rPr>
                <m:sty m:val="p"/>
              </m:rPr>
              <w:rPr>
                <w:rFonts w:ascii="Cambria Math" w:hAnsi="Cambria Math"/>
              </w:rPr>
              <m:t>+K</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o</m:t>
                </m:r>
              </m:sub>
            </m:sSub>
          </m:den>
        </m:f>
        <m:sSub>
          <m:sSubPr>
            <m:ctrlPr>
              <w:rPr>
                <w:rFonts w:ascii="Cambria Math" w:hAnsi="Cambria Math"/>
              </w:rPr>
            </m:ctrlPr>
          </m:sSubPr>
          <m:e>
            <m:r>
              <m:rPr>
                <m:sty m:val="p"/>
              </m:rPr>
              <w:rPr>
                <w:rFonts w:ascii="Cambria Math" w:hAnsi="Cambria Math"/>
              </w:rPr>
              <m:t>v</m:t>
            </m:r>
          </m:e>
          <m:sub>
            <m:r>
              <m:rPr>
                <m:sty m:val="p"/>
              </m:rPr>
              <w:rPr>
                <w:rFonts w:ascii="Cambria Math" w:hAnsi="Cambria Math"/>
              </w:rPr>
              <m:t>w</m:t>
            </m:r>
          </m:sub>
        </m:sSub>
        <m:r>
          <m:rPr>
            <m:sty m:val="p"/>
          </m:rPr>
          <w:rPr>
            <w:rFonts w:ascii="Cambria Math" w:hAnsi="Cambria Math"/>
          </w:rPr>
          <m:t>+</m:t>
        </m:r>
        <m:sSub>
          <m:sSubPr>
            <m:ctrlPr>
              <w:rPr>
                <w:rFonts w:ascii="Cambria Math" w:hAnsi="Cambria Math"/>
              </w:rPr>
            </m:ctrlPr>
          </m:sSubPr>
          <m:e>
            <m:f>
              <m:fPr>
                <m:ctrlPr>
                  <w:rPr>
                    <w:rFonts w:ascii="Cambria Math" w:hAnsi="Cambria Math"/>
                  </w:rPr>
                </m:ctrlPr>
              </m:fPr>
              <m:num>
                <m:r>
                  <m:rPr>
                    <m:sty m:val="p"/>
                  </m:rPr>
                  <w:rPr>
                    <w:rFonts w:ascii="Cambria Math" w:hAnsi="Cambria Math"/>
                  </w:rPr>
                  <m:t>K</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o</m:t>
                    </m:r>
                  </m:sub>
                </m:sSub>
              </m:num>
              <m:den>
                <m:sSub>
                  <m:sSubPr>
                    <m:ctrlPr>
                      <w:rPr>
                        <w:rFonts w:ascii="Cambria Math" w:hAnsi="Cambria Math"/>
                      </w:rPr>
                    </m:ctrlPr>
                  </m:sSubPr>
                  <m:e>
                    <m:r>
                      <m:rPr>
                        <m:sty m:val="p"/>
                      </m:rPr>
                      <w:rPr>
                        <w:rFonts w:ascii="Cambria Math" w:hAnsi="Cambria Math"/>
                      </w:rPr>
                      <m:t>S</m:t>
                    </m:r>
                  </m:e>
                  <m:sub>
                    <m:r>
                      <m:rPr>
                        <m:sty m:val="p"/>
                      </m:rPr>
                      <w:rPr>
                        <w:rFonts w:ascii="Cambria Math" w:hAnsi="Cambria Math"/>
                      </w:rPr>
                      <m:t>w</m:t>
                    </m:r>
                  </m:sub>
                </m:sSub>
                <m:r>
                  <m:rPr>
                    <m:sty m:val="p"/>
                  </m:rPr>
                  <w:rPr>
                    <w:rFonts w:ascii="Cambria Math" w:hAnsi="Cambria Math"/>
                  </w:rPr>
                  <m:t>+K</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o</m:t>
                    </m:r>
                  </m:sub>
                </m:sSub>
              </m:den>
            </m:f>
            <m:r>
              <m:rPr>
                <m:sty m:val="p"/>
              </m:rPr>
              <w:rPr>
                <w:rFonts w:ascii="Cambria Math" w:hAnsi="Cambria Math"/>
              </w:rPr>
              <m:t>v</m:t>
            </m:r>
          </m:e>
          <m:sub>
            <m:r>
              <m:rPr>
                <m:sty m:val="p"/>
              </m:rPr>
              <w:rPr>
                <w:rFonts w:ascii="Cambria Math" w:hAnsi="Cambria Math"/>
              </w:rPr>
              <m:t>o</m:t>
            </m:r>
          </m:sub>
        </m:sSub>
      </m:oMath>
      <w:r w:rsidR="007758D0">
        <w:tab/>
        <w:t>(4-2)</w:t>
      </w:r>
    </w:p>
    <w:p w14:paraId="140E466F" w14:textId="72D822D9" w:rsidR="007758D0" w:rsidRPr="003351CC" w:rsidRDefault="007758D0" w:rsidP="007758D0">
      <w:pPr>
        <w:rPr>
          <w:rFonts w:eastAsiaTheme="minorHAnsi"/>
        </w:rPr>
      </w:pPr>
      <w:r>
        <w:t>Once velocity field is known, particle advection velocity in each grid cell can be calculated using linear interpolation based on it</w:t>
      </w:r>
      <w:r w:rsidR="00295162">
        <w:t>s relative position and velocity</w:t>
      </w:r>
      <w:r>
        <w:t xml:space="preserve"> at cell faces. </w:t>
      </w:r>
      <w:r w:rsidR="00295162">
        <w:t>In</w:t>
      </w:r>
      <w:r>
        <w:t xml:space="preserve"> </w:t>
      </w:r>
      <w:r>
        <w:fldChar w:fldCharType="begin"/>
      </w:r>
      <w:r>
        <w:instrText xml:space="preserve"> REF _Ref437337171 \h  \* MERGEFORMAT </w:instrText>
      </w:r>
      <w:r>
        <w:fldChar w:fldCharType="separate"/>
      </w:r>
      <w:r w:rsidR="003F19BC" w:rsidRPr="000C57DB">
        <w:t xml:space="preserve">Figure </w:t>
      </w:r>
      <w:r w:rsidR="003F19BC">
        <w:t>4</w:t>
      </w:r>
      <w:r w:rsidR="003F19BC">
        <w:noBreakHyphen/>
        <w:t>2</w:t>
      </w:r>
      <w:r>
        <w:fldChar w:fldCharType="end"/>
      </w:r>
      <w:r>
        <w:t xml:space="preserve">, the velocity at each wall of grid </w:t>
      </w:r>
      <m:oMath>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oMath>
      <w:r w:rsidRPr="003351CC">
        <w:rPr>
          <w:rFonts w:eastAsiaTheme="minorHAnsi"/>
        </w:rPr>
        <w:t xml:space="preserve"> is </w:t>
      </w:r>
      <m:oMath>
        <m:sSub>
          <m:sSubPr>
            <m:ctrlPr>
              <w:rPr>
                <w:rFonts w:ascii="Cambria Math" w:hAnsi="Cambria Math"/>
              </w:rPr>
            </m:ctrlPr>
          </m:sSubPr>
          <m:e>
            <m:r>
              <w:rPr>
                <w:rFonts w:ascii="Cambria Math" w:hAnsi="Cambria Math"/>
              </w:rPr>
              <m:t>u</m:t>
            </m:r>
          </m:e>
          <m:sub>
            <m:r>
              <w:rPr>
                <w:rFonts w:ascii="Cambria Math" w:hAnsi="Cambria Math"/>
              </w:rPr>
              <m:t>i</m:t>
            </m:r>
            <m:r>
              <m:rPr>
                <m:sty m:val="p"/>
              </m:rPr>
              <w:rPr>
                <w:rFonts w:ascii="Cambria Math" w:hAnsi="Cambria Math"/>
              </w:rPr>
              <m:t>-</m:t>
            </m:r>
            <m:f>
              <m:fPr>
                <m:type m:val="skw"/>
                <m:ctrlPr>
                  <w:rPr>
                    <w:rFonts w:ascii="Cambria Math" w:eastAsiaTheme="minorHAnsi" w:hAnsi="Cambria Math" w:cstheme="minorBidi"/>
                    <w:szCs w:val="22"/>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r>
              <w:rPr>
                <w:rFonts w:ascii="Cambria Math" w:hAnsi="Cambria Math"/>
              </w:rPr>
              <m:t>j</m:t>
            </m:r>
          </m:sub>
        </m:sSub>
      </m:oMath>
      <w:r w:rsidRPr="003351CC">
        <w:rPr>
          <w:rFonts w:eastAsiaTheme="minorHAnsi"/>
        </w:rPr>
        <w:t xml:space="preserve"> and </w:t>
      </w:r>
      <m:oMath>
        <m:sSub>
          <m:sSubPr>
            <m:ctrlPr>
              <w:rPr>
                <w:rFonts w:ascii="Cambria Math" w:hAnsi="Cambria Math"/>
              </w:rPr>
            </m:ctrlPr>
          </m:sSubPr>
          <m:e>
            <m:r>
              <w:rPr>
                <w:rFonts w:ascii="Cambria Math" w:hAnsi="Cambria Math"/>
              </w:rPr>
              <m:t>u</m:t>
            </m:r>
          </m:e>
          <m:sub>
            <m:r>
              <w:rPr>
                <w:rFonts w:ascii="Cambria Math" w:hAnsi="Cambria Math"/>
              </w:rPr>
              <m:t>i</m:t>
            </m:r>
            <m:r>
              <m:rPr>
                <m:sty m:val="p"/>
              </m:rPr>
              <w:rPr>
                <w:rFonts w:ascii="Cambria Math" w:hAnsi="Cambria Math"/>
              </w:rPr>
              <m:t>-</m:t>
            </m:r>
            <m:f>
              <m:fPr>
                <m:type m:val="skw"/>
                <m:ctrlPr>
                  <w:rPr>
                    <w:rFonts w:ascii="Cambria Math" w:eastAsiaTheme="minorHAnsi" w:hAnsi="Cambria Math" w:cstheme="minorBidi"/>
                    <w:szCs w:val="22"/>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r>
              <w:rPr>
                <w:rFonts w:ascii="Cambria Math" w:hAnsi="Cambria Math"/>
              </w:rPr>
              <m:t>j</m:t>
            </m:r>
          </m:sub>
        </m:sSub>
      </m:oMath>
      <w:r w:rsidRPr="003351CC">
        <w:rPr>
          <w:rFonts w:eastAsiaTheme="minorHAnsi"/>
        </w:rPr>
        <w:t xml:space="preserve">  </w:t>
      </w:r>
      <w:r w:rsidRPr="003351CC">
        <w:rPr>
          <w:rFonts w:eastAsiaTheme="minorHAnsi"/>
        </w:rPr>
        <w:lastRenderedPageBreak/>
        <w:t xml:space="preserve">respectively. The particle locates at the black dot, at a distance of </w:t>
      </w:r>
      <m:oMath>
        <m:sSub>
          <m:sSubPr>
            <m:ctrlPr>
              <w:rPr>
                <w:rFonts w:ascii="Cambria Math" w:hAnsi="Cambria Math"/>
              </w:rPr>
            </m:ctrlPr>
          </m:sSubPr>
          <m:e>
            <m:r>
              <w:rPr>
                <w:rFonts w:ascii="Cambria Math" w:hAnsi="Cambria Math"/>
              </w:rPr>
              <m:t>x</m:t>
            </m:r>
          </m:e>
          <m:sub>
            <m:r>
              <w:rPr>
                <w:rFonts w:ascii="Cambria Math" w:hAnsi="Cambria Math"/>
              </w:rPr>
              <m:t>i</m:t>
            </m:r>
            <m:r>
              <m:rPr>
                <m:sty m:val="p"/>
              </m:rPr>
              <w:rPr>
                <w:rFonts w:ascii="Cambria Math" w:hAnsi="Cambria Math"/>
              </w:rPr>
              <m:t>,</m:t>
            </m:r>
            <m:r>
              <w:rPr>
                <w:rFonts w:ascii="Cambria Math" w:hAnsi="Cambria Math"/>
              </w:rPr>
              <m:t>j</m:t>
            </m:r>
          </m:sub>
        </m:sSub>
      </m:oMath>
      <w:r w:rsidRPr="003351CC">
        <w:rPr>
          <w:rFonts w:eastAsiaTheme="minorHAnsi"/>
        </w:rPr>
        <w:t xml:space="preserve"> to the left wall. </w:t>
      </w:r>
      <w:r w:rsidR="000D000C">
        <w:rPr>
          <w:rFonts w:eastAsiaTheme="minorHAnsi"/>
        </w:rPr>
        <w:t>I</w:t>
      </w:r>
      <w:r w:rsidRPr="003351CC">
        <w:rPr>
          <w:rFonts w:eastAsiaTheme="minorHAnsi"/>
        </w:rPr>
        <w:t xml:space="preserve">ts velocity in x direction </w:t>
      </w:r>
      <m:oMath>
        <m:sSub>
          <m:sSubPr>
            <m:ctrlPr>
              <w:rPr>
                <w:rFonts w:ascii="Cambria Math" w:hAnsi="Cambria Math"/>
              </w:rPr>
            </m:ctrlPr>
          </m:sSubPr>
          <m:e>
            <m:r>
              <w:rPr>
                <w:rFonts w:ascii="Cambria Math" w:hAnsi="Cambria Math"/>
              </w:rPr>
              <m:t>u</m:t>
            </m:r>
          </m:e>
          <m:sub>
            <m:r>
              <w:rPr>
                <w:rFonts w:ascii="Cambria Math" w:hAnsi="Cambria Math"/>
              </w:rPr>
              <m:t>x</m:t>
            </m:r>
          </m:sub>
        </m:sSub>
      </m:oMath>
      <w:r w:rsidRPr="003351CC">
        <w:rPr>
          <w:rFonts w:eastAsiaTheme="minorHAnsi"/>
        </w:rPr>
        <w:t xml:space="preserve"> is calculated by</w:t>
      </w:r>
      <w:r>
        <w:rPr>
          <w:rFonts w:eastAsiaTheme="minorHAnsi"/>
        </w:rPr>
        <w:t xml:space="preserve"> (John et al. 2000)</w:t>
      </w:r>
      <w:r>
        <w:t>:</w:t>
      </w:r>
    </w:p>
    <w:p w14:paraId="02B0CBAC" w14:textId="77777777" w:rsidR="007758D0" w:rsidRPr="00ED7C9B" w:rsidRDefault="00A53410" w:rsidP="007758D0">
      <m:oMath>
        <m:sSub>
          <m:sSubPr>
            <m:ctrlPr>
              <w:rPr>
                <w:rFonts w:ascii="Cambria Math" w:hAnsi="Cambria Math"/>
              </w:rPr>
            </m:ctrlPr>
          </m:sSubPr>
          <m:e>
            <m:r>
              <m:rPr>
                <m:sty m:val="p"/>
              </m:rPr>
              <w:rPr>
                <w:rFonts w:ascii="Cambria Math" w:hAnsi="Cambria Math"/>
              </w:rPr>
              <m:t>u</m:t>
            </m:r>
          </m:e>
          <m:sub>
            <m:r>
              <m:rPr>
                <m:sty m:val="p"/>
              </m:rPr>
              <w:rPr>
                <w:rFonts w:ascii="Cambria Math" w:hAnsi="Cambria Math"/>
              </w:rPr>
              <m:t>x</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g</m:t>
            </m:r>
          </m:e>
          <m:sub>
            <m:r>
              <m:rPr>
                <m:sty m:val="p"/>
              </m:rPr>
              <w:rPr>
                <w:rFonts w:ascii="Cambria Math" w:hAnsi="Cambria Math"/>
              </w:rPr>
              <m:t>x</m:t>
            </m:r>
          </m:sub>
        </m:sSub>
        <m:f>
          <m:fPr>
            <m:ctrlPr>
              <w:rPr>
                <w:rFonts w:ascii="Cambria Math" w:hAnsi="Cambria Math"/>
              </w:rPr>
            </m:ctrlPr>
          </m:fPr>
          <m:num>
            <m:sSub>
              <m:sSubPr>
                <m:ctrlPr>
                  <w:rPr>
                    <w:rFonts w:ascii="Cambria Math" w:hAnsi="Cambria Math"/>
                  </w:rPr>
                </m:ctrlPr>
              </m:sSubPr>
              <m:e>
                <m:r>
                  <m:rPr>
                    <m:sty m:val="p"/>
                  </m:rPr>
                  <w:rPr>
                    <w:rFonts w:ascii="Cambria Math" w:hAnsi="Cambria Math"/>
                  </w:rPr>
                  <m:t>x</m:t>
                </m:r>
              </m:e>
              <m:sub>
                <m:r>
                  <m:rPr>
                    <m:sty m:val="p"/>
                  </m:rPr>
                  <w:rPr>
                    <w:rFonts w:ascii="Cambria Math" w:hAnsi="Cambria Math"/>
                  </w:rPr>
                  <m:t>i,j</m:t>
                </m:r>
              </m:sub>
            </m:sSub>
          </m:num>
          <m:den>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i,j</m:t>
                </m:r>
              </m:sub>
            </m:sSub>
          </m:den>
        </m:f>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i-</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,j</m:t>
            </m:r>
          </m:sub>
        </m:sSub>
      </m:oMath>
      <w:r w:rsidR="007758D0">
        <w:tab/>
        <w:t>(4-3)</w:t>
      </w:r>
    </w:p>
    <w:p w14:paraId="53823390" w14:textId="77777777" w:rsidR="007758D0" w:rsidRPr="00BE5EAE" w:rsidRDefault="007758D0" w:rsidP="007758D0">
      <w:pPr>
        <w:rPr>
          <w:rFonts w:cstheme="minorBidi"/>
        </w:rPr>
      </w:pPr>
      <w:r>
        <w:t xml:space="preserve">Where,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i,j</m:t>
            </m:r>
          </m:sub>
        </m:sSub>
      </m:oMath>
      <w:r>
        <w:t xml:space="preserve"> is the length of grid cell and </w:t>
      </w:r>
      <m:oMath>
        <m:sSub>
          <m:sSubPr>
            <m:ctrlPr>
              <w:rPr>
                <w:rFonts w:ascii="Cambria Math" w:hAnsi="Cambria Math"/>
                <w:i/>
              </w:rPr>
            </m:ctrlPr>
          </m:sSubPr>
          <m:e>
            <m:r>
              <w:rPr>
                <w:rFonts w:ascii="Cambria Math" w:hAnsi="Cambria Math"/>
              </w:rPr>
              <m:t>g</m:t>
            </m:r>
          </m:e>
          <m:sub>
            <m:r>
              <w:rPr>
                <w:rFonts w:ascii="Cambria Math" w:hAnsi="Cambria Math"/>
              </w:rPr>
              <m:t>x</m:t>
            </m:r>
          </m:sub>
        </m:sSub>
      </m:oMath>
      <w:r>
        <w:t xml:space="preserve"> is the velocity gradient:</w:t>
      </w:r>
    </w:p>
    <w:p w14:paraId="4501105A" w14:textId="77777777" w:rsidR="007758D0" w:rsidRDefault="00A53410" w:rsidP="007758D0">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x</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u</m:t>
                </m:r>
              </m:e>
              <m:sub>
                <m:r>
                  <m:rPr>
                    <m:sty m:val="p"/>
                  </m:rPr>
                  <w:rPr>
                    <w:rFonts w:ascii="Cambria Math" w:hAnsi="Cambria Math"/>
                  </w:rPr>
                  <m:t>i+</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i-</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,j</m:t>
                </m:r>
              </m:sub>
            </m:sSub>
          </m:num>
          <m:den>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i,j</m:t>
                </m:r>
              </m:sub>
            </m:sSub>
          </m:den>
        </m:f>
      </m:oMath>
      <w:r w:rsidR="007758D0">
        <w:tab/>
        <w:t>(4-4)</w:t>
      </w:r>
    </w:p>
    <w:p w14:paraId="54DD32E6" w14:textId="77777777" w:rsidR="007758D0" w:rsidRPr="00ED7C9B" w:rsidRDefault="007758D0" w:rsidP="007758D0">
      <w:pPr>
        <w:tabs>
          <w:tab w:val="left" w:pos="8640"/>
        </w:tabs>
      </w:pPr>
    </w:p>
    <w:p w14:paraId="44F6721A" w14:textId="77777777" w:rsidR="007758D0" w:rsidRPr="000C57DB" w:rsidRDefault="007758D0" w:rsidP="007758D0">
      <w:pPr>
        <w:pStyle w:val="TableNormal1"/>
      </w:pPr>
      <w:r>
        <w:drawing>
          <wp:inline distT="0" distB="0" distL="0" distR="0" wp14:anchorId="6C70FA39" wp14:editId="453C551E">
            <wp:extent cx="4046562" cy="192433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45">
                      <a:extLst>
                        <a:ext uri="{28A0092B-C50C-407E-A947-70E740481C1C}">
                          <a14:useLocalDpi xmlns:a14="http://schemas.microsoft.com/office/drawing/2010/main" val="0"/>
                        </a:ext>
                      </a:extLst>
                    </a:blip>
                    <a:stretch>
                      <a:fillRect/>
                    </a:stretch>
                  </pic:blipFill>
                  <pic:spPr>
                    <a:xfrm>
                      <a:off x="0" y="0"/>
                      <a:ext cx="4050583" cy="1926246"/>
                    </a:xfrm>
                    <a:prstGeom prst="rect">
                      <a:avLst/>
                    </a:prstGeom>
                  </pic:spPr>
                </pic:pic>
              </a:graphicData>
            </a:graphic>
          </wp:inline>
        </w:drawing>
      </w:r>
    </w:p>
    <w:p w14:paraId="3D843366" w14:textId="030AB7C1" w:rsidR="007758D0" w:rsidRPr="00541084" w:rsidRDefault="007758D0" w:rsidP="00BF3F9B">
      <w:pPr>
        <w:pStyle w:val="Caption"/>
        <w:rPr>
          <w:szCs w:val="22"/>
        </w:rPr>
      </w:pPr>
      <w:bookmarkStart w:id="186" w:name="_Ref437337171"/>
      <w:bookmarkStart w:id="187" w:name="_Toc495144744"/>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4</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2</w:t>
      </w:r>
      <w:r w:rsidR="00280FFF">
        <w:rPr>
          <w:szCs w:val="22"/>
        </w:rPr>
        <w:fldChar w:fldCharType="end"/>
      </w:r>
      <w:bookmarkEnd w:id="186"/>
      <w:r w:rsidRPr="00541084">
        <w:rPr>
          <w:szCs w:val="22"/>
        </w:rPr>
        <w:t>. Linear interpolation to calculate particle velocity (modified from LaBolle et al. 1996).</w:t>
      </w:r>
      <w:bookmarkEnd w:id="187"/>
      <w:r w:rsidRPr="00541084">
        <w:rPr>
          <w:szCs w:val="22"/>
        </w:rPr>
        <w:t xml:space="preserve"> </w:t>
      </w:r>
    </w:p>
    <w:p w14:paraId="13B4B5BC" w14:textId="77777777" w:rsidR="007758D0" w:rsidRDefault="007758D0" w:rsidP="007758D0">
      <w:pPr>
        <w:pStyle w:val="Para10"/>
      </w:pPr>
    </w:p>
    <w:p w14:paraId="16ACB36F" w14:textId="77777777" w:rsidR="007758D0" w:rsidRDefault="007758D0" w:rsidP="007758D0">
      <w:r w:rsidRPr="0063004E">
        <w:t xml:space="preserve">Diffusion calculation comes after the advection step. Microscopically, diffusion refers to the random </w:t>
      </w:r>
      <w:r>
        <w:t>walk of the diffusing particles</w:t>
      </w:r>
      <w:r w:rsidRPr="0063004E">
        <w:t xml:space="preserve">. </w:t>
      </w:r>
      <w:r>
        <w:t>This</w:t>
      </w:r>
      <w:r w:rsidRPr="0063004E">
        <w:t xml:space="preserve"> diffusion step follows a normal distribution, with </w:t>
      </w:r>
      <w:r>
        <w:t>a</w:t>
      </w:r>
      <w:r w:rsidRPr="0063004E">
        <w:t xml:space="preserve"> mean</w:t>
      </w:r>
      <w:r>
        <w:t xml:space="preserve"> of zero</w:t>
      </w:r>
      <w:r w:rsidRPr="0063004E">
        <w:t xml:space="preserve"> and</w:t>
      </w:r>
      <w:r>
        <w:t xml:space="preserve"> a</w:t>
      </w:r>
      <w:r w:rsidRPr="0063004E">
        <w:t xml:space="preserve"> standard deviation of </w:t>
      </w:r>
      <m:oMath>
        <m:rad>
          <m:radPr>
            <m:degHide m:val="1"/>
            <m:ctrlPr>
              <w:rPr>
                <w:rFonts w:ascii="Cambria Math" w:hAnsi="Cambria Math"/>
              </w:rPr>
            </m:ctrlPr>
          </m:radPr>
          <m:deg/>
          <m:e>
            <m:r>
              <m:rPr>
                <m:sty m:val="p"/>
              </m:rPr>
              <w:rPr>
                <w:rFonts w:ascii="Cambria Math" w:hAnsi="Cambria Math"/>
              </w:rPr>
              <m:t>2</m:t>
            </m:r>
            <m:r>
              <w:rPr>
                <w:rFonts w:ascii="Cambria Math" w:hAnsi="Cambria Math"/>
              </w:rPr>
              <m:t>D</m:t>
            </m:r>
            <m:r>
              <m:rPr>
                <m:sty m:val="p"/>
              </m:rPr>
              <w:rPr>
                <w:rFonts w:ascii="Cambria Math" w:hAnsi="Cambria Math"/>
              </w:rPr>
              <m:t>∆</m:t>
            </m:r>
            <m:r>
              <w:rPr>
                <w:rFonts w:ascii="Cambria Math" w:hAnsi="Cambria Math"/>
              </w:rPr>
              <m:t>t</m:t>
            </m:r>
          </m:e>
        </m:rad>
      </m:oMath>
      <w:r w:rsidRPr="0063004E">
        <w:t>. In x direction, the diffusion distance is calculated by</w:t>
      </w:r>
      <w:r>
        <w:t xml:space="preserve"> (Scheidegger 1954)</w:t>
      </w:r>
      <w:r w:rsidRPr="0063004E">
        <w:t>:</w:t>
      </w:r>
    </w:p>
    <w:p w14:paraId="7A6C5D65" w14:textId="77777777" w:rsidR="007758D0" w:rsidRPr="0063004E" w:rsidRDefault="00A53410" w:rsidP="007758D0">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diff,x</m:t>
            </m:r>
          </m:sub>
        </m:sSub>
        <m:r>
          <m:rPr>
            <m:sty m:val="p"/>
          </m:rPr>
          <w:rPr>
            <w:rFonts w:ascii="Cambria Math" w:hAnsi="Cambria Math"/>
          </w:rPr>
          <m:t>=z</m:t>
        </m:r>
        <m:rad>
          <m:radPr>
            <m:degHide m:val="1"/>
            <m:ctrlPr>
              <w:rPr>
                <w:rFonts w:ascii="Cambria Math" w:hAnsi="Cambria Math"/>
              </w:rPr>
            </m:ctrlPr>
          </m:radPr>
          <m:deg/>
          <m:e>
            <m:r>
              <m:rPr>
                <m:sty m:val="p"/>
              </m:rPr>
              <w:rPr>
                <w:rFonts w:ascii="Cambria Math" w:hAnsi="Cambria Math"/>
              </w:rPr>
              <m:t>2</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x</m:t>
                </m:r>
              </m:sub>
            </m:sSub>
            <m:r>
              <m:rPr>
                <m:sty m:val="p"/>
              </m:rPr>
              <w:rPr>
                <w:rFonts w:ascii="Cambria Math" w:hAnsi="Cambria Math"/>
              </w:rPr>
              <m:t>∆t</m:t>
            </m:r>
          </m:e>
        </m:rad>
      </m:oMath>
      <w:r w:rsidR="007758D0">
        <w:tab/>
        <w:t>(4-5)</w:t>
      </w:r>
    </w:p>
    <w:p w14:paraId="2A47F51D" w14:textId="77777777" w:rsidR="007758D0" w:rsidRDefault="007758D0" w:rsidP="007758D0">
      <w:r>
        <w:t xml:space="preserve">Where, </w:t>
      </w:r>
      <m:oMath>
        <m:sSub>
          <m:sSubPr>
            <m:ctrlPr>
              <w:rPr>
                <w:rFonts w:ascii="Cambria Math" w:hAnsi="Cambria Math"/>
                <w:i/>
              </w:rPr>
            </m:ctrlPr>
          </m:sSubPr>
          <m:e>
            <m:r>
              <w:rPr>
                <w:rFonts w:ascii="Cambria Math" w:hAnsi="Cambria Math"/>
              </w:rPr>
              <m:t>D</m:t>
            </m:r>
          </m:e>
          <m:sub>
            <m:r>
              <w:rPr>
                <w:rFonts w:ascii="Cambria Math" w:hAnsi="Cambria Math"/>
              </w:rPr>
              <m:t>x</m:t>
            </m:r>
          </m:sub>
        </m:sSub>
      </m:oMath>
      <w:r>
        <w:t xml:space="preserve"> is diffusion coefficient in x direction and </w:t>
      </w:r>
      <m:oMath>
        <m:r>
          <w:rPr>
            <w:rFonts w:ascii="Cambria Math" w:hAnsi="Cambria Math"/>
          </w:rPr>
          <m:t>z</m:t>
        </m:r>
      </m:oMath>
      <w:r>
        <w:t xml:space="preserve"> is a random number following standard normal distribution.</w:t>
      </w:r>
    </w:p>
    <w:p w14:paraId="2593121C" w14:textId="1AD89966" w:rsidR="007758D0" w:rsidRDefault="00A5385E" w:rsidP="007758D0">
      <w:r>
        <w:t xml:space="preserve">Therefore, </w:t>
      </w:r>
      <w:r w:rsidR="007758D0">
        <w:t xml:space="preserve">the total movement of particle in each time step </w:t>
      </w:r>
      <w:r>
        <w:t>is calculated based on</w:t>
      </w:r>
      <w:r w:rsidR="007758D0">
        <w:t xml:space="preserve"> advection and diffusion. The new location (i.e. position E in </w:t>
      </w:r>
      <w:r w:rsidR="007758D0">
        <w:fldChar w:fldCharType="begin"/>
      </w:r>
      <w:r w:rsidR="007758D0">
        <w:instrText xml:space="preserve"> REF _Ref437337171 \h  \* MERGEFORMAT </w:instrText>
      </w:r>
      <w:r w:rsidR="007758D0">
        <w:fldChar w:fldCharType="separate"/>
      </w:r>
      <w:r w:rsidR="003F19BC" w:rsidRPr="000C57DB">
        <w:t xml:space="preserve">Figure </w:t>
      </w:r>
      <w:r w:rsidR="003F19BC">
        <w:t>4</w:t>
      </w:r>
      <w:r w:rsidR="003F19BC">
        <w:noBreakHyphen/>
        <w:t>2</w:t>
      </w:r>
      <w:r w:rsidR="007758D0">
        <w:fldChar w:fldCharType="end"/>
      </w:r>
      <w:r w:rsidR="007758D0">
        <w:t xml:space="preserve">) will be set </w:t>
      </w:r>
      <w:r w:rsidR="007758D0">
        <w:lastRenderedPageBreak/>
        <w:t xml:space="preserve">as the start point of next time step. </w:t>
      </w:r>
      <w:r w:rsidR="00630A86">
        <w:t xml:space="preserve">When a particle reaches the producer, it is assumed to be produced out of the reservoir. </w:t>
      </w:r>
      <w:r w:rsidR="007758D0">
        <w:t>By recording the arrival time of each particle to the producer, tracer production data</w:t>
      </w:r>
      <w:r w:rsidR="0011235F">
        <w:t xml:space="preserve"> is easily obtained</w:t>
      </w:r>
      <w:r w:rsidR="007758D0">
        <w:t>.</w:t>
      </w:r>
      <w:r w:rsidR="007758D0" w:rsidRPr="00076DD5">
        <w:t xml:space="preserve"> </w:t>
      </w:r>
      <w:r w:rsidR="00BB62AA">
        <w:t>The advection velocity in RWPT</w:t>
      </w:r>
      <w:r w:rsidR="007758D0">
        <w:t xml:space="preserve"> </w:t>
      </w:r>
      <w:r w:rsidR="00BB62AA">
        <w:t xml:space="preserve">is </w:t>
      </w:r>
      <w:r w:rsidR="007758D0">
        <w:t>calculated based on the pressure and saturation output from finite-difference based simulation.</w:t>
      </w:r>
    </w:p>
    <w:p w14:paraId="162A74F8" w14:textId="77777777" w:rsidR="007758D0" w:rsidRDefault="007758D0" w:rsidP="007758D0">
      <w:pPr>
        <w:pStyle w:val="para1"/>
      </w:pPr>
    </w:p>
    <w:p w14:paraId="75D61BCB" w14:textId="77777777" w:rsidR="007758D0" w:rsidRDefault="007758D0" w:rsidP="007758D0">
      <w:pPr>
        <w:pStyle w:val="Heading2"/>
      </w:pPr>
      <w:bookmarkStart w:id="188" w:name="_Toc494014225"/>
      <w:r>
        <w:t>Program Validation and Result</w:t>
      </w:r>
      <w:bookmarkEnd w:id="188"/>
    </w:p>
    <w:p w14:paraId="31F52273" w14:textId="77777777" w:rsidR="007758D0" w:rsidRDefault="007758D0" w:rsidP="007758D0">
      <w:pPr>
        <w:pStyle w:val="Heading3"/>
      </w:pPr>
      <w:bookmarkStart w:id="189" w:name="_Toc494014226"/>
      <w:r>
        <w:t>Model Description</w:t>
      </w:r>
      <w:bookmarkEnd w:id="189"/>
    </w:p>
    <w:p w14:paraId="29D3C80B" w14:textId="512D8369" w:rsidR="007758D0" w:rsidRDefault="0011235F" w:rsidP="009A1F35">
      <w:r>
        <w:t>A 1D</w:t>
      </w:r>
      <w:r w:rsidR="007758D0">
        <w:t xml:space="preserve"> model with 50 grids </w:t>
      </w:r>
      <w:r>
        <w:t xml:space="preserve">was built </w:t>
      </w:r>
      <w:r w:rsidR="007758D0">
        <w:t>to validate the modified RWPT program with finite-difference method based simulator. The dimension of each grid was identical</w:t>
      </w:r>
      <w:r>
        <w:t xml:space="preserve">: 1 ft. in length </w:t>
      </w:r>
      <w:r w:rsidR="00CC058B">
        <w:t>with a</w:t>
      </w:r>
      <w:r>
        <w:t xml:space="preserve"> cross-</w:t>
      </w:r>
      <w:r w:rsidR="00CC058B">
        <w:t>section of</w:t>
      </w:r>
      <w:r w:rsidR="007758D0">
        <w:t xml:space="preserve"> 10 ft</w:t>
      </w:r>
      <w:r w:rsidR="007758D0" w:rsidRPr="00D15D65">
        <w:rPr>
          <w:vertAlign w:val="superscript"/>
        </w:rPr>
        <w:t>2</w:t>
      </w:r>
      <w:r w:rsidR="007758D0">
        <w:t xml:space="preserve">. </w:t>
      </w:r>
      <w:r w:rsidR="00225A39">
        <w:t xml:space="preserve">Water and oil were assumed as the </w:t>
      </w:r>
      <w:r w:rsidR="004A29CA">
        <w:t xml:space="preserve">two phases in the </w:t>
      </w:r>
      <w:r w:rsidR="00225A39">
        <w:t>system</w:t>
      </w:r>
      <w:r w:rsidR="007758D0">
        <w:t xml:space="preserve">. Their compressibility was neglected. </w:t>
      </w:r>
      <w:r>
        <w:t>Partitioning chemical tracer EtFm was</w:t>
      </w:r>
      <w:r w:rsidR="007758D0">
        <w:t xml:space="preserve"> continuously inject</w:t>
      </w:r>
      <w:r>
        <w:t>ed</w:t>
      </w:r>
      <w:r w:rsidR="007758D0">
        <w:t xml:space="preserve"> at a constant rate </w:t>
      </w:r>
      <w:r w:rsidR="00225A39">
        <w:t xml:space="preserve">of 1.5 bbl./day from one side and produced </w:t>
      </w:r>
      <w:r w:rsidR="007758D0">
        <w:t>from the other side of the system at the same rate (</w:t>
      </w:r>
      <w:r w:rsidR="007758D0">
        <w:fldChar w:fldCharType="begin"/>
      </w:r>
      <w:r w:rsidR="007758D0">
        <w:instrText xml:space="preserve"> REF _Ref437437783 \h </w:instrText>
      </w:r>
      <w:r w:rsidR="007758D0">
        <w:fldChar w:fldCharType="separate"/>
      </w:r>
      <w:r w:rsidR="003F19BC">
        <w:t xml:space="preserve">Figure </w:t>
      </w:r>
      <w:r w:rsidR="003F19BC">
        <w:rPr>
          <w:noProof/>
        </w:rPr>
        <w:t>4</w:t>
      </w:r>
      <w:r w:rsidR="003F19BC">
        <w:noBreakHyphen/>
      </w:r>
      <w:r w:rsidR="003F19BC">
        <w:rPr>
          <w:noProof/>
        </w:rPr>
        <w:t>3</w:t>
      </w:r>
      <w:r w:rsidR="007758D0">
        <w:fldChar w:fldCharType="end"/>
      </w:r>
      <w:r w:rsidR="007758D0">
        <w:t xml:space="preserve">). The partition coefficient was 25.62 (mole fraction based). All the input parameters of base case are given in </w:t>
      </w:r>
      <w:r w:rsidR="007758D0">
        <w:fldChar w:fldCharType="begin"/>
      </w:r>
      <w:r w:rsidR="007758D0">
        <w:instrText xml:space="preserve"> REF _Ref452735242 \h </w:instrText>
      </w:r>
      <w:r w:rsidR="007758D0">
        <w:fldChar w:fldCharType="separate"/>
      </w:r>
      <w:r w:rsidR="003F19BC">
        <w:t xml:space="preserve">Table </w:t>
      </w:r>
      <w:r w:rsidR="003F19BC">
        <w:rPr>
          <w:noProof/>
        </w:rPr>
        <w:t>4</w:t>
      </w:r>
      <w:r w:rsidR="003F19BC">
        <w:noBreakHyphen/>
      </w:r>
      <w:r w:rsidR="003F19BC">
        <w:rPr>
          <w:noProof/>
        </w:rPr>
        <w:t>1</w:t>
      </w:r>
      <w:r w:rsidR="007758D0">
        <w:fldChar w:fldCharType="end"/>
      </w:r>
      <w:r w:rsidR="007758D0">
        <w:t>. The relative permeability curve shows the residual oil saturation was 0.1 (</w:t>
      </w:r>
      <w:r w:rsidR="007758D0">
        <w:fldChar w:fldCharType="begin"/>
      </w:r>
      <w:r w:rsidR="007758D0">
        <w:instrText xml:space="preserve"> REF _Ref452716212 \h </w:instrText>
      </w:r>
      <w:r w:rsidR="007758D0">
        <w:fldChar w:fldCharType="separate"/>
      </w:r>
      <w:r w:rsidR="003F19BC">
        <w:t xml:space="preserve">Figure </w:t>
      </w:r>
      <w:r w:rsidR="003F19BC">
        <w:rPr>
          <w:noProof/>
        </w:rPr>
        <w:t>4</w:t>
      </w:r>
      <w:r w:rsidR="003F19BC">
        <w:noBreakHyphen/>
      </w:r>
      <w:r w:rsidR="003F19BC">
        <w:rPr>
          <w:noProof/>
        </w:rPr>
        <w:t>4</w:t>
      </w:r>
      <w:r w:rsidR="007758D0">
        <w:fldChar w:fldCharType="end"/>
      </w:r>
      <w:r w:rsidR="007758D0">
        <w:t>). This indicate</w:t>
      </w:r>
      <w:r w:rsidR="00225A39">
        <w:t>d</w:t>
      </w:r>
      <w:r w:rsidR="007758D0">
        <w:t xml:space="preserve"> </w:t>
      </w:r>
      <w:r w:rsidR="00304B8E">
        <w:t>that only water was flowing in the</w:t>
      </w:r>
      <w:r w:rsidR="007758D0">
        <w:t xml:space="preserve"> base case.</w:t>
      </w:r>
      <w:r w:rsidR="009A1F35">
        <w:t xml:space="preserve"> The velocity field used in RWPT was obtained from the finite-difference based method. </w:t>
      </w:r>
    </w:p>
    <w:p w14:paraId="3CAE1A80" w14:textId="77777777" w:rsidR="007758D0" w:rsidRDefault="007758D0" w:rsidP="007758D0">
      <w:pPr>
        <w:pStyle w:val="para"/>
      </w:pPr>
    </w:p>
    <w:p w14:paraId="7E3B656E" w14:textId="77777777" w:rsidR="007758D0" w:rsidRDefault="007758D0" w:rsidP="0087407F">
      <w:pPr>
        <w:pStyle w:val="TableNormal1"/>
      </w:pPr>
      <w:r>
        <w:drawing>
          <wp:inline distT="0" distB="0" distL="0" distR="0" wp14:anchorId="369A35D8" wp14:editId="542588BA">
            <wp:extent cx="5327015" cy="10382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47144" cy="1042148"/>
                    </a:xfrm>
                    <a:prstGeom prst="rect">
                      <a:avLst/>
                    </a:prstGeom>
                  </pic:spPr>
                </pic:pic>
              </a:graphicData>
            </a:graphic>
          </wp:inline>
        </w:drawing>
      </w:r>
    </w:p>
    <w:p w14:paraId="47AF315C" w14:textId="43F5DFAA" w:rsidR="007758D0" w:rsidRPr="00541084" w:rsidRDefault="007758D0" w:rsidP="00BF3F9B">
      <w:pPr>
        <w:pStyle w:val="Caption"/>
        <w:rPr>
          <w:szCs w:val="22"/>
        </w:rPr>
      </w:pPr>
      <w:bookmarkStart w:id="190" w:name="_Ref437437783"/>
      <w:bookmarkStart w:id="191" w:name="_Toc495144745"/>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4</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3</w:t>
      </w:r>
      <w:r w:rsidR="00280FFF">
        <w:rPr>
          <w:szCs w:val="22"/>
        </w:rPr>
        <w:fldChar w:fldCharType="end"/>
      </w:r>
      <w:bookmarkEnd w:id="190"/>
      <w:r w:rsidRPr="00541084">
        <w:rPr>
          <w:szCs w:val="22"/>
        </w:rPr>
        <w:t>. Configuration of 1D model. The partitioning chemical tracer is injected from left to right. Its concentration is recorded at the outlet.</w:t>
      </w:r>
      <w:bookmarkEnd w:id="191"/>
    </w:p>
    <w:tbl>
      <w:tblPr>
        <w:tblStyle w:val="LightShading"/>
        <w:tblW w:w="0" w:type="auto"/>
        <w:jc w:val="center"/>
        <w:tblLook w:val="04A0" w:firstRow="1" w:lastRow="0" w:firstColumn="1" w:lastColumn="0" w:noHBand="0" w:noVBand="1"/>
      </w:tblPr>
      <w:tblGrid>
        <w:gridCol w:w="4017"/>
        <w:gridCol w:w="2211"/>
        <w:gridCol w:w="2258"/>
      </w:tblGrid>
      <w:tr w:rsidR="007758D0" w14:paraId="7077E2AA" w14:textId="77777777" w:rsidTr="0080643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8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770E9A" w14:textId="77777777" w:rsidR="007758D0" w:rsidRDefault="007758D0" w:rsidP="007758D0">
            <w:pPr>
              <w:jc w:val="center"/>
            </w:pPr>
            <w:bookmarkStart w:id="192" w:name="_Ref452735242"/>
            <w:bookmarkStart w:id="193" w:name="_Toc494014267"/>
            <w:r>
              <w:lastRenderedPageBreak/>
              <w:t xml:space="preserve">Table </w:t>
            </w:r>
            <w:fldSimple w:instr=" STYLEREF 1 \s ">
              <w:r w:rsidR="00A67B82">
                <w:rPr>
                  <w:noProof/>
                </w:rPr>
                <w:t>4</w:t>
              </w:r>
            </w:fldSimple>
            <w:r w:rsidR="00A67B82">
              <w:noBreakHyphen/>
            </w:r>
            <w:fldSimple w:instr=" SEQ Table \* ARABIC \s 1 ">
              <w:r w:rsidR="00A67B82">
                <w:rPr>
                  <w:noProof/>
                </w:rPr>
                <w:t>1</w:t>
              </w:r>
            </w:fldSimple>
            <w:bookmarkEnd w:id="192"/>
            <w:r>
              <w:t>. Input parameters of base case</w:t>
            </w:r>
            <w:bookmarkEnd w:id="193"/>
          </w:p>
        </w:tc>
      </w:tr>
      <w:tr w:rsidR="007758D0" w14:paraId="7FC16BB2" w14:textId="77777777" w:rsidTr="008064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Borders>
              <w:top w:val="single" w:sz="4" w:space="0" w:color="auto"/>
              <w:left w:val="single" w:sz="4" w:space="0" w:color="auto"/>
              <w:bottom w:val="single" w:sz="4" w:space="0" w:color="auto"/>
            </w:tcBorders>
            <w:shd w:val="clear" w:color="auto" w:fill="FFFFFF" w:themeFill="background1"/>
          </w:tcPr>
          <w:p w14:paraId="423F80DB" w14:textId="77777777" w:rsidR="007758D0" w:rsidRDefault="007758D0" w:rsidP="007758D0">
            <w:pPr>
              <w:pStyle w:val="TableNormal1"/>
            </w:pPr>
            <w:r>
              <w:t>Parameter</w:t>
            </w:r>
          </w:p>
        </w:tc>
        <w:tc>
          <w:tcPr>
            <w:tcW w:w="2211" w:type="dxa"/>
            <w:tcBorders>
              <w:top w:val="single" w:sz="4" w:space="0" w:color="auto"/>
              <w:bottom w:val="single" w:sz="4" w:space="0" w:color="auto"/>
            </w:tcBorders>
            <w:shd w:val="clear" w:color="auto" w:fill="FFFFFF" w:themeFill="background1"/>
          </w:tcPr>
          <w:p w14:paraId="193F1705" w14:textId="77777777" w:rsidR="007758D0" w:rsidRPr="007A1087" w:rsidRDefault="007758D0" w:rsidP="007758D0">
            <w:pPr>
              <w:pStyle w:val="TableNormal1"/>
              <w:cnfStyle w:val="000000100000" w:firstRow="0" w:lastRow="0" w:firstColumn="0" w:lastColumn="0" w:oddVBand="0" w:evenVBand="0" w:oddHBand="1" w:evenHBand="0" w:firstRowFirstColumn="0" w:firstRowLastColumn="0" w:lastRowFirstColumn="0" w:lastRowLastColumn="0"/>
            </w:pPr>
            <w:r w:rsidRPr="007A1087">
              <w:t>Value</w:t>
            </w:r>
          </w:p>
        </w:tc>
        <w:tc>
          <w:tcPr>
            <w:tcW w:w="2258" w:type="dxa"/>
            <w:tcBorders>
              <w:top w:val="single" w:sz="4" w:space="0" w:color="auto"/>
              <w:bottom w:val="single" w:sz="4" w:space="0" w:color="auto"/>
              <w:right w:val="single" w:sz="4" w:space="0" w:color="auto"/>
            </w:tcBorders>
            <w:shd w:val="clear" w:color="auto" w:fill="FFFFFF" w:themeFill="background1"/>
          </w:tcPr>
          <w:p w14:paraId="2462DCE8" w14:textId="77777777" w:rsidR="007758D0" w:rsidRPr="007A1087" w:rsidRDefault="007758D0" w:rsidP="007758D0">
            <w:pPr>
              <w:pStyle w:val="TableNormal1"/>
              <w:cnfStyle w:val="000000100000" w:firstRow="0" w:lastRow="0" w:firstColumn="0" w:lastColumn="0" w:oddVBand="0" w:evenVBand="0" w:oddHBand="1" w:evenHBand="0" w:firstRowFirstColumn="0" w:firstRowLastColumn="0" w:lastRowFirstColumn="0" w:lastRowLastColumn="0"/>
            </w:pPr>
            <w:r w:rsidRPr="007A1087">
              <w:t>Unit</w:t>
            </w:r>
          </w:p>
        </w:tc>
      </w:tr>
      <w:tr w:rsidR="007758D0" w14:paraId="0432FB33" w14:textId="77777777" w:rsidTr="00806438">
        <w:trPr>
          <w:jc w:val="center"/>
        </w:trPr>
        <w:tc>
          <w:tcPr>
            <w:cnfStyle w:val="001000000000" w:firstRow="0" w:lastRow="0" w:firstColumn="1" w:lastColumn="0" w:oddVBand="0" w:evenVBand="0" w:oddHBand="0" w:evenHBand="0" w:firstRowFirstColumn="0" w:firstRowLastColumn="0" w:lastRowFirstColumn="0" w:lastRowLastColumn="0"/>
            <w:tcW w:w="4017" w:type="dxa"/>
            <w:tcBorders>
              <w:left w:val="single" w:sz="4" w:space="0" w:color="auto"/>
            </w:tcBorders>
            <w:shd w:val="clear" w:color="auto" w:fill="FFFFFF" w:themeFill="background1"/>
          </w:tcPr>
          <w:p w14:paraId="3A4D8D71" w14:textId="77777777" w:rsidR="007758D0" w:rsidRPr="007758D0" w:rsidRDefault="007758D0" w:rsidP="007758D0">
            <w:pPr>
              <w:pStyle w:val="TableNormal1"/>
            </w:pPr>
            <w:r w:rsidRPr="007758D0">
              <w:t>Length</w:t>
            </w:r>
          </w:p>
        </w:tc>
        <w:tc>
          <w:tcPr>
            <w:tcW w:w="2211" w:type="dxa"/>
            <w:shd w:val="clear" w:color="auto" w:fill="FFFFFF" w:themeFill="background1"/>
          </w:tcPr>
          <w:p w14:paraId="4C37F29B" w14:textId="77777777" w:rsidR="007758D0" w:rsidRDefault="007758D0" w:rsidP="007758D0">
            <w:pPr>
              <w:pStyle w:val="TableNormal1"/>
              <w:cnfStyle w:val="000000000000" w:firstRow="0" w:lastRow="0" w:firstColumn="0" w:lastColumn="0" w:oddVBand="0" w:evenVBand="0" w:oddHBand="0" w:evenHBand="0" w:firstRowFirstColumn="0" w:firstRowLastColumn="0" w:lastRowFirstColumn="0" w:lastRowLastColumn="0"/>
            </w:pPr>
            <w:r>
              <w:t>50</w:t>
            </w:r>
          </w:p>
        </w:tc>
        <w:tc>
          <w:tcPr>
            <w:tcW w:w="2258" w:type="dxa"/>
            <w:tcBorders>
              <w:right w:val="single" w:sz="4" w:space="0" w:color="auto"/>
            </w:tcBorders>
            <w:shd w:val="clear" w:color="auto" w:fill="FFFFFF" w:themeFill="background1"/>
          </w:tcPr>
          <w:p w14:paraId="1962F3E3" w14:textId="77777777" w:rsidR="007758D0" w:rsidRDefault="007758D0" w:rsidP="007758D0">
            <w:pPr>
              <w:pStyle w:val="TableNormal1"/>
              <w:cnfStyle w:val="000000000000" w:firstRow="0" w:lastRow="0" w:firstColumn="0" w:lastColumn="0" w:oddVBand="0" w:evenVBand="0" w:oddHBand="0" w:evenHBand="0" w:firstRowFirstColumn="0" w:firstRowLastColumn="0" w:lastRowFirstColumn="0" w:lastRowLastColumn="0"/>
            </w:pPr>
            <w:r>
              <w:t>ft.</w:t>
            </w:r>
          </w:p>
        </w:tc>
      </w:tr>
      <w:tr w:rsidR="007758D0" w14:paraId="35BF5801" w14:textId="77777777" w:rsidTr="008064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Borders>
              <w:left w:val="single" w:sz="4" w:space="0" w:color="auto"/>
              <w:bottom w:val="nil"/>
            </w:tcBorders>
            <w:shd w:val="clear" w:color="auto" w:fill="FFFFFF"/>
          </w:tcPr>
          <w:p w14:paraId="32DB7BB1" w14:textId="77777777" w:rsidR="007758D0" w:rsidRPr="007758D0" w:rsidRDefault="007758D0" w:rsidP="007758D0">
            <w:pPr>
              <w:pStyle w:val="TableNormal1"/>
            </w:pPr>
            <w:r w:rsidRPr="007758D0">
              <w:t>Cross Section Area</w:t>
            </w:r>
          </w:p>
        </w:tc>
        <w:tc>
          <w:tcPr>
            <w:tcW w:w="2211" w:type="dxa"/>
            <w:tcBorders>
              <w:bottom w:val="nil"/>
            </w:tcBorders>
            <w:shd w:val="clear" w:color="auto" w:fill="FFFFFF"/>
          </w:tcPr>
          <w:p w14:paraId="2924F691" w14:textId="77777777" w:rsidR="007758D0" w:rsidRDefault="007758D0" w:rsidP="007758D0">
            <w:pPr>
              <w:pStyle w:val="TableNormal1"/>
              <w:cnfStyle w:val="000000100000" w:firstRow="0" w:lastRow="0" w:firstColumn="0" w:lastColumn="0" w:oddVBand="0" w:evenVBand="0" w:oddHBand="1" w:evenHBand="0" w:firstRowFirstColumn="0" w:firstRowLastColumn="0" w:lastRowFirstColumn="0" w:lastRowLastColumn="0"/>
            </w:pPr>
            <w:r>
              <w:t>10</w:t>
            </w:r>
          </w:p>
        </w:tc>
        <w:tc>
          <w:tcPr>
            <w:tcW w:w="2258" w:type="dxa"/>
            <w:tcBorders>
              <w:bottom w:val="nil"/>
              <w:right w:val="single" w:sz="4" w:space="0" w:color="auto"/>
            </w:tcBorders>
            <w:shd w:val="clear" w:color="auto" w:fill="FFFFFF"/>
          </w:tcPr>
          <w:p w14:paraId="0A13D42C" w14:textId="77777777" w:rsidR="007758D0" w:rsidRDefault="007758D0" w:rsidP="007758D0">
            <w:pPr>
              <w:pStyle w:val="TableNormal1"/>
              <w:cnfStyle w:val="000000100000" w:firstRow="0" w:lastRow="0" w:firstColumn="0" w:lastColumn="0" w:oddVBand="0" w:evenVBand="0" w:oddHBand="1" w:evenHBand="0" w:firstRowFirstColumn="0" w:firstRowLastColumn="0" w:lastRowFirstColumn="0" w:lastRowLastColumn="0"/>
            </w:pPr>
            <w:r>
              <w:t>ft</w:t>
            </w:r>
            <w:r w:rsidRPr="00ED571E">
              <w:rPr>
                <w:vertAlign w:val="superscript"/>
              </w:rPr>
              <w:t>2</w:t>
            </w:r>
            <w:r>
              <w:t>.</w:t>
            </w:r>
          </w:p>
        </w:tc>
      </w:tr>
      <w:tr w:rsidR="007758D0" w14:paraId="27DC9040" w14:textId="77777777" w:rsidTr="00806438">
        <w:trPr>
          <w:jc w:val="center"/>
        </w:trPr>
        <w:tc>
          <w:tcPr>
            <w:cnfStyle w:val="001000000000" w:firstRow="0" w:lastRow="0" w:firstColumn="1" w:lastColumn="0" w:oddVBand="0" w:evenVBand="0" w:oddHBand="0" w:evenHBand="0" w:firstRowFirstColumn="0" w:firstRowLastColumn="0" w:lastRowFirstColumn="0" w:lastRowLastColumn="0"/>
            <w:tcW w:w="4017" w:type="dxa"/>
            <w:tcBorders>
              <w:top w:val="nil"/>
              <w:left w:val="single" w:sz="4" w:space="0" w:color="auto"/>
              <w:bottom w:val="nil"/>
            </w:tcBorders>
            <w:shd w:val="clear" w:color="auto" w:fill="FFFFFF"/>
          </w:tcPr>
          <w:p w14:paraId="089FE4CD" w14:textId="77777777" w:rsidR="007758D0" w:rsidRPr="007758D0" w:rsidRDefault="007758D0" w:rsidP="007758D0">
            <w:pPr>
              <w:pStyle w:val="TableNormal1"/>
            </w:pPr>
            <w:r w:rsidRPr="007758D0">
              <w:t>Permeability</w:t>
            </w:r>
          </w:p>
        </w:tc>
        <w:tc>
          <w:tcPr>
            <w:tcW w:w="2211" w:type="dxa"/>
            <w:tcBorders>
              <w:top w:val="nil"/>
              <w:bottom w:val="nil"/>
            </w:tcBorders>
            <w:shd w:val="clear" w:color="auto" w:fill="FFFFFF"/>
          </w:tcPr>
          <w:p w14:paraId="7919360E" w14:textId="77777777" w:rsidR="007758D0" w:rsidRDefault="007758D0" w:rsidP="007758D0">
            <w:pPr>
              <w:pStyle w:val="TableNormal1"/>
              <w:cnfStyle w:val="000000000000" w:firstRow="0" w:lastRow="0" w:firstColumn="0" w:lastColumn="0" w:oddVBand="0" w:evenVBand="0" w:oddHBand="0" w:evenHBand="0" w:firstRowFirstColumn="0" w:firstRowLastColumn="0" w:lastRowFirstColumn="0" w:lastRowLastColumn="0"/>
            </w:pPr>
            <w:r>
              <w:t>100</w:t>
            </w:r>
          </w:p>
        </w:tc>
        <w:tc>
          <w:tcPr>
            <w:tcW w:w="2258" w:type="dxa"/>
            <w:tcBorders>
              <w:top w:val="nil"/>
              <w:bottom w:val="nil"/>
              <w:right w:val="single" w:sz="4" w:space="0" w:color="auto"/>
            </w:tcBorders>
            <w:shd w:val="clear" w:color="auto" w:fill="FFFFFF"/>
          </w:tcPr>
          <w:p w14:paraId="573BB005" w14:textId="77777777" w:rsidR="007758D0" w:rsidRDefault="007758D0" w:rsidP="007758D0">
            <w:pPr>
              <w:pStyle w:val="TableNormal1"/>
              <w:cnfStyle w:val="000000000000" w:firstRow="0" w:lastRow="0" w:firstColumn="0" w:lastColumn="0" w:oddVBand="0" w:evenVBand="0" w:oddHBand="0" w:evenHBand="0" w:firstRowFirstColumn="0" w:firstRowLastColumn="0" w:lastRowFirstColumn="0" w:lastRowLastColumn="0"/>
            </w:pPr>
            <w:r>
              <w:t>md</w:t>
            </w:r>
          </w:p>
        </w:tc>
      </w:tr>
      <w:tr w:rsidR="007758D0" w14:paraId="770D5153" w14:textId="77777777" w:rsidTr="008064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Borders>
              <w:top w:val="nil"/>
              <w:left w:val="single" w:sz="4" w:space="0" w:color="auto"/>
              <w:bottom w:val="nil"/>
            </w:tcBorders>
            <w:shd w:val="clear" w:color="auto" w:fill="FFFFFF"/>
          </w:tcPr>
          <w:p w14:paraId="5396B852" w14:textId="77777777" w:rsidR="007758D0" w:rsidRPr="007758D0" w:rsidRDefault="007758D0" w:rsidP="007758D0">
            <w:pPr>
              <w:pStyle w:val="TableNormal1"/>
            </w:pPr>
            <w:r w:rsidRPr="007758D0">
              <w:t>Porosity</w:t>
            </w:r>
          </w:p>
        </w:tc>
        <w:tc>
          <w:tcPr>
            <w:tcW w:w="2211" w:type="dxa"/>
            <w:tcBorders>
              <w:top w:val="nil"/>
              <w:bottom w:val="nil"/>
            </w:tcBorders>
            <w:shd w:val="clear" w:color="auto" w:fill="FFFFFF"/>
          </w:tcPr>
          <w:p w14:paraId="582A1028" w14:textId="77777777" w:rsidR="007758D0" w:rsidRDefault="007758D0" w:rsidP="007758D0">
            <w:pPr>
              <w:pStyle w:val="TableNormal1"/>
              <w:cnfStyle w:val="000000100000" w:firstRow="0" w:lastRow="0" w:firstColumn="0" w:lastColumn="0" w:oddVBand="0" w:evenVBand="0" w:oddHBand="1" w:evenHBand="0" w:firstRowFirstColumn="0" w:firstRowLastColumn="0" w:lastRowFirstColumn="0" w:lastRowLastColumn="0"/>
            </w:pPr>
            <w:r>
              <w:t>0.1</w:t>
            </w:r>
          </w:p>
        </w:tc>
        <w:tc>
          <w:tcPr>
            <w:tcW w:w="2258" w:type="dxa"/>
            <w:tcBorders>
              <w:top w:val="nil"/>
              <w:bottom w:val="nil"/>
              <w:right w:val="single" w:sz="4" w:space="0" w:color="auto"/>
            </w:tcBorders>
            <w:shd w:val="clear" w:color="auto" w:fill="FFFFFF"/>
          </w:tcPr>
          <w:p w14:paraId="60BABDB9" w14:textId="77777777" w:rsidR="007758D0" w:rsidRDefault="007758D0" w:rsidP="007758D0">
            <w:pPr>
              <w:pStyle w:val="TableNormal1"/>
              <w:cnfStyle w:val="000000100000" w:firstRow="0" w:lastRow="0" w:firstColumn="0" w:lastColumn="0" w:oddVBand="0" w:evenVBand="0" w:oddHBand="1" w:evenHBand="0" w:firstRowFirstColumn="0" w:firstRowLastColumn="0" w:lastRowFirstColumn="0" w:lastRowLastColumn="0"/>
            </w:pPr>
            <w:r>
              <w:t>%</w:t>
            </w:r>
          </w:p>
        </w:tc>
      </w:tr>
      <w:tr w:rsidR="007758D0" w14:paraId="03C6E93A" w14:textId="77777777" w:rsidTr="00806438">
        <w:trPr>
          <w:jc w:val="center"/>
        </w:trPr>
        <w:tc>
          <w:tcPr>
            <w:cnfStyle w:val="001000000000" w:firstRow="0" w:lastRow="0" w:firstColumn="1" w:lastColumn="0" w:oddVBand="0" w:evenVBand="0" w:oddHBand="0" w:evenHBand="0" w:firstRowFirstColumn="0" w:firstRowLastColumn="0" w:lastRowFirstColumn="0" w:lastRowLastColumn="0"/>
            <w:tcW w:w="4017" w:type="dxa"/>
            <w:tcBorders>
              <w:top w:val="nil"/>
              <w:left w:val="single" w:sz="4" w:space="0" w:color="auto"/>
            </w:tcBorders>
            <w:shd w:val="clear" w:color="auto" w:fill="FFFFFF"/>
          </w:tcPr>
          <w:p w14:paraId="54F5C54D" w14:textId="77777777" w:rsidR="007758D0" w:rsidRPr="007758D0" w:rsidRDefault="007758D0" w:rsidP="007758D0">
            <w:pPr>
              <w:pStyle w:val="TableNormal1"/>
            </w:pPr>
            <w:r w:rsidRPr="007758D0">
              <w:t>Oil Saturation</w:t>
            </w:r>
          </w:p>
        </w:tc>
        <w:tc>
          <w:tcPr>
            <w:tcW w:w="2211" w:type="dxa"/>
            <w:tcBorders>
              <w:top w:val="nil"/>
            </w:tcBorders>
            <w:shd w:val="clear" w:color="auto" w:fill="FFFFFF"/>
          </w:tcPr>
          <w:p w14:paraId="739F0764" w14:textId="77777777" w:rsidR="007758D0" w:rsidRDefault="007758D0" w:rsidP="007758D0">
            <w:pPr>
              <w:pStyle w:val="TableNormal1"/>
              <w:cnfStyle w:val="000000000000" w:firstRow="0" w:lastRow="0" w:firstColumn="0" w:lastColumn="0" w:oddVBand="0" w:evenVBand="0" w:oddHBand="0" w:evenHBand="0" w:firstRowFirstColumn="0" w:firstRowLastColumn="0" w:lastRowFirstColumn="0" w:lastRowLastColumn="0"/>
            </w:pPr>
            <w:r>
              <w:t>0.1</w:t>
            </w:r>
          </w:p>
        </w:tc>
        <w:tc>
          <w:tcPr>
            <w:tcW w:w="2258" w:type="dxa"/>
            <w:tcBorders>
              <w:top w:val="nil"/>
              <w:right w:val="single" w:sz="4" w:space="0" w:color="auto"/>
            </w:tcBorders>
            <w:shd w:val="clear" w:color="auto" w:fill="FFFFFF"/>
          </w:tcPr>
          <w:p w14:paraId="36EB812A" w14:textId="77777777" w:rsidR="007758D0" w:rsidRDefault="007758D0" w:rsidP="007758D0">
            <w:pPr>
              <w:pStyle w:val="TableNormal1"/>
              <w:cnfStyle w:val="000000000000" w:firstRow="0" w:lastRow="0" w:firstColumn="0" w:lastColumn="0" w:oddVBand="0" w:evenVBand="0" w:oddHBand="0" w:evenHBand="0" w:firstRowFirstColumn="0" w:firstRowLastColumn="0" w:lastRowFirstColumn="0" w:lastRowLastColumn="0"/>
            </w:pPr>
            <w:r>
              <w:t>%</w:t>
            </w:r>
          </w:p>
        </w:tc>
      </w:tr>
      <w:tr w:rsidR="007758D0" w14:paraId="56ADD110" w14:textId="77777777" w:rsidTr="008064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Borders>
              <w:left w:val="single" w:sz="4" w:space="0" w:color="auto"/>
            </w:tcBorders>
            <w:shd w:val="clear" w:color="auto" w:fill="FFFFFF"/>
          </w:tcPr>
          <w:p w14:paraId="00EDF5B2" w14:textId="77777777" w:rsidR="007758D0" w:rsidRPr="007758D0" w:rsidRDefault="007758D0" w:rsidP="007758D0">
            <w:pPr>
              <w:pStyle w:val="TableNormal1"/>
            </w:pPr>
            <w:r w:rsidRPr="007758D0">
              <w:t>Injection/Production Rate</w:t>
            </w:r>
          </w:p>
        </w:tc>
        <w:tc>
          <w:tcPr>
            <w:tcW w:w="2211" w:type="dxa"/>
            <w:shd w:val="clear" w:color="auto" w:fill="FFFFFF"/>
          </w:tcPr>
          <w:p w14:paraId="43F753CD" w14:textId="77777777" w:rsidR="007758D0" w:rsidRDefault="007758D0" w:rsidP="007758D0">
            <w:pPr>
              <w:pStyle w:val="TableNormal1"/>
              <w:cnfStyle w:val="000000100000" w:firstRow="0" w:lastRow="0" w:firstColumn="0" w:lastColumn="0" w:oddVBand="0" w:evenVBand="0" w:oddHBand="1" w:evenHBand="0" w:firstRowFirstColumn="0" w:firstRowLastColumn="0" w:lastRowFirstColumn="0" w:lastRowLastColumn="0"/>
            </w:pPr>
            <w:r>
              <w:t>1.5</w:t>
            </w:r>
          </w:p>
        </w:tc>
        <w:tc>
          <w:tcPr>
            <w:tcW w:w="2258" w:type="dxa"/>
            <w:tcBorders>
              <w:right w:val="single" w:sz="4" w:space="0" w:color="auto"/>
            </w:tcBorders>
            <w:shd w:val="clear" w:color="auto" w:fill="FFFFFF"/>
          </w:tcPr>
          <w:p w14:paraId="0256CAC6" w14:textId="77777777" w:rsidR="007758D0" w:rsidRDefault="007758D0" w:rsidP="007758D0">
            <w:pPr>
              <w:pStyle w:val="TableNormal1"/>
              <w:cnfStyle w:val="000000100000" w:firstRow="0" w:lastRow="0" w:firstColumn="0" w:lastColumn="0" w:oddVBand="0" w:evenVBand="0" w:oddHBand="1" w:evenHBand="0" w:firstRowFirstColumn="0" w:firstRowLastColumn="0" w:lastRowFirstColumn="0" w:lastRowLastColumn="0"/>
            </w:pPr>
            <w:r>
              <w:t>bbl./day</w:t>
            </w:r>
          </w:p>
        </w:tc>
      </w:tr>
      <w:tr w:rsidR="007758D0" w14:paraId="15C0DD29" w14:textId="77777777" w:rsidTr="00806438">
        <w:trPr>
          <w:jc w:val="center"/>
        </w:trPr>
        <w:tc>
          <w:tcPr>
            <w:cnfStyle w:val="001000000000" w:firstRow="0" w:lastRow="0" w:firstColumn="1" w:lastColumn="0" w:oddVBand="0" w:evenVBand="0" w:oddHBand="0" w:evenHBand="0" w:firstRowFirstColumn="0" w:firstRowLastColumn="0" w:lastRowFirstColumn="0" w:lastRowLastColumn="0"/>
            <w:tcW w:w="4017" w:type="dxa"/>
            <w:tcBorders>
              <w:left w:val="single" w:sz="4" w:space="0" w:color="auto"/>
            </w:tcBorders>
            <w:shd w:val="clear" w:color="auto" w:fill="FFFFFF"/>
          </w:tcPr>
          <w:p w14:paraId="653A496D" w14:textId="77777777" w:rsidR="007758D0" w:rsidRPr="007758D0" w:rsidRDefault="007758D0" w:rsidP="007758D0">
            <w:pPr>
              <w:pStyle w:val="TableNormal1"/>
            </w:pPr>
            <w:r w:rsidRPr="007758D0">
              <w:t>Tracer Diffusion Coefficient</w:t>
            </w:r>
          </w:p>
        </w:tc>
        <w:tc>
          <w:tcPr>
            <w:tcW w:w="2211" w:type="dxa"/>
            <w:shd w:val="clear" w:color="auto" w:fill="FFFFFF"/>
          </w:tcPr>
          <w:p w14:paraId="081FB9AF" w14:textId="77777777" w:rsidR="007758D0" w:rsidRDefault="007758D0" w:rsidP="007758D0">
            <w:pPr>
              <w:pStyle w:val="TableNormal1"/>
              <w:cnfStyle w:val="000000000000" w:firstRow="0" w:lastRow="0" w:firstColumn="0" w:lastColumn="0" w:oddVBand="0" w:evenVBand="0" w:oddHBand="0" w:evenHBand="0" w:firstRowFirstColumn="0" w:firstRowLastColumn="0" w:lastRowFirstColumn="0" w:lastRowLastColumn="0"/>
            </w:pPr>
            <w:r>
              <w:t>0</w:t>
            </w:r>
          </w:p>
        </w:tc>
        <w:tc>
          <w:tcPr>
            <w:tcW w:w="2258" w:type="dxa"/>
            <w:tcBorders>
              <w:right w:val="single" w:sz="4" w:space="0" w:color="auto"/>
            </w:tcBorders>
            <w:shd w:val="clear" w:color="auto" w:fill="FFFFFF"/>
          </w:tcPr>
          <w:p w14:paraId="4423354E" w14:textId="77777777" w:rsidR="007758D0" w:rsidRDefault="007758D0" w:rsidP="007758D0">
            <w:pPr>
              <w:pStyle w:val="TableNormal1"/>
              <w:cnfStyle w:val="000000000000" w:firstRow="0" w:lastRow="0" w:firstColumn="0" w:lastColumn="0" w:oddVBand="0" w:evenVBand="0" w:oddHBand="0" w:evenHBand="0" w:firstRowFirstColumn="0" w:firstRowLastColumn="0" w:lastRowFirstColumn="0" w:lastRowLastColumn="0"/>
            </w:pPr>
            <w:r>
              <w:t>ft</w:t>
            </w:r>
            <w:r w:rsidRPr="00ED571E">
              <w:rPr>
                <w:vertAlign w:val="superscript"/>
              </w:rPr>
              <w:t>2</w:t>
            </w:r>
            <w:r>
              <w:t>/day</w:t>
            </w:r>
          </w:p>
        </w:tc>
      </w:tr>
      <w:tr w:rsidR="007758D0" w14:paraId="5F6331FE" w14:textId="77777777" w:rsidTr="008064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Borders>
              <w:left w:val="single" w:sz="4" w:space="0" w:color="auto"/>
            </w:tcBorders>
            <w:shd w:val="clear" w:color="auto" w:fill="FFFFFF"/>
          </w:tcPr>
          <w:p w14:paraId="22F12FFC" w14:textId="77777777" w:rsidR="007758D0" w:rsidRPr="007758D0" w:rsidRDefault="007758D0" w:rsidP="007758D0">
            <w:pPr>
              <w:pStyle w:val="TableNormal1"/>
            </w:pPr>
            <w:r w:rsidRPr="007758D0">
              <w:t>Tracer Partition Coefficient</w:t>
            </w:r>
          </w:p>
        </w:tc>
        <w:tc>
          <w:tcPr>
            <w:tcW w:w="2211" w:type="dxa"/>
            <w:shd w:val="clear" w:color="auto" w:fill="FFFFFF"/>
          </w:tcPr>
          <w:p w14:paraId="19CA91F8" w14:textId="77777777" w:rsidR="007758D0" w:rsidRDefault="007758D0" w:rsidP="007758D0">
            <w:pPr>
              <w:pStyle w:val="TableNormal1"/>
              <w:cnfStyle w:val="000000100000" w:firstRow="0" w:lastRow="0" w:firstColumn="0" w:lastColumn="0" w:oddVBand="0" w:evenVBand="0" w:oddHBand="1" w:evenHBand="0" w:firstRowFirstColumn="0" w:firstRowLastColumn="0" w:lastRowFirstColumn="0" w:lastRowLastColumn="0"/>
            </w:pPr>
            <w:r>
              <w:t>25.62</w:t>
            </w:r>
          </w:p>
        </w:tc>
        <w:tc>
          <w:tcPr>
            <w:tcW w:w="2258" w:type="dxa"/>
            <w:tcBorders>
              <w:right w:val="single" w:sz="4" w:space="0" w:color="auto"/>
            </w:tcBorders>
            <w:shd w:val="clear" w:color="auto" w:fill="FFFFFF"/>
          </w:tcPr>
          <w:p w14:paraId="0B4E8C26" w14:textId="77777777" w:rsidR="007758D0" w:rsidRDefault="007758D0" w:rsidP="007758D0">
            <w:pPr>
              <w:pStyle w:val="TableNormal1"/>
              <w:cnfStyle w:val="000000100000" w:firstRow="0" w:lastRow="0" w:firstColumn="0" w:lastColumn="0" w:oddVBand="0" w:evenVBand="0" w:oddHBand="1" w:evenHBand="0" w:firstRowFirstColumn="0" w:firstRowLastColumn="0" w:lastRowFirstColumn="0" w:lastRowLastColumn="0"/>
            </w:pPr>
            <w:r>
              <w:t>fraction</w:t>
            </w:r>
          </w:p>
        </w:tc>
      </w:tr>
    </w:tbl>
    <w:p w14:paraId="73E95DA3" w14:textId="77777777" w:rsidR="007758D0" w:rsidRDefault="007758D0" w:rsidP="007758D0">
      <w:pPr>
        <w:pStyle w:val="para"/>
      </w:pPr>
    </w:p>
    <w:p w14:paraId="5ABA18F8" w14:textId="5C1341BD" w:rsidR="007758D0" w:rsidRDefault="007758D0" w:rsidP="007758D0">
      <w:pPr>
        <w:pStyle w:val="Para10"/>
        <w:keepNext/>
        <w:jc w:val="center"/>
      </w:pPr>
    </w:p>
    <w:p w14:paraId="3704AD4B" w14:textId="0C329047" w:rsidR="00B130D2" w:rsidRDefault="00B130D2" w:rsidP="007758D0">
      <w:pPr>
        <w:pStyle w:val="Para10"/>
        <w:keepNext/>
        <w:jc w:val="center"/>
      </w:pPr>
      <w:r w:rsidRPr="00B33055">
        <w:rPr>
          <w:noProof/>
          <w:color w:val="000000" w:themeColor="text1"/>
          <w:lang w:eastAsia="zh-CN"/>
        </w:rPr>
        <w:drawing>
          <wp:inline distT="0" distB="0" distL="0" distR="0" wp14:anchorId="0AD5BC7A" wp14:editId="44AC4F24">
            <wp:extent cx="4594860" cy="3425825"/>
            <wp:effectExtent l="0" t="0" r="0" b="0"/>
            <wp:docPr id="2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94860" cy="3425825"/>
                    </a:xfrm>
                    <a:prstGeom prst="rect">
                      <a:avLst/>
                    </a:prstGeom>
                    <a:noFill/>
                    <a:ln>
                      <a:noFill/>
                    </a:ln>
                  </pic:spPr>
                </pic:pic>
              </a:graphicData>
            </a:graphic>
          </wp:inline>
        </w:drawing>
      </w:r>
    </w:p>
    <w:p w14:paraId="305CCB85" w14:textId="21EA2A9D" w:rsidR="007758D0" w:rsidRPr="00541084" w:rsidRDefault="007758D0" w:rsidP="00BF3F9B">
      <w:pPr>
        <w:pStyle w:val="Caption"/>
        <w:rPr>
          <w:szCs w:val="22"/>
        </w:rPr>
      </w:pPr>
      <w:bookmarkStart w:id="194" w:name="_Ref452716212"/>
      <w:bookmarkStart w:id="195" w:name="_Toc495144746"/>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4</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4</w:t>
      </w:r>
      <w:r w:rsidR="00280FFF">
        <w:rPr>
          <w:szCs w:val="22"/>
        </w:rPr>
        <w:fldChar w:fldCharType="end"/>
      </w:r>
      <w:bookmarkEnd w:id="194"/>
      <w:r w:rsidRPr="00541084">
        <w:rPr>
          <w:szCs w:val="22"/>
        </w:rPr>
        <w:t>. Relative permeability curve.</w:t>
      </w:r>
      <w:bookmarkEnd w:id="195"/>
    </w:p>
    <w:p w14:paraId="72F87698" w14:textId="77777777" w:rsidR="007758D0" w:rsidRDefault="0087407F" w:rsidP="007758D0">
      <w:pPr>
        <w:pStyle w:val="Heading3"/>
      </w:pPr>
      <w:bookmarkStart w:id="196" w:name="_Toc494014227"/>
      <w:r>
        <w:lastRenderedPageBreak/>
        <w:t>Validation</w:t>
      </w:r>
      <w:bookmarkEnd w:id="196"/>
    </w:p>
    <w:p w14:paraId="40EA97C9" w14:textId="1F137C8B" w:rsidR="007758D0" w:rsidRDefault="007758D0" w:rsidP="0087407F">
      <w:r>
        <w:fldChar w:fldCharType="begin"/>
      </w:r>
      <w:r>
        <w:instrText xml:space="preserve"> REF _Ref452974317 \h </w:instrText>
      </w:r>
      <w:r>
        <w:fldChar w:fldCharType="separate"/>
      </w:r>
      <w:r w:rsidR="003F19BC">
        <w:t xml:space="preserve">Figure </w:t>
      </w:r>
      <w:r w:rsidR="003F19BC">
        <w:rPr>
          <w:noProof/>
        </w:rPr>
        <w:t>4</w:t>
      </w:r>
      <w:r w:rsidR="003F19BC">
        <w:noBreakHyphen/>
      </w:r>
      <w:r w:rsidR="003F19BC">
        <w:rPr>
          <w:noProof/>
        </w:rPr>
        <w:t>5</w:t>
      </w:r>
      <w:r>
        <w:fldChar w:fldCharType="end"/>
      </w:r>
      <w:r>
        <w:t xml:space="preserve"> shows the result comparison between analytical solution, finite-difference based simulation and RWPT simulation using the base case input data.</w:t>
      </w:r>
      <w:r w:rsidR="00806438">
        <w:t xml:space="preserve"> In this figure, the </w:t>
      </w:r>
      <w:r w:rsidR="00806438">
        <w:rPr>
          <w:lang w:eastAsia="zh-CN"/>
        </w:rPr>
        <w:t>Pec</w:t>
      </w:r>
      <w:r w:rsidR="00806438">
        <w:t>let number was infinity (diffusion coefficient is zero).</w:t>
      </w:r>
      <w:r>
        <w:t xml:space="preserve"> </w:t>
      </w:r>
      <w:r>
        <w:fldChar w:fldCharType="begin"/>
      </w:r>
      <w:r>
        <w:instrText xml:space="preserve"> REF _Ref437440878 \h </w:instrText>
      </w:r>
      <w:r>
        <w:fldChar w:fldCharType="separate"/>
      </w:r>
      <w:r w:rsidR="003F19BC">
        <w:t xml:space="preserve">Figure </w:t>
      </w:r>
      <w:r w:rsidR="003F19BC">
        <w:rPr>
          <w:noProof/>
        </w:rPr>
        <w:t>4</w:t>
      </w:r>
      <w:r w:rsidR="003F19BC">
        <w:noBreakHyphen/>
      </w:r>
      <w:r w:rsidR="003F19BC">
        <w:rPr>
          <w:noProof/>
        </w:rPr>
        <w:t>6</w:t>
      </w:r>
      <w:r>
        <w:fldChar w:fldCharType="end"/>
      </w:r>
      <w:r>
        <w:t xml:space="preserve"> is the result comparison with tracer diffusion coefficient of 10 ft</w:t>
      </w:r>
      <w:r w:rsidRPr="00CE67C5">
        <w:rPr>
          <w:vertAlign w:val="superscript"/>
        </w:rPr>
        <w:t>2</w:t>
      </w:r>
      <w:r>
        <w:t xml:space="preserve">/day in water (other parameters </w:t>
      </w:r>
      <w:r w:rsidR="00E60148">
        <w:t>we</w:t>
      </w:r>
      <w:r>
        <w:t xml:space="preserve">re kept same with the base case). The Peclet number </w:t>
      </w:r>
      <w:r w:rsidR="00E60148">
        <w:t>wa</w:t>
      </w:r>
      <w:r>
        <w:t>s 45. In both figures, the analytical solution is obtained through</w:t>
      </w:r>
      <w:r w:rsidR="00B130D2">
        <w:t xml:space="preserve"> Eq. 4-6 (</w:t>
      </w:r>
      <w:r>
        <w:t xml:space="preserve">Peters 2012). </w:t>
      </w:r>
    </w:p>
    <w:p w14:paraId="6E8874CC" w14:textId="656C02D2" w:rsidR="00B130D2" w:rsidRDefault="00A53410" w:rsidP="0087407F">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D</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d>
          <m:dPr>
            <m:begChr m:val="["/>
            <m:endChr m:val="]"/>
            <m:ctrlPr>
              <w:rPr>
                <w:rFonts w:ascii="Cambria Math" w:hAnsi="Cambria Math"/>
              </w:rPr>
            </m:ctrlPr>
          </m:dPr>
          <m:e>
            <m:r>
              <m:rPr>
                <m:sty m:val="p"/>
              </m:rPr>
              <w:rPr>
                <w:rFonts w:ascii="Cambria Math" w:hAnsi="Cambria Math"/>
              </w:rPr>
              <m:t>erf</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x</m:t>
                        </m:r>
                      </m:e>
                      <m:sub>
                        <m:r>
                          <m:rPr>
                            <m:sty m:val="p"/>
                          </m:rPr>
                          <w:rPr>
                            <w:rFonts w:ascii="Cambria Math" w:hAnsi="Cambria Math"/>
                          </w:rPr>
                          <m:t>D</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t</m:t>
                            </m:r>
                          </m:e>
                          <m:sub>
                            <m:r>
                              <m:rPr>
                                <m:sty m:val="p"/>
                              </m:rPr>
                              <w:rPr>
                                <w:rFonts w:ascii="Cambria Math" w:hAnsi="Cambria Math"/>
                              </w:rPr>
                              <m:t>D</m:t>
                            </m:r>
                          </m:sub>
                        </m:sSub>
                      </m:num>
                      <m:den>
                        <m:sSub>
                          <m:sSubPr>
                            <m:ctrlPr>
                              <w:rPr>
                                <w:rFonts w:ascii="Cambria Math" w:hAnsi="Cambria Math"/>
                              </w:rPr>
                            </m:ctrlPr>
                          </m:sSubPr>
                          <m:e>
                            <m:r>
                              <m:rPr>
                                <m:sty m:val="p"/>
                              </m:rPr>
                              <w:rPr>
                                <w:rFonts w:ascii="Cambria Math" w:hAnsi="Cambria Math"/>
                              </w:rPr>
                              <m:t>R</m:t>
                            </m:r>
                          </m:e>
                          <m:sub>
                            <m:r>
                              <m:rPr>
                                <m:sty m:val="p"/>
                              </m:rPr>
                              <w:rPr>
                                <w:rFonts w:ascii="Cambria Math" w:hAnsi="Cambria Math"/>
                              </w:rPr>
                              <m:t>F</m:t>
                            </m:r>
                          </m:sub>
                        </m:sSub>
                      </m:den>
                    </m:f>
                  </m:num>
                  <m:den>
                    <m:r>
                      <m:rPr>
                        <m:sty m:val="p"/>
                      </m:rPr>
                      <w:rPr>
                        <w:rFonts w:ascii="Cambria Math" w:hAnsi="Cambria Math"/>
                      </w:rPr>
                      <m:t>2</m:t>
                    </m:r>
                    <m:rad>
                      <m:radPr>
                        <m:degHide m:val="1"/>
                        <m:ctrlPr>
                          <w:rPr>
                            <w:rFonts w:ascii="Cambria Math" w:hAnsi="Cambria Math"/>
                          </w:rPr>
                        </m:ctrlPr>
                      </m:radPr>
                      <m:deg/>
                      <m:e>
                        <m:f>
                          <m:fPr>
                            <m:ctrlPr>
                              <w:rPr>
                                <w:rFonts w:ascii="Cambria Math" w:hAnsi="Cambria Math"/>
                              </w:rPr>
                            </m:ctrlPr>
                          </m:fPr>
                          <m:num>
                            <m:sSub>
                              <m:sSubPr>
                                <m:ctrlPr>
                                  <w:rPr>
                                    <w:rFonts w:ascii="Cambria Math" w:hAnsi="Cambria Math"/>
                                  </w:rPr>
                                </m:ctrlPr>
                              </m:sSubPr>
                              <m:e>
                                <m:r>
                                  <m:rPr>
                                    <m:sty m:val="p"/>
                                  </m:rPr>
                                  <w:rPr>
                                    <w:rFonts w:ascii="Cambria Math" w:hAnsi="Cambria Math"/>
                                  </w:rPr>
                                  <m:t>t</m:t>
                                </m:r>
                              </m:e>
                              <m:sub>
                                <m:r>
                                  <m:rPr>
                                    <m:sty m:val="p"/>
                                  </m:rPr>
                                  <w:rPr>
                                    <w:rFonts w:ascii="Cambria Math" w:hAnsi="Cambria Math"/>
                                  </w:rPr>
                                  <m:t>D</m:t>
                                </m:r>
                              </m:sub>
                            </m:sSub>
                          </m:num>
                          <m:den>
                            <m:sSub>
                              <m:sSubPr>
                                <m:ctrlPr>
                                  <w:rPr>
                                    <w:rFonts w:ascii="Cambria Math" w:hAnsi="Cambria Math"/>
                                  </w:rPr>
                                </m:ctrlPr>
                              </m:sSubPr>
                              <m:e>
                                <m:r>
                                  <m:rPr>
                                    <m:sty m:val="p"/>
                                  </m:rPr>
                                  <w:rPr>
                                    <w:rFonts w:ascii="Cambria Math" w:hAnsi="Cambria Math"/>
                                  </w:rPr>
                                  <m:t>R</m:t>
                                </m:r>
                              </m:e>
                              <m:sub>
                                <m:r>
                                  <m:rPr>
                                    <m:sty m:val="p"/>
                                  </m:rPr>
                                  <w:rPr>
                                    <w:rFonts w:ascii="Cambria Math" w:hAnsi="Cambria Math"/>
                                  </w:rPr>
                                  <m:t>F</m:t>
                                </m:r>
                              </m:sub>
                            </m:s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pe</m:t>
                                </m:r>
                              </m:sub>
                            </m:sSub>
                          </m:den>
                        </m:f>
                      </m:e>
                    </m:rad>
                  </m:den>
                </m:f>
              </m:e>
            </m:d>
            <m:r>
              <m:rPr>
                <m:sty m:val="p"/>
              </m:rPr>
              <w:rPr>
                <w:rFonts w:ascii="Cambria Math" w:hAnsi="Cambria Math"/>
              </w:rPr>
              <m:t>-erf</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x</m:t>
                        </m:r>
                      </m:e>
                      <m:sub>
                        <m:r>
                          <m:rPr>
                            <m:sty m:val="p"/>
                          </m:rPr>
                          <w:rPr>
                            <w:rFonts w:ascii="Cambria Math" w:hAnsi="Cambria Math"/>
                          </w:rPr>
                          <m:t>D</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t</m:t>
                            </m:r>
                          </m:e>
                          <m:sub>
                            <m:r>
                              <m:rPr>
                                <m:sty m:val="p"/>
                              </m:rPr>
                              <w:rPr>
                                <w:rFonts w:ascii="Cambria Math" w:hAnsi="Cambria Math"/>
                              </w:rPr>
                              <m:t>D</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DS</m:t>
                            </m:r>
                          </m:sub>
                        </m:sSub>
                      </m:num>
                      <m:den>
                        <m:sSub>
                          <m:sSubPr>
                            <m:ctrlPr>
                              <w:rPr>
                                <w:rFonts w:ascii="Cambria Math" w:hAnsi="Cambria Math"/>
                              </w:rPr>
                            </m:ctrlPr>
                          </m:sSubPr>
                          <m:e>
                            <m:r>
                              <m:rPr>
                                <m:sty m:val="p"/>
                              </m:rPr>
                              <w:rPr>
                                <w:rFonts w:ascii="Cambria Math" w:hAnsi="Cambria Math"/>
                              </w:rPr>
                              <m:t>R</m:t>
                            </m:r>
                          </m:e>
                          <m:sub>
                            <m:r>
                              <m:rPr>
                                <m:sty m:val="p"/>
                              </m:rPr>
                              <w:rPr>
                                <w:rFonts w:ascii="Cambria Math" w:hAnsi="Cambria Math"/>
                              </w:rPr>
                              <m:t>F</m:t>
                            </m:r>
                          </m:sub>
                        </m:sSub>
                      </m:den>
                    </m:f>
                  </m:num>
                  <m:den>
                    <m:r>
                      <m:rPr>
                        <m:sty m:val="p"/>
                      </m:rPr>
                      <w:rPr>
                        <w:rFonts w:ascii="Cambria Math" w:hAnsi="Cambria Math"/>
                      </w:rPr>
                      <m:t>2</m:t>
                    </m:r>
                    <m:rad>
                      <m:radPr>
                        <m:degHide m:val="1"/>
                        <m:ctrlPr>
                          <w:rPr>
                            <w:rFonts w:ascii="Cambria Math" w:hAnsi="Cambria Math"/>
                          </w:rPr>
                        </m:ctrlPr>
                      </m:radPr>
                      <m:deg/>
                      <m:e>
                        <m:f>
                          <m:fPr>
                            <m:ctrlPr>
                              <w:rPr>
                                <w:rFonts w:ascii="Cambria Math" w:hAnsi="Cambria Math"/>
                              </w:rPr>
                            </m:ctrlPr>
                          </m:fPr>
                          <m:num>
                            <m:sSub>
                              <m:sSubPr>
                                <m:ctrlPr>
                                  <w:rPr>
                                    <w:rFonts w:ascii="Cambria Math" w:hAnsi="Cambria Math"/>
                                  </w:rPr>
                                </m:ctrlPr>
                              </m:sSubPr>
                              <m:e>
                                <m:r>
                                  <m:rPr>
                                    <m:sty m:val="p"/>
                                  </m:rPr>
                                  <w:rPr>
                                    <w:rFonts w:ascii="Cambria Math" w:hAnsi="Cambria Math"/>
                                  </w:rPr>
                                  <m:t>t</m:t>
                                </m:r>
                              </m:e>
                              <m:sub>
                                <m:r>
                                  <m:rPr>
                                    <m:sty m:val="p"/>
                                  </m:rPr>
                                  <w:rPr>
                                    <w:rFonts w:ascii="Cambria Math" w:hAnsi="Cambria Math"/>
                                  </w:rPr>
                                  <m:t>D</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DS</m:t>
                                </m:r>
                              </m:sub>
                            </m:sSub>
                          </m:num>
                          <m:den>
                            <m:sSub>
                              <m:sSubPr>
                                <m:ctrlPr>
                                  <w:rPr>
                                    <w:rFonts w:ascii="Cambria Math" w:hAnsi="Cambria Math"/>
                                  </w:rPr>
                                </m:ctrlPr>
                              </m:sSubPr>
                              <m:e>
                                <m:r>
                                  <m:rPr>
                                    <m:sty m:val="p"/>
                                  </m:rPr>
                                  <w:rPr>
                                    <w:rFonts w:ascii="Cambria Math" w:hAnsi="Cambria Math"/>
                                  </w:rPr>
                                  <m:t>R</m:t>
                                </m:r>
                              </m:e>
                              <m:sub>
                                <m:r>
                                  <m:rPr>
                                    <m:sty m:val="p"/>
                                  </m:rPr>
                                  <w:rPr>
                                    <w:rFonts w:ascii="Cambria Math" w:hAnsi="Cambria Math"/>
                                  </w:rPr>
                                  <m:t>F</m:t>
                                </m:r>
                              </m:sub>
                            </m:s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pe</m:t>
                                </m:r>
                              </m:sub>
                            </m:sSub>
                          </m:den>
                        </m:f>
                      </m:e>
                    </m:rad>
                  </m:den>
                </m:f>
              </m:e>
            </m:d>
          </m:e>
        </m:d>
      </m:oMath>
      <w:r w:rsidR="00B130D2">
        <w:tab/>
        <w:t>(4-6)</w:t>
      </w:r>
    </w:p>
    <w:p w14:paraId="02CDC986" w14:textId="63CF9ED6" w:rsidR="007758D0" w:rsidRDefault="0039440D" w:rsidP="0087407F">
      <w:r>
        <w:t xml:space="preserve">Results clearly show </w:t>
      </w:r>
      <w:r w:rsidR="0011235F">
        <w:t>an obvious</w:t>
      </w:r>
      <w:r w:rsidR="007758D0">
        <w:t xml:space="preserve"> difference between the analytical solution and finite-difference based simulation. </w:t>
      </w:r>
      <w:r>
        <w:t xml:space="preserve">The RWPT matches the analytical solution well. </w:t>
      </w:r>
      <w:r w:rsidR="000302AC">
        <w:t xml:space="preserve">Both figures </w:t>
      </w:r>
      <w:r w:rsidR="007758D0">
        <w:t>dem</w:t>
      </w:r>
      <w:r w:rsidR="00304B8E">
        <w:t>onstrate that the</w:t>
      </w:r>
      <w:r w:rsidR="007758D0">
        <w:t xml:space="preserve"> modified RWPT program is more accurate than the simulators that utilize finite difference method in describing the diffusion involved transport phenomenon. Finite-difference based simulation can improve result accuracy by using smaller grids, which may significantly increase the computation time (</w:t>
      </w:r>
      <w:r w:rsidR="007758D0">
        <w:rPr>
          <w:noProof/>
        </w:rPr>
        <w:t>Stalgorova and Babadagli 2012</w:t>
      </w:r>
      <w:r w:rsidR="007758D0">
        <w:t xml:space="preserve">). </w:t>
      </w:r>
      <w:r w:rsidR="000302AC">
        <w:t>The</w:t>
      </w:r>
      <w:r w:rsidR="000302AC" w:rsidRPr="00FB59F5">
        <w:t xml:space="preserve"> </w:t>
      </w:r>
      <w:r w:rsidR="000302AC">
        <w:t>limited number of particles used in the simulation causes fluctuation at the later time for the RWPT result is caused by the.  In this case, 200 particles were injected during each time step. This number balanced the calculation time and result accuracy.</w:t>
      </w:r>
    </w:p>
    <w:p w14:paraId="2BB8C271" w14:textId="77777777" w:rsidR="007758D0" w:rsidRDefault="007758D0" w:rsidP="0087407F">
      <w:pPr>
        <w:pStyle w:val="TableNormal1"/>
      </w:pPr>
      <w:r>
        <w:lastRenderedPageBreak/>
        <w:drawing>
          <wp:inline distT="0" distB="0" distL="0" distR="0" wp14:anchorId="36ECBDD0" wp14:editId="333A9DD8">
            <wp:extent cx="4797631" cy="3616964"/>
            <wp:effectExtent l="0" t="0" r="3175"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99580" cy="3618433"/>
                    </a:xfrm>
                    <a:prstGeom prst="rect">
                      <a:avLst/>
                    </a:prstGeom>
                    <a:noFill/>
                    <a:ln>
                      <a:noFill/>
                    </a:ln>
                  </pic:spPr>
                </pic:pic>
              </a:graphicData>
            </a:graphic>
          </wp:inline>
        </w:drawing>
      </w:r>
    </w:p>
    <w:p w14:paraId="6A083BB2" w14:textId="348664F3" w:rsidR="007758D0" w:rsidRPr="00541084" w:rsidRDefault="007758D0" w:rsidP="00BF3F9B">
      <w:pPr>
        <w:pStyle w:val="Caption"/>
        <w:rPr>
          <w:szCs w:val="22"/>
        </w:rPr>
      </w:pPr>
      <w:bookmarkStart w:id="197" w:name="_Ref452974317"/>
      <w:bookmarkStart w:id="198" w:name="_Toc495144747"/>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4</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5</w:t>
      </w:r>
      <w:r w:rsidR="00280FFF">
        <w:rPr>
          <w:szCs w:val="22"/>
        </w:rPr>
        <w:fldChar w:fldCharType="end"/>
      </w:r>
      <w:bookmarkEnd w:id="197"/>
      <w:r w:rsidRPr="00541084">
        <w:rPr>
          <w:szCs w:val="22"/>
        </w:rPr>
        <w:t>. Comparison of RWPT with analytical solution and finite-difference. Peclet number is infinity (base case). Immobile oil.</w:t>
      </w:r>
      <w:bookmarkEnd w:id="198"/>
    </w:p>
    <w:p w14:paraId="58E719EB" w14:textId="77777777" w:rsidR="007758D0" w:rsidRDefault="007758D0" w:rsidP="0087407F">
      <w:pPr>
        <w:pStyle w:val="TableNormal1"/>
      </w:pPr>
      <w:r>
        <w:drawing>
          <wp:inline distT="0" distB="0" distL="0" distR="0" wp14:anchorId="6AC633AB" wp14:editId="50B91CE8">
            <wp:extent cx="4601688" cy="3469241"/>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03557" cy="3470650"/>
                    </a:xfrm>
                    <a:prstGeom prst="rect">
                      <a:avLst/>
                    </a:prstGeom>
                    <a:noFill/>
                    <a:ln>
                      <a:noFill/>
                    </a:ln>
                  </pic:spPr>
                </pic:pic>
              </a:graphicData>
            </a:graphic>
          </wp:inline>
        </w:drawing>
      </w:r>
    </w:p>
    <w:p w14:paraId="34DA28AF" w14:textId="4CCCA75B" w:rsidR="007758D0" w:rsidRPr="00541084" w:rsidRDefault="007758D0" w:rsidP="00BF3F9B">
      <w:pPr>
        <w:pStyle w:val="Caption"/>
        <w:rPr>
          <w:szCs w:val="22"/>
        </w:rPr>
      </w:pPr>
      <w:bookmarkStart w:id="199" w:name="_Ref437440878"/>
      <w:bookmarkStart w:id="200" w:name="_Toc495144748"/>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4</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6</w:t>
      </w:r>
      <w:r w:rsidR="00280FFF">
        <w:rPr>
          <w:szCs w:val="22"/>
        </w:rPr>
        <w:fldChar w:fldCharType="end"/>
      </w:r>
      <w:bookmarkEnd w:id="199"/>
      <w:r w:rsidRPr="00541084">
        <w:rPr>
          <w:szCs w:val="22"/>
        </w:rPr>
        <w:t>. Comparison of RWPT with analytical solution and finite-difference. Peclet number is 45. Immobile oi.</w:t>
      </w:r>
      <w:bookmarkEnd w:id="200"/>
    </w:p>
    <w:p w14:paraId="30579306" w14:textId="77777777" w:rsidR="007758D0" w:rsidRDefault="007758D0" w:rsidP="007758D0">
      <w:pPr>
        <w:pStyle w:val="Heading3"/>
      </w:pPr>
      <w:bookmarkStart w:id="201" w:name="_Toc494014228"/>
      <w:r>
        <w:lastRenderedPageBreak/>
        <w:t>Partitioning Tracer Movement with Two Mobile Phases</w:t>
      </w:r>
      <w:bookmarkEnd w:id="201"/>
    </w:p>
    <w:p w14:paraId="2AB011AA" w14:textId="043B5524" w:rsidR="0087407F" w:rsidRDefault="0087407F" w:rsidP="0087407F">
      <w:r>
        <w:t xml:space="preserve">Strict assumptions of the analytical solution make it unsuitable for complex reservoir application. This drawback makes the RWPT a good approach when fluid flows in multi-dimensions or when the fluid flow is getting complex. </w:t>
      </w:r>
      <w:r>
        <w:fldChar w:fldCharType="begin"/>
      </w:r>
      <w:r>
        <w:instrText xml:space="preserve"> REF _Ref492029974 \h </w:instrText>
      </w:r>
      <w:r>
        <w:fldChar w:fldCharType="separate"/>
      </w:r>
      <w:r w:rsidR="003F19BC">
        <w:t xml:space="preserve">Figure </w:t>
      </w:r>
      <w:r w:rsidR="003F19BC">
        <w:rPr>
          <w:noProof/>
        </w:rPr>
        <w:t>4</w:t>
      </w:r>
      <w:r w:rsidR="003F19BC">
        <w:noBreakHyphen/>
      </w:r>
      <w:r w:rsidR="003F19BC">
        <w:rPr>
          <w:noProof/>
        </w:rPr>
        <w:t>7</w:t>
      </w:r>
      <w:r>
        <w:fldChar w:fldCharType="end"/>
      </w:r>
      <w:r>
        <w:t xml:space="preserve"> shows the comparison between RWPT and finite-difference method with two flowing phases.</w:t>
      </w:r>
      <w:r w:rsidR="00721AA0">
        <w:t xml:space="preserve"> </w:t>
      </w:r>
      <w:r>
        <w:t xml:space="preserve">In this case, the initial oil saturation </w:t>
      </w:r>
      <w:r w:rsidR="00BC5106">
        <w:t>wa</w:t>
      </w:r>
      <w:r>
        <w:t>s 0.5. Unlike previous steady-s</w:t>
      </w:r>
      <w:r w:rsidR="00BC5106">
        <w:t>tate flow, the velocity field was</w:t>
      </w:r>
      <w:r>
        <w:t xml:space="preserve"> updated after each time step in RWPT. </w:t>
      </w:r>
      <w:r w:rsidR="0011235F">
        <w:t>It is seen</w:t>
      </w:r>
      <w:r>
        <w:t xml:space="preserve"> that finite-difference based simulation provides a much earlier breakthrough of tracer production. Such </w:t>
      </w:r>
      <w:r w:rsidR="00BC5106">
        <w:t>comparison</w:t>
      </w:r>
      <w:r>
        <w:t xml:space="preserve"> indicates that RWPT is also applicable when there are multiple mobile phases. </w:t>
      </w:r>
    </w:p>
    <w:p w14:paraId="3FA28159" w14:textId="77777777" w:rsidR="0087407F" w:rsidRDefault="0087407F" w:rsidP="0087407F">
      <w:pPr>
        <w:pStyle w:val="TableNormal1"/>
      </w:pPr>
      <w:bookmarkStart w:id="202" w:name="_Ref452727694"/>
      <w:r>
        <w:drawing>
          <wp:inline distT="0" distB="0" distL="0" distR="0" wp14:anchorId="6896DECC" wp14:editId="7EEE353C">
            <wp:extent cx="4828649" cy="364034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27267" cy="3639306"/>
                    </a:xfrm>
                    <a:prstGeom prst="rect">
                      <a:avLst/>
                    </a:prstGeom>
                    <a:noFill/>
                    <a:ln>
                      <a:noFill/>
                    </a:ln>
                  </pic:spPr>
                </pic:pic>
              </a:graphicData>
            </a:graphic>
          </wp:inline>
        </w:drawing>
      </w:r>
    </w:p>
    <w:p w14:paraId="5848FDF6" w14:textId="0C0851E0" w:rsidR="0087407F" w:rsidRPr="00541084" w:rsidRDefault="0087407F" w:rsidP="00BF3F9B">
      <w:pPr>
        <w:pStyle w:val="Caption"/>
        <w:rPr>
          <w:szCs w:val="22"/>
        </w:rPr>
      </w:pPr>
      <w:bookmarkStart w:id="203" w:name="_Ref492029974"/>
      <w:bookmarkStart w:id="204" w:name="_Toc495144749"/>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4</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7</w:t>
      </w:r>
      <w:r w:rsidR="00280FFF">
        <w:rPr>
          <w:szCs w:val="22"/>
        </w:rPr>
        <w:fldChar w:fldCharType="end"/>
      </w:r>
      <w:bookmarkEnd w:id="202"/>
      <w:bookmarkEnd w:id="203"/>
      <w:r w:rsidRPr="00541084">
        <w:rPr>
          <w:szCs w:val="22"/>
        </w:rPr>
        <w:t>. Comparison of RWPT with finite-difference. Peclet number is 45. Mobile oil.</w:t>
      </w:r>
      <w:bookmarkEnd w:id="204"/>
    </w:p>
    <w:p w14:paraId="03439CEA" w14:textId="77777777" w:rsidR="007758D0" w:rsidRDefault="007758D0" w:rsidP="007758D0"/>
    <w:p w14:paraId="53E7689D" w14:textId="77777777" w:rsidR="0087407F" w:rsidRDefault="0087407F" w:rsidP="007758D0"/>
    <w:p w14:paraId="6FA5444C" w14:textId="77777777" w:rsidR="0087407F" w:rsidRPr="00CF7134" w:rsidRDefault="0087407F" w:rsidP="0087407F">
      <w:pPr>
        <w:pStyle w:val="Heading2"/>
        <w:numPr>
          <w:ilvl w:val="0"/>
          <w:numId w:val="0"/>
        </w:numPr>
      </w:pPr>
      <w:bookmarkStart w:id="205" w:name="_Toc494014229"/>
      <w:r>
        <w:lastRenderedPageBreak/>
        <w:t>Nomenclature</w:t>
      </w:r>
      <w:bookmarkEnd w:id="205"/>
    </w:p>
    <w:p w14:paraId="323A12B8" w14:textId="77777777" w:rsidR="0087407F" w:rsidRPr="0087407F" w:rsidRDefault="0087407F" w:rsidP="0087407F">
      <w:pPr>
        <w:pStyle w:val="Nomenclature"/>
        <w:spacing w:line="480" w:lineRule="auto"/>
        <w:ind w:left="1037" w:hanging="1037"/>
        <w:rPr>
          <w:rFonts w:asciiTheme="minorHAnsi" w:hAnsiTheme="minorHAnsi" w:cstheme="minorHAnsi"/>
          <w:b/>
          <w:i w:val="0"/>
          <w:iCs/>
          <w:sz w:val="24"/>
        </w:rPr>
      </w:pPr>
      <w:r w:rsidRPr="0087407F">
        <w:rPr>
          <w:rFonts w:asciiTheme="minorHAnsi" w:hAnsiTheme="minorHAnsi" w:cstheme="minorHAnsi"/>
          <w:b/>
          <w:i w:val="0"/>
          <w:iCs/>
          <w:sz w:val="24"/>
        </w:rPr>
        <w:t>Normal</w:t>
      </w:r>
      <w:r w:rsidRPr="0087407F">
        <w:rPr>
          <w:rFonts w:asciiTheme="minorHAnsi" w:hAnsiTheme="minorHAnsi" w:cstheme="minorHAnsi"/>
          <w:b/>
          <w:i w:val="0"/>
          <w:iCs/>
          <w:sz w:val="24"/>
        </w:rPr>
        <w:tab/>
      </w:r>
    </w:p>
    <w:p w14:paraId="78ECE11A" w14:textId="77777777" w:rsidR="0087407F" w:rsidRPr="002B0191" w:rsidRDefault="0087407F" w:rsidP="0087407F">
      <w:pPr>
        <w:pStyle w:val="Nomenclature"/>
        <w:spacing w:line="480" w:lineRule="auto"/>
        <w:ind w:left="1037" w:hanging="1037"/>
        <w:rPr>
          <w:rFonts w:ascii="Cambria Math" w:hAnsi="Cambria Math"/>
          <w:iCs/>
          <w:sz w:val="24"/>
          <w:szCs w:val="24"/>
        </w:rPr>
      </w:pPr>
      <w:r w:rsidRPr="002B0191">
        <w:rPr>
          <w:rFonts w:ascii="Cambria Math" w:hAnsi="Cambria Math"/>
          <w:iCs/>
          <w:sz w:val="24"/>
          <w:szCs w:val="24"/>
        </w:rPr>
        <w:t>b</w:t>
      </w:r>
      <w:r w:rsidRPr="002B0191">
        <w:rPr>
          <w:rFonts w:ascii="Cambria Math" w:hAnsi="Cambria Math"/>
          <w:iCs/>
          <w:sz w:val="24"/>
          <w:szCs w:val="24"/>
        </w:rPr>
        <w:tab/>
      </w:r>
      <w:r w:rsidRPr="002B0191">
        <w:rPr>
          <w:rFonts w:ascii="Cambria Math" w:hAnsi="Cambria Math"/>
          <w:iCs/>
          <w:sz w:val="24"/>
          <w:szCs w:val="24"/>
        </w:rPr>
        <w:tab/>
        <w:t>=Coefficient</w:t>
      </w:r>
    </w:p>
    <w:p w14:paraId="32848E7E" w14:textId="77777777" w:rsidR="0087407F" w:rsidRPr="002B0191" w:rsidRDefault="0087407F" w:rsidP="0087407F">
      <w:pPr>
        <w:pStyle w:val="Nomenclature"/>
        <w:spacing w:line="480" w:lineRule="auto"/>
        <w:ind w:left="1037" w:hanging="1037"/>
        <w:rPr>
          <w:rFonts w:ascii="Cambria Math" w:hAnsi="Cambria Math"/>
          <w:iCs/>
          <w:sz w:val="24"/>
          <w:szCs w:val="24"/>
        </w:rPr>
      </w:pPr>
      <m:oMath>
        <m:r>
          <w:rPr>
            <w:rFonts w:ascii="Cambria Math" w:hAnsi="Cambria Math"/>
            <w:sz w:val="24"/>
            <w:szCs w:val="24"/>
          </w:rPr>
          <m:t>C</m:t>
        </m:r>
      </m:oMath>
      <w:r w:rsidRPr="002B0191">
        <w:rPr>
          <w:rFonts w:ascii="Cambria Math" w:hAnsi="Cambria Math"/>
          <w:iCs/>
          <w:sz w:val="24"/>
          <w:szCs w:val="24"/>
        </w:rPr>
        <w:tab/>
      </w:r>
      <w:r w:rsidRPr="002B0191">
        <w:rPr>
          <w:rFonts w:ascii="Cambria Math" w:hAnsi="Cambria Math"/>
          <w:iCs/>
          <w:sz w:val="24"/>
          <w:szCs w:val="24"/>
        </w:rPr>
        <w:tab/>
        <w:t>=Chemical tracer concentration, mole fraction</w:t>
      </w:r>
    </w:p>
    <w:p w14:paraId="225B4EEB" w14:textId="77777777" w:rsidR="0087407F" w:rsidRPr="002B0191" w:rsidRDefault="0087407F" w:rsidP="0087407F">
      <w:pPr>
        <w:pStyle w:val="Nomenclature"/>
        <w:spacing w:line="480" w:lineRule="auto"/>
        <w:ind w:left="1037" w:hanging="1037"/>
        <w:rPr>
          <w:rFonts w:ascii="Cambria Math" w:hAnsi="Cambria Math"/>
          <w:iCs/>
          <w:sz w:val="24"/>
          <w:szCs w:val="24"/>
        </w:rPr>
      </w:pPr>
      <m:oMath>
        <m:r>
          <w:rPr>
            <w:rFonts w:ascii="Cambria Math" w:hAnsi="Cambria Math"/>
            <w:sz w:val="24"/>
            <w:szCs w:val="24"/>
          </w:rPr>
          <m:t>D</m:t>
        </m:r>
      </m:oMath>
      <w:r w:rsidRPr="002B0191">
        <w:rPr>
          <w:rFonts w:ascii="Cambria Math" w:hAnsi="Cambria Math"/>
          <w:iCs/>
          <w:sz w:val="24"/>
          <w:szCs w:val="24"/>
        </w:rPr>
        <w:tab/>
      </w:r>
      <w:r w:rsidRPr="002B0191">
        <w:rPr>
          <w:rFonts w:ascii="Cambria Math" w:hAnsi="Cambria Math"/>
          <w:iCs/>
          <w:sz w:val="24"/>
          <w:szCs w:val="24"/>
        </w:rPr>
        <w:tab/>
        <w:t>=Diffusion coefficient, L</w:t>
      </w:r>
      <w:r w:rsidRPr="002B0191">
        <w:rPr>
          <w:rFonts w:ascii="Cambria Math" w:hAnsi="Cambria Math"/>
          <w:iCs/>
          <w:sz w:val="24"/>
          <w:szCs w:val="24"/>
          <w:vertAlign w:val="superscript"/>
        </w:rPr>
        <w:t>2</w:t>
      </w:r>
      <w:r w:rsidRPr="002B0191">
        <w:rPr>
          <w:rFonts w:ascii="Cambria Math" w:hAnsi="Cambria Math"/>
          <w:iCs/>
          <w:sz w:val="24"/>
          <w:szCs w:val="24"/>
        </w:rPr>
        <w:t>/t</w:t>
      </w:r>
    </w:p>
    <w:p w14:paraId="23EF4A5D" w14:textId="77777777" w:rsidR="0087407F" w:rsidRPr="002B0191" w:rsidRDefault="0087407F" w:rsidP="0087407F">
      <w:pPr>
        <w:pStyle w:val="Nomenclature"/>
        <w:spacing w:line="480" w:lineRule="auto"/>
        <w:ind w:left="1037" w:hanging="1037"/>
        <w:rPr>
          <w:rFonts w:ascii="Cambria Math" w:hAnsi="Cambria Math"/>
          <w:iCs/>
          <w:sz w:val="24"/>
          <w:szCs w:val="24"/>
        </w:rPr>
      </w:pPr>
      <m:oMath>
        <m:r>
          <w:rPr>
            <w:rFonts w:ascii="Cambria Math" w:hAnsi="Cambria Math"/>
            <w:sz w:val="24"/>
            <w:szCs w:val="24"/>
          </w:rPr>
          <m:t>d</m:t>
        </m:r>
      </m:oMath>
      <w:r w:rsidRPr="002B0191">
        <w:rPr>
          <w:rFonts w:ascii="Cambria Math" w:hAnsi="Cambria Math"/>
          <w:iCs/>
          <w:sz w:val="24"/>
          <w:szCs w:val="24"/>
        </w:rPr>
        <w:tab/>
      </w:r>
      <w:r w:rsidRPr="002B0191">
        <w:rPr>
          <w:rFonts w:ascii="Cambria Math" w:hAnsi="Cambria Math"/>
          <w:iCs/>
          <w:sz w:val="24"/>
          <w:szCs w:val="24"/>
        </w:rPr>
        <w:tab/>
        <w:t>=Displacement, L</w:t>
      </w:r>
    </w:p>
    <w:p w14:paraId="2E04A615" w14:textId="77777777" w:rsidR="0087407F" w:rsidRPr="002B0191" w:rsidRDefault="0087407F" w:rsidP="0087407F">
      <w:pPr>
        <w:pStyle w:val="Nomenclature"/>
        <w:spacing w:line="480" w:lineRule="auto"/>
        <w:ind w:left="1037" w:hanging="1037"/>
        <w:rPr>
          <w:rFonts w:ascii="Cambria Math" w:hAnsi="Cambria Math"/>
          <w:iCs/>
          <w:sz w:val="24"/>
          <w:szCs w:val="24"/>
        </w:rPr>
      </w:pPr>
      <w:r w:rsidRPr="002B0191">
        <w:rPr>
          <w:rFonts w:ascii="Cambria Math" w:hAnsi="Cambria Math"/>
          <w:iCs/>
          <w:sz w:val="24"/>
          <w:szCs w:val="24"/>
        </w:rPr>
        <w:t>g</w:t>
      </w:r>
      <w:r w:rsidRPr="002B0191">
        <w:rPr>
          <w:rFonts w:ascii="Cambria Math" w:hAnsi="Cambria Math"/>
          <w:iCs/>
          <w:sz w:val="24"/>
          <w:szCs w:val="24"/>
        </w:rPr>
        <w:tab/>
      </w:r>
      <w:r w:rsidRPr="002B0191">
        <w:rPr>
          <w:rFonts w:ascii="Cambria Math" w:hAnsi="Cambria Math"/>
          <w:iCs/>
          <w:sz w:val="24"/>
          <w:szCs w:val="24"/>
        </w:rPr>
        <w:tab/>
        <w:t>=</w:t>
      </w:r>
      <m:oMath>
        <m:r>
          <w:rPr>
            <w:rFonts w:ascii="Cambria Math" w:hAnsi="Cambria Math"/>
            <w:sz w:val="24"/>
            <w:szCs w:val="24"/>
          </w:rPr>
          <m:t>Velocity gradient, 1/T</m:t>
        </m:r>
      </m:oMath>
    </w:p>
    <w:p w14:paraId="0364345F" w14:textId="77777777" w:rsidR="0087407F" w:rsidRPr="002B0191" w:rsidRDefault="0087407F" w:rsidP="0087407F">
      <w:pPr>
        <w:pStyle w:val="Nomenclature"/>
        <w:spacing w:line="480" w:lineRule="auto"/>
        <w:ind w:left="1037" w:hanging="1037"/>
        <w:rPr>
          <w:rFonts w:ascii="Cambria Math" w:hAnsi="Cambria Math"/>
          <w:iCs/>
          <w:sz w:val="24"/>
          <w:szCs w:val="24"/>
        </w:rPr>
      </w:pPr>
      <m:oMath>
        <m:r>
          <w:rPr>
            <w:rFonts w:ascii="Cambria Math" w:hAnsi="Cambria Math"/>
            <w:sz w:val="24"/>
            <w:szCs w:val="24"/>
          </w:rPr>
          <m:t>K</m:t>
        </m:r>
      </m:oMath>
      <w:r w:rsidRPr="002B0191">
        <w:rPr>
          <w:rFonts w:ascii="Cambria Math" w:hAnsi="Cambria Math"/>
          <w:iCs/>
          <w:sz w:val="24"/>
          <w:szCs w:val="24"/>
        </w:rPr>
        <w:tab/>
      </w:r>
      <w:r w:rsidRPr="002B0191">
        <w:rPr>
          <w:rFonts w:ascii="Cambria Math" w:hAnsi="Cambria Math"/>
          <w:iCs/>
          <w:sz w:val="24"/>
          <w:szCs w:val="24"/>
        </w:rPr>
        <w:tab/>
        <w:t>=</w:t>
      </w:r>
      <m:oMath>
        <m:r>
          <w:rPr>
            <w:rFonts w:ascii="Cambria Math" w:hAnsi="Cambria Math"/>
            <w:sz w:val="24"/>
            <w:szCs w:val="24"/>
          </w:rPr>
          <m:t>Partition coefficient, fraction</m:t>
        </m:r>
      </m:oMath>
    </w:p>
    <w:p w14:paraId="3639D197" w14:textId="18D78034" w:rsidR="0087407F" w:rsidRDefault="0087407F" w:rsidP="0087407F">
      <w:pPr>
        <w:pStyle w:val="Nomenclature"/>
        <w:spacing w:line="480" w:lineRule="auto"/>
        <w:ind w:left="1037" w:hanging="1037"/>
        <w:rPr>
          <w:rFonts w:ascii="Cambria Math" w:hAnsi="Cambria Math"/>
          <w:sz w:val="24"/>
          <w:szCs w:val="24"/>
        </w:rPr>
      </w:pPr>
      <w:r w:rsidRPr="002B0191">
        <w:rPr>
          <w:rFonts w:ascii="Cambria Math" w:hAnsi="Cambria Math"/>
          <w:iCs/>
          <w:sz w:val="24"/>
          <w:szCs w:val="24"/>
        </w:rPr>
        <w:t>N</w:t>
      </w:r>
      <w:r w:rsidRPr="002B0191">
        <w:rPr>
          <w:rFonts w:ascii="Cambria Math" w:hAnsi="Cambria Math"/>
          <w:iCs/>
          <w:sz w:val="24"/>
          <w:szCs w:val="24"/>
          <w:vertAlign w:val="subscript"/>
        </w:rPr>
        <w:t>pe</w:t>
      </w:r>
      <w:r w:rsidRPr="002B0191">
        <w:rPr>
          <w:rFonts w:ascii="Cambria Math" w:hAnsi="Cambria Math"/>
          <w:iCs/>
          <w:sz w:val="24"/>
          <w:szCs w:val="24"/>
        </w:rPr>
        <w:tab/>
      </w:r>
      <w:r w:rsidRPr="002B0191">
        <w:rPr>
          <w:rFonts w:ascii="Cambria Math" w:hAnsi="Cambria Math"/>
          <w:iCs/>
          <w:sz w:val="24"/>
          <w:szCs w:val="24"/>
        </w:rPr>
        <w:tab/>
        <w:t>=</w:t>
      </w:r>
      <m:oMath>
        <m:r>
          <w:rPr>
            <w:rFonts w:ascii="Cambria Math" w:hAnsi="Cambria Math"/>
            <w:sz w:val="24"/>
            <w:szCs w:val="24"/>
          </w:rPr>
          <m:t>Peclet number, dimensionless</m:t>
        </m:r>
      </m:oMath>
    </w:p>
    <w:p w14:paraId="1E5DFB5F" w14:textId="5A19D362" w:rsidR="002C4907" w:rsidRPr="002B0191" w:rsidRDefault="002C4907" w:rsidP="0087407F">
      <w:pPr>
        <w:pStyle w:val="Nomenclature"/>
        <w:spacing w:line="480" w:lineRule="auto"/>
        <w:ind w:left="1037" w:hanging="1037"/>
        <w:rPr>
          <w:rFonts w:ascii="Cambria Math" w:hAnsi="Cambria Math"/>
          <w:iCs/>
          <w:sz w:val="24"/>
          <w:szCs w:val="24"/>
        </w:rPr>
      </w:pPr>
      <w:r>
        <w:rPr>
          <w:rFonts w:ascii="Cambria Math" w:hAnsi="Cambria Math"/>
          <w:sz w:val="24"/>
          <w:szCs w:val="24"/>
        </w:rPr>
        <w:t>R</w:t>
      </w:r>
      <w:r w:rsidRPr="002C4907">
        <w:rPr>
          <w:rFonts w:ascii="Cambria Math" w:hAnsi="Cambria Math"/>
          <w:sz w:val="24"/>
          <w:szCs w:val="24"/>
          <w:vertAlign w:val="subscript"/>
        </w:rPr>
        <w:t>F</w:t>
      </w:r>
      <w:r>
        <w:rPr>
          <w:rFonts w:ascii="Cambria Math" w:hAnsi="Cambria Math"/>
          <w:sz w:val="24"/>
          <w:szCs w:val="24"/>
        </w:rPr>
        <w:tab/>
      </w:r>
      <w:r>
        <w:rPr>
          <w:rFonts w:ascii="Cambria Math" w:hAnsi="Cambria Math"/>
          <w:sz w:val="24"/>
          <w:szCs w:val="24"/>
        </w:rPr>
        <w:tab/>
        <w:t>=Retardation factor</w:t>
      </w:r>
    </w:p>
    <w:p w14:paraId="632A66B8" w14:textId="77777777" w:rsidR="0087407F" w:rsidRPr="002B0191" w:rsidRDefault="0087407F" w:rsidP="0087407F">
      <w:pPr>
        <w:pStyle w:val="Nomenclature"/>
        <w:spacing w:line="480" w:lineRule="auto"/>
        <w:ind w:left="1037" w:hanging="1037"/>
        <w:rPr>
          <w:rFonts w:ascii="Cambria Math" w:hAnsi="Cambria Math"/>
          <w:iCs/>
          <w:sz w:val="24"/>
          <w:szCs w:val="24"/>
        </w:rPr>
      </w:pPr>
      <w:r w:rsidRPr="002B0191">
        <w:rPr>
          <w:rFonts w:ascii="Cambria Math" w:hAnsi="Cambria Math"/>
          <w:iCs/>
          <w:sz w:val="24"/>
          <w:szCs w:val="24"/>
        </w:rPr>
        <w:t>S</w:t>
      </w:r>
      <w:r w:rsidRPr="002B0191">
        <w:rPr>
          <w:rFonts w:ascii="Cambria Math" w:hAnsi="Cambria Math"/>
          <w:iCs/>
          <w:sz w:val="24"/>
          <w:szCs w:val="24"/>
        </w:rPr>
        <w:tab/>
      </w:r>
      <w:r w:rsidRPr="002B0191">
        <w:rPr>
          <w:rFonts w:ascii="Cambria Math" w:hAnsi="Cambria Math"/>
          <w:iCs/>
          <w:sz w:val="24"/>
          <w:szCs w:val="24"/>
        </w:rPr>
        <w:tab/>
        <w:t>=S</w:t>
      </w:r>
      <m:oMath>
        <m:r>
          <w:rPr>
            <w:rFonts w:ascii="Cambria Math" w:hAnsi="Cambria Math"/>
            <w:sz w:val="24"/>
            <w:szCs w:val="24"/>
          </w:rPr>
          <m:t>aturation,fraction</m:t>
        </m:r>
      </m:oMath>
    </w:p>
    <w:p w14:paraId="6CB38B04" w14:textId="77777777" w:rsidR="0087407F" w:rsidRDefault="0087407F" w:rsidP="0087407F">
      <w:pPr>
        <w:pStyle w:val="Nomenclature"/>
        <w:spacing w:line="480" w:lineRule="auto"/>
        <w:ind w:left="1037" w:hanging="1037"/>
        <w:rPr>
          <w:rFonts w:ascii="Cambria Math" w:hAnsi="Cambria Math"/>
          <w:sz w:val="24"/>
          <w:szCs w:val="24"/>
        </w:rPr>
      </w:pPr>
      <m:oMath>
        <m:r>
          <w:rPr>
            <w:rFonts w:ascii="Cambria Math" w:hAnsi="Cambria Math"/>
            <w:sz w:val="24"/>
            <w:szCs w:val="24"/>
          </w:rPr>
          <m:t>t</m:t>
        </m:r>
      </m:oMath>
      <w:r w:rsidRPr="002B0191">
        <w:rPr>
          <w:rFonts w:ascii="Cambria Math" w:hAnsi="Cambria Math"/>
          <w:iCs/>
          <w:sz w:val="24"/>
          <w:szCs w:val="24"/>
        </w:rPr>
        <w:tab/>
      </w:r>
      <w:r w:rsidRPr="002B0191">
        <w:rPr>
          <w:rFonts w:ascii="Cambria Math" w:hAnsi="Cambria Math"/>
          <w:iCs/>
          <w:sz w:val="24"/>
          <w:szCs w:val="24"/>
        </w:rPr>
        <w:tab/>
        <w:t>=</w:t>
      </w:r>
      <m:oMath>
        <m:r>
          <w:rPr>
            <w:rFonts w:ascii="Cambria Math" w:hAnsi="Cambria Math"/>
            <w:sz w:val="24"/>
            <w:szCs w:val="24"/>
          </w:rPr>
          <m:t>Time, t</m:t>
        </m:r>
      </m:oMath>
    </w:p>
    <w:p w14:paraId="3EE9010E" w14:textId="77777777" w:rsidR="002B0191" w:rsidRPr="002B0191" w:rsidRDefault="002B0191" w:rsidP="002B0191">
      <w:pPr>
        <w:pStyle w:val="Nomenclature"/>
        <w:spacing w:line="480" w:lineRule="auto"/>
        <w:ind w:left="1037" w:hanging="1037"/>
        <w:rPr>
          <w:rFonts w:ascii="Cambria Math" w:hAnsi="Cambria Math"/>
          <w:iCs/>
          <w:sz w:val="24"/>
          <w:szCs w:val="24"/>
        </w:rPr>
      </w:pPr>
      <m:oMath>
        <m:r>
          <w:rPr>
            <w:rFonts w:ascii="Cambria Math" w:hAnsi="Cambria Math"/>
            <w:sz w:val="24"/>
            <w:szCs w:val="24"/>
          </w:rPr>
          <m:t>u</m:t>
        </m:r>
      </m:oMath>
      <w:r w:rsidRPr="002B0191">
        <w:rPr>
          <w:rFonts w:ascii="Cambria Math" w:hAnsi="Cambria Math"/>
          <w:iCs/>
          <w:sz w:val="24"/>
          <w:szCs w:val="24"/>
        </w:rPr>
        <w:tab/>
      </w:r>
      <w:r w:rsidRPr="002B0191">
        <w:rPr>
          <w:rFonts w:ascii="Cambria Math" w:hAnsi="Cambria Math"/>
          <w:iCs/>
          <w:sz w:val="24"/>
          <w:szCs w:val="24"/>
        </w:rPr>
        <w:tab/>
        <w:t>=</w:t>
      </w:r>
      <m:oMath>
        <m:r>
          <w:rPr>
            <w:rFonts w:ascii="Cambria Math" w:hAnsi="Cambria Math"/>
            <w:sz w:val="24"/>
            <w:szCs w:val="24"/>
          </w:rPr>
          <m:t>Velocity, L/t</m:t>
        </m:r>
      </m:oMath>
    </w:p>
    <w:p w14:paraId="0BDA3F72" w14:textId="77777777" w:rsidR="0087407F" w:rsidRPr="002B0191" w:rsidRDefault="0087407F" w:rsidP="0087407F">
      <w:pPr>
        <w:pStyle w:val="Nomenclature"/>
        <w:spacing w:line="480" w:lineRule="auto"/>
        <w:ind w:left="1037" w:hanging="1037"/>
        <w:rPr>
          <w:rFonts w:ascii="Cambria Math" w:hAnsi="Cambria Math"/>
          <w:iCs/>
          <w:sz w:val="24"/>
          <w:szCs w:val="24"/>
        </w:rPr>
      </w:pPr>
      <m:oMath>
        <m:r>
          <w:rPr>
            <w:rFonts w:ascii="Cambria Math" w:hAnsi="Cambria Math"/>
            <w:sz w:val="24"/>
            <w:szCs w:val="24"/>
          </w:rPr>
          <m:t>v</m:t>
        </m:r>
      </m:oMath>
      <w:r w:rsidRPr="002B0191">
        <w:rPr>
          <w:rFonts w:ascii="Cambria Math" w:hAnsi="Cambria Math"/>
          <w:iCs/>
          <w:sz w:val="24"/>
          <w:szCs w:val="24"/>
        </w:rPr>
        <w:tab/>
      </w:r>
      <w:r w:rsidRPr="002B0191">
        <w:rPr>
          <w:rFonts w:ascii="Cambria Math" w:hAnsi="Cambria Math"/>
          <w:iCs/>
          <w:sz w:val="24"/>
          <w:szCs w:val="24"/>
        </w:rPr>
        <w:tab/>
        <w:t>=</w:t>
      </w:r>
      <m:oMath>
        <m:r>
          <w:rPr>
            <w:rFonts w:ascii="Cambria Math" w:hAnsi="Cambria Math"/>
            <w:sz w:val="24"/>
            <w:szCs w:val="24"/>
          </w:rPr>
          <m:t>Phase velocity, L/t</m:t>
        </m:r>
      </m:oMath>
    </w:p>
    <w:p w14:paraId="4EC0A538" w14:textId="77777777" w:rsidR="0087407F" w:rsidRPr="002B0191" w:rsidRDefault="0087407F" w:rsidP="0087407F">
      <w:pPr>
        <w:pStyle w:val="Nomenclature"/>
        <w:spacing w:line="480" w:lineRule="auto"/>
        <w:ind w:left="1037" w:hanging="1037"/>
        <w:rPr>
          <w:rFonts w:ascii="Cambria Math" w:hAnsi="Cambria Math"/>
          <w:iCs/>
          <w:sz w:val="24"/>
          <w:szCs w:val="24"/>
        </w:rPr>
      </w:pPr>
      <m:oMath>
        <m:r>
          <w:rPr>
            <w:rFonts w:ascii="Cambria Math" w:hAnsi="Cambria Math"/>
            <w:sz w:val="24"/>
            <w:szCs w:val="24"/>
          </w:rPr>
          <m:t>w</m:t>
        </m:r>
      </m:oMath>
      <w:r w:rsidRPr="002B0191">
        <w:rPr>
          <w:rFonts w:ascii="Cambria Math" w:hAnsi="Cambria Math"/>
          <w:iCs/>
          <w:sz w:val="24"/>
          <w:szCs w:val="24"/>
        </w:rPr>
        <w:tab/>
      </w:r>
      <w:r w:rsidRPr="002B0191">
        <w:rPr>
          <w:rFonts w:ascii="Cambria Math" w:hAnsi="Cambria Math"/>
          <w:iCs/>
          <w:sz w:val="24"/>
          <w:szCs w:val="24"/>
        </w:rPr>
        <w:tab/>
        <w:t>=</w:t>
      </w:r>
      <m:oMath>
        <m:r>
          <w:rPr>
            <w:rFonts w:ascii="Cambria Math" w:hAnsi="Cambria Math"/>
            <w:sz w:val="24"/>
            <w:szCs w:val="24"/>
          </w:rPr>
          <m:t>Width, L</m:t>
        </m:r>
      </m:oMath>
    </w:p>
    <w:p w14:paraId="4F8F4702" w14:textId="77777777" w:rsidR="0087407F" w:rsidRPr="002B0191" w:rsidRDefault="0087407F" w:rsidP="0087407F">
      <w:pPr>
        <w:pStyle w:val="Nomenclature"/>
        <w:spacing w:line="480" w:lineRule="auto"/>
        <w:ind w:left="1037" w:hanging="1037"/>
        <w:rPr>
          <w:rFonts w:ascii="Cambria Math" w:hAnsi="Cambria Math"/>
          <w:iCs/>
          <w:sz w:val="24"/>
          <w:szCs w:val="24"/>
        </w:rPr>
      </w:pPr>
      <m:oMath>
        <m:r>
          <w:rPr>
            <w:rFonts w:ascii="Cambria Math" w:hAnsi="Cambria Math"/>
            <w:sz w:val="24"/>
            <w:szCs w:val="24"/>
          </w:rPr>
          <m:t>x</m:t>
        </m:r>
      </m:oMath>
      <w:r w:rsidRPr="002B0191">
        <w:rPr>
          <w:rFonts w:ascii="Cambria Math" w:hAnsi="Cambria Math"/>
          <w:iCs/>
          <w:sz w:val="24"/>
          <w:szCs w:val="24"/>
        </w:rPr>
        <w:tab/>
      </w:r>
      <w:r w:rsidRPr="002B0191">
        <w:rPr>
          <w:rFonts w:ascii="Cambria Math" w:hAnsi="Cambria Math"/>
          <w:iCs/>
          <w:sz w:val="24"/>
          <w:szCs w:val="24"/>
        </w:rPr>
        <w:tab/>
        <w:t>=</w:t>
      </w:r>
      <m:oMath>
        <m:r>
          <w:rPr>
            <w:rFonts w:ascii="Cambria Math" w:hAnsi="Cambria Math"/>
            <w:sz w:val="24"/>
            <w:szCs w:val="24"/>
          </w:rPr>
          <m:t>Distance, L</m:t>
        </m:r>
      </m:oMath>
    </w:p>
    <w:p w14:paraId="46A4069F" w14:textId="77777777" w:rsidR="0087407F" w:rsidRPr="002B0191" w:rsidRDefault="0087407F" w:rsidP="0087407F">
      <w:pPr>
        <w:pStyle w:val="Nomenclature"/>
        <w:spacing w:line="480" w:lineRule="auto"/>
        <w:ind w:left="1037" w:hanging="1037"/>
        <w:rPr>
          <w:rFonts w:ascii="Cambria Math" w:hAnsi="Cambria Math"/>
          <w:iCs/>
          <w:sz w:val="24"/>
          <w:szCs w:val="24"/>
        </w:rPr>
      </w:pPr>
      <m:oMath>
        <m:r>
          <w:rPr>
            <w:rFonts w:ascii="Cambria Math" w:hAnsi="Cambria Math"/>
            <w:sz w:val="24"/>
            <w:szCs w:val="24"/>
          </w:rPr>
          <m:t>z</m:t>
        </m:r>
      </m:oMath>
      <w:r w:rsidRPr="002B0191">
        <w:rPr>
          <w:rFonts w:ascii="Cambria Math" w:hAnsi="Cambria Math"/>
          <w:iCs/>
          <w:sz w:val="24"/>
          <w:szCs w:val="24"/>
        </w:rPr>
        <w:tab/>
      </w:r>
      <w:r w:rsidR="002B0191">
        <w:rPr>
          <w:rFonts w:ascii="Cambria Math" w:hAnsi="Cambria Math"/>
          <w:iCs/>
          <w:sz w:val="24"/>
          <w:szCs w:val="24"/>
        </w:rPr>
        <w:tab/>
      </w:r>
      <w:r w:rsidRPr="002B0191">
        <w:rPr>
          <w:rFonts w:ascii="Cambria Math" w:hAnsi="Cambria Math"/>
          <w:iCs/>
          <w:sz w:val="24"/>
          <w:szCs w:val="24"/>
        </w:rPr>
        <w:t>=</w:t>
      </w:r>
      <m:oMath>
        <m:r>
          <w:rPr>
            <w:rFonts w:ascii="Cambria Math" w:hAnsi="Cambria Math"/>
            <w:sz w:val="24"/>
            <w:szCs w:val="24"/>
          </w:rPr>
          <m:t>Random number , dimensionless</m:t>
        </m:r>
      </m:oMath>
    </w:p>
    <w:p w14:paraId="1D9ED502" w14:textId="77777777" w:rsidR="002B0191" w:rsidRDefault="002B0191" w:rsidP="0087407F">
      <w:pPr>
        <w:pStyle w:val="Nomenclature"/>
        <w:spacing w:line="480" w:lineRule="auto"/>
        <w:ind w:left="1037" w:hanging="1037"/>
        <w:rPr>
          <w:rFonts w:asciiTheme="minorHAnsi" w:hAnsiTheme="minorHAnsi" w:cstheme="minorHAnsi"/>
          <w:b/>
          <w:i w:val="0"/>
          <w:iCs/>
          <w:sz w:val="24"/>
          <w:szCs w:val="24"/>
        </w:rPr>
      </w:pPr>
    </w:p>
    <w:p w14:paraId="715E7FFF" w14:textId="77777777" w:rsidR="0087407F" w:rsidRPr="002B0191" w:rsidRDefault="0087407F" w:rsidP="0087407F">
      <w:pPr>
        <w:pStyle w:val="Nomenclature"/>
        <w:spacing w:line="480" w:lineRule="auto"/>
        <w:ind w:left="1037" w:hanging="1037"/>
        <w:rPr>
          <w:rFonts w:asciiTheme="minorHAnsi" w:hAnsiTheme="minorHAnsi" w:cstheme="minorHAnsi"/>
          <w:b/>
          <w:i w:val="0"/>
          <w:iCs/>
          <w:sz w:val="24"/>
          <w:szCs w:val="24"/>
        </w:rPr>
      </w:pPr>
      <w:r w:rsidRPr="002B0191">
        <w:rPr>
          <w:rFonts w:asciiTheme="minorHAnsi" w:hAnsiTheme="minorHAnsi" w:cstheme="minorHAnsi"/>
          <w:b/>
          <w:i w:val="0"/>
          <w:iCs/>
          <w:sz w:val="24"/>
          <w:szCs w:val="24"/>
        </w:rPr>
        <w:t>Subscript</w:t>
      </w:r>
    </w:p>
    <w:p w14:paraId="51614469" w14:textId="77777777" w:rsidR="0087407F" w:rsidRPr="002B0191" w:rsidRDefault="0087407F" w:rsidP="0087407F">
      <w:pPr>
        <w:pStyle w:val="Nomenclature"/>
        <w:spacing w:line="480" w:lineRule="auto"/>
        <w:ind w:left="1037" w:hanging="1037"/>
        <w:rPr>
          <w:rFonts w:ascii="Cambria Math" w:hAnsi="Cambria Math"/>
          <w:iCs/>
          <w:sz w:val="24"/>
          <w:szCs w:val="24"/>
        </w:rPr>
      </w:pPr>
      <m:oMath>
        <m:r>
          <w:rPr>
            <w:rFonts w:ascii="Cambria Math" w:hAnsi="Cambria Math"/>
            <w:sz w:val="24"/>
            <w:szCs w:val="24"/>
          </w:rPr>
          <m:t>D</m:t>
        </m:r>
      </m:oMath>
      <w:r w:rsidRPr="002B0191">
        <w:rPr>
          <w:rFonts w:ascii="Cambria Math" w:hAnsi="Cambria Math"/>
          <w:iCs/>
          <w:sz w:val="24"/>
          <w:szCs w:val="24"/>
        </w:rPr>
        <w:tab/>
      </w:r>
      <w:r w:rsidRPr="002B0191">
        <w:rPr>
          <w:rFonts w:ascii="Cambria Math" w:hAnsi="Cambria Math"/>
          <w:iCs/>
          <w:sz w:val="24"/>
          <w:szCs w:val="24"/>
        </w:rPr>
        <w:tab/>
        <w:t>=Dimensionless</w:t>
      </w:r>
    </w:p>
    <w:p w14:paraId="1B8A43D8" w14:textId="77777777" w:rsidR="0087407F" w:rsidRPr="002B0191" w:rsidRDefault="0087407F" w:rsidP="0087407F">
      <w:pPr>
        <w:pStyle w:val="Nomenclature"/>
        <w:spacing w:line="480" w:lineRule="auto"/>
        <w:ind w:left="1037" w:hanging="1037"/>
        <w:rPr>
          <w:rFonts w:ascii="Cambria Math" w:hAnsi="Cambria Math"/>
          <w:iCs/>
          <w:sz w:val="24"/>
          <w:szCs w:val="24"/>
        </w:rPr>
      </w:pPr>
      <m:oMath>
        <m:r>
          <w:rPr>
            <w:rFonts w:ascii="Cambria Math" w:hAnsi="Cambria Math"/>
            <w:sz w:val="24"/>
            <w:szCs w:val="24"/>
          </w:rPr>
          <m:t>diff</m:t>
        </m:r>
      </m:oMath>
      <w:r w:rsidRPr="002B0191">
        <w:rPr>
          <w:rFonts w:ascii="Cambria Math" w:hAnsi="Cambria Math"/>
          <w:iCs/>
          <w:sz w:val="24"/>
          <w:szCs w:val="24"/>
        </w:rPr>
        <w:tab/>
      </w:r>
      <w:r w:rsidRPr="002B0191">
        <w:rPr>
          <w:rFonts w:ascii="Cambria Math" w:hAnsi="Cambria Math"/>
          <w:iCs/>
          <w:sz w:val="24"/>
          <w:szCs w:val="24"/>
        </w:rPr>
        <w:tab/>
        <w:t>=Diffusion</w:t>
      </w:r>
    </w:p>
    <w:p w14:paraId="225964D3" w14:textId="77777777" w:rsidR="0087407F" w:rsidRPr="002B0191" w:rsidRDefault="002B0191" w:rsidP="0087407F">
      <w:pPr>
        <w:pStyle w:val="Nomenclature"/>
        <w:spacing w:line="480" w:lineRule="auto"/>
        <w:ind w:left="1037" w:hanging="1037"/>
        <w:rPr>
          <w:rFonts w:ascii="Cambria Math" w:hAnsi="Cambria Math"/>
          <w:iCs/>
          <w:sz w:val="24"/>
          <w:szCs w:val="24"/>
        </w:rPr>
      </w:pPr>
      <m:oMath>
        <m:r>
          <w:rPr>
            <w:rFonts w:ascii="Cambria Math" w:hAnsi="Cambria Math"/>
            <w:sz w:val="24"/>
            <w:szCs w:val="24"/>
          </w:rPr>
          <m:t xml:space="preserve"> (i,j)</m:t>
        </m:r>
      </m:oMath>
      <w:r w:rsidR="0087407F" w:rsidRPr="002B0191">
        <w:rPr>
          <w:rFonts w:ascii="Cambria Math" w:hAnsi="Cambria Math"/>
          <w:iCs/>
          <w:sz w:val="24"/>
          <w:szCs w:val="24"/>
        </w:rPr>
        <w:tab/>
      </w:r>
      <w:r w:rsidR="0087407F" w:rsidRPr="002B0191">
        <w:rPr>
          <w:rFonts w:ascii="Cambria Math" w:hAnsi="Cambria Math"/>
          <w:iCs/>
          <w:sz w:val="24"/>
          <w:szCs w:val="24"/>
        </w:rPr>
        <w:tab/>
        <w:t>=Grid location</w:t>
      </w:r>
    </w:p>
    <w:p w14:paraId="5A7DC4B3" w14:textId="77777777" w:rsidR="002B0191" w:rsidRDefault="002B0191" w:rsidP="002B0191">
      <w:pPr>
        <w:pStyle w:val="Nomenclature"/>
        <w:spacing w:line="480" w:lineRule="auto"/>
        <w:ind w:left="1037" w:hanging="1037"/>
        <w:rPr>
          <w:rFonts w:ascii="Cambria Math" w:hAnsi="Cambria Math"/>
          <w:iCs/>
          <w:sz w:val="24"/>
          <w:szCs w:val="24"/>
        </w:rPr>
      </w:pPr>
      <w:r>
        <w:rPr>
          <w:rFonts w:ascii="Cambria Math" w:hAnsi="Cambria Math"/>
          <w:iCs/>
          <w:sz w:val="24"/>
          <w:szCs w:val="24"/>
        </w:rPr>
        <w:t>o</w:t>
      </w:r>
      <w:r w:rsidRPr="002B0191">
        <w:rPr>
          <w:rFonts w:ascii="Cambria Math" w:hAnsi="Cambria Math"/>
          <w:iCs/>
          <w:sz w:val="24"/>
          <w:szCs w:val="24"/>
        </w:rPr>
        <w:tab/>
      </w:r>
      <w:r w:rsidRPr="002B0191">
        <w:rPr>
          <w:rFonts w:ascii="Cambria Math" w:hAnsi="Cambria Math"/>
          <w:iCs/>
          <w:sz w:val="24"/>
          <w:szCs w:val="24"/>
        </w:rPr>
        <w:tab/>
        <w:t>=</w:t>
      </w:r>
      <w:r>
        <w:rPr>
          <w:rFonts w:ascii="Cambria Math" w:hAnsi="Cambria Math"/>
          <w:iCs/>
          <w:sz w:val="24"/>
          <w:szCs w:val="24"/>
        </w:rPr>
        <w:t>oil</w:t>
      </w:r>
    </w:p>
    <w:p w14:paraId="25EFDCE6" w14:textId="77777777" w:rsidR="002B0191" w:rsidRDefault="002B0191" w:rsidP="002B0191">
      <w:pPr>
        <w:pStyle w:val="Nomenclature"/>
        <w:spacing w:line="480" w:lineRule="auto"/>
        <w:ind w:left="1037" w:hanging="1037"/>
        <w:rPr>
          <w:rFonts w:ascii="Cambria Math" w:hAnsi="Cambria Math"/>
          <w:iCs/>
          <w:sz w:val="24"/>
          <w:szCs w:val="24"/>
        </w:rPr>
      </w:pPr>
      <w:r>
        <w:rPr>
          <w:rFonts w:ascii="Cambria Math" w:hAnsi="Cambria Math"/>
          <w:iCs/>
          <w:sz w:val="24"/>
          <w:szCs w:val="24"/>
        </w:rPr>
        <w:lastRenderedPageBreak/>
        <w:t>p</w:t>
      </w:r>
      <w:r w:rsidRPr="002B0191">
        <w:rPr>
          <w:rFonts w:ascii="Cambria Math" w:hAnsi="Cambria Math"/>
          <w:iCs/>
          <w:sz w:val="24"/>
          <w:szCs w:val="24"/>
        </w:rPr>
        <w:tab/>
      </w:r>
      <w:r w:rsidRPr="002B0191">
        <w:rPr>
          <w:rFonts w:ascii="Cambria Math" w:hAnsi="Cambria Math"/>
          <w:iCs/>
          <w:sz w:val="24"/>
          <w:szCs w:val="24"/>
        </w:rPr>
        <w:tab/>
        <w:t>=</w:t>
      </w:r>
      <w:r>
        <w:rPr>
          <w:rFonts w:ascii="Cambria Math" w:hAnsi="Cambria Math"/>
          <w:iCs/>
          <w:sz w:val="24"/>
          <w:szCs w:val="24"/>
        </w:rPr>
        <w:t>partitioning tracer</w:t>
      </w:r>
    </w:p>
    <w:p w14:paraId="7DFA1D2C" w14:textId="77777777" w:rsidR="0087407F" w:rsidRDefault="0087407F" w:rsidP="0087407F">
      <w:pPr>
        <w:pStyle w:val="Nomenclature"/>
        <w:spacing w:line="480" w:lineRule="auto"/>
        <w:ind w:left="1037" w:hanging="1037"/>
        <w:rPr>
          <w:rFonts w:ascii="Cambria Math" w:hAnsi="Cambria Math"/>
          <w:iCs/>
          <w:sz w:val="24"/>
          <w:szCs w:val="24"/>
        </w:rPr>
      </w:pPr>
      <w:r w:rsidRPr="002B0191">
        <w:rPr>
          <w:rFonts w:ascii="Cambria Math" w:hAnsi="Cambria Math"/>
          <w:iCs/>
          <w:sz w:val="24"/>
          <w:szCs w:val="24"/>
        </w:rPr>
        <w:t>w</w:t>
      </w:r>
      <w:r w:rsidRPr="002B0191">
        <w:rPr>
          <w:rFonts w:ascii="Cambria Math" w:hAnsi="Cambria Math"/>
          <w:iCs/>
          <w:sz w:val="24"/>
          <w:szCs w:val="24"/>
        </w:rPr>
        <w:tab/>
      </w:r>
      <w:r w:rsidRPr="002B0191">
        <w:rPr>
          <w:rFonts w:ascii="Cambria Math" w:hAnsi="Cambria Math"/>
          <w:iCs/>
          <w:sz w:val="24"/>
          <w:szCs w:val="24"/>
        </w:rPr>
        <w:tab/>
        <w:t>=Water</w:t>
      </w:r>
    </w:p>
    <w:p w14:paraId="7F3E14F8" w14:textId="77777777" w:rsidR="0087407F" w:rsidRPr="002B0191" w:rsidRDefault="0087407F" w:rsidP="0087407F">
      <w:pPr>
        <w:pStyle w:val="Nomenclature"/>
        <w:spacing w:line="480" w:lineRule="auto"/>
        <w:ind w:left="1037" w:hanging="1037"/>
        <w:rPr>
          <w:rFonts w:ascii="Cambria Math" w:hAnsi="Cambria Math"/>
          <w:iCs/>
          <w:sz w:val="24"/>
          <w:szCs w:val="24"/>
        </w:rPr>
      </w:pPr>
      <m:oMath>
        <m:r>
          <w:rPr>
            <w:rFonts w:ascii="Cambria Math" w:hAnsi="Cambria Math"/>
            <w:sz w:val="24"/>
            <w:szCs w:val="24"/>
          </w:rPr>
          <m:t>t</m:t>
        </m:r>
      </m:oMath>
      <w:r w:rsidRPr="002B0191">
        <w:rPr>
          <w:rFonts w:ascii="Cambria Math" w:hAnsi="Cambria Math"/>
          <w:iCs/>
          <w:sz w:val="24"/>
          <w:szCs w:val="24"/>
        </w:rPr>
        <w:tab/>
      </w:r>
      <w:r w:rsidRPr="002B0191">
        <w:rPr>
          <w:rFonts w:ascii="Cambria Math" w:hAnsi="Cambria Math"/>
          <w:iCs/>
          <w:sz w:val="24"/>
          <w:szCs w:val="24"/>
        </w:rPr>
        <w:tab/>
        <w:t>=Total</w:t>
      </w:r>
    </w:p>
    <w:p w14:paraId="0BB77531" w14:textId="77777777" w:rsidR="0087407F" w:rsidRPr="002B0191" w:rsidRDefault="0087407F" w:rsidP="0087407F">
      <w:pPr>
        <w:pStyle w:val="Nomenclature"/>
        <w:spacing w:line="480" w:lineRule="auto"/>
        <w:ind w:left="1037" w:hanging="1037"/>
        <w:rPr>
          <w:rFonts w:ascii="Cambria Math" w:hAnsi="Cambria Math"/>
          <w:iCs/>
          <w:sz w:val="24"/>
          <w:szCs w:val="24"/>
        </w:rPr>
      </w:pPr>
      <m:oMath>
        <m:r>
          <w:rPr>
            <w:rFonts w:ascii="Cambria Math" w:hAnsi="Cambria Math"/>
            <w:sz w:val="24"/>
            <w:szCs w:val="24"/>
          </w:rPr>
          <m:t>x</m:t>
        </m:r>
      </m:oMath>
      <w:r w:rsidRPr="002B0191">
        <w:rPr>
          <w:rFonts w:ascii="Cambria Math" w:hAnsi="Cambria Math"/>
          <w:iCs/>
          <w:sz w:val="24"/>
          <w:szCs w:val="24"/>
        </w:rPr>
        <w:tab/>
      </w:r>
      <w:r w:rsidRPr="002B0191">
        <w:rPr>
          <w:rFonts w:ascii="Cambria Math" w:hAnsi="Cambria Math"/>
          <w:iCs/>
          <w:sz w:val="24"/>
          <w:szCs w:val="24"/>
        </w:rPr>
        <w:tab/>
        <w:t>=</w:t>
      </w:r>
      <m:oMath>
        <m:r>
          <w:rPr>
            <w:rFonts w:ascii="Cambria Math" w:hAnsi="Cambria Math"/>
            <w:sz w:val="24"/>
            <w:szCs w:val="24"/>
          </w:rPr>
          <m:t>x direction</m:t>
        </m:r>
      </m:oMath>
    </w:p>
    <w:p w14:paraId="18179F76" w14:textId="77777777" w:rsidR="006B278C" w:rsidRDefault="006B278C">
      <w:pPr>
        <w:tabs>
          <w:tab w:val="clear" w:pos="7632"/>
        </w:tabs>
        <w:ind w:firstLine="0"/>
      </w:pPr>
      <w:r>
        <w:br w:type="page"/>
      </w:r>
    </w:p>
    <w:p w14:paraId="5D4D305B" w14:textId="77777777" w:rsidR="00716B8F" w:rsidRDefault="00716B8F" w:rsidP="006B278C">
      <w:pPr>
        <w:pStyle w:val="Heading1"/>
      </w:pPr>
      <w:bookmarkStart w:id="206" w:name="_Toc494014230"/>
      <w:r>
        <w:rPr>
          <w:rFonts w:hint="eastAsia"/>
          <w:lang w:eastAsia="zh-CN"/>
        </w:rPr>
        <w:lastRenderedPageBreak/>
        <w:t>Quantitative</w:t>
      </w:r>
      <w:r>
        <w:t xml:space="preserve"> Estimation of Radon Production from </w:t>
      </w:r>
      <w:r w:rsidR="00A07F10">
        <w:t xml:space="preserve">Marcellus </w:t>
      </w:r>
      <w:r>
        <w:t>Shale Gas Reservoirs</w:t>
      </w:r>
      <w:bookmarkEnd w:id="206"/>
    </w:p>
    <w:p w14:paraId="7544FFA0" w14:textId="77777777" w:rsidR="00645948" w:rsidRDefault="00645948" w:rsidP="001B1E4C">
      <w:pPr>
        <w:pStyle w:val="Heading2"/>
      </w:pPr>
      <w:bookmarkStart w:id="207" w:name="_Toc494014231"/>
      <w:r>
        <w:t>Introduction</w:t>
      </w:r>
      <w:bookmarkEnd w:id="207"/>
    </w:p>
    <w:p w14:paraId="730FA4E4" w14:textId="77777777" w:rsidR="00835895" w:rsidRPr="00E73B83" w:rsidRDefault="00835895" w:rsidP="00D36C56">
      <w:r w:rsidRPr="00E73B83">
        <w:t>Shale gas production is rapidly increasing and it brings remarkable economic interests in recent years. Technologies, such as hydraulic fracturing and horizontal drilling, enable the operators to target on shale formations that are now much easier and cheaper to explore and produce. Nowadays, shale gas production provides a large portion of total natural gas production within U.S. According to Environmental Information Administration (EIA), shale gas made up 40</w:t>
      </w:r>
      <w:r>
        <w:t>%</w:t>
      </w:r>
      <w:r w:rsidRPr="00E73B83">
        <w:t xml:space="preserve"> of total natural gas production in 2013, which was mainly contributed by states of Texas, Pennsylvania, Louisiana and Arkansas (EIA 2014). Counties where shale gas is extracted have seen obvious increases in average incomes, jobs, and wages ranging between 10</w:t>
      </w:r>
      <w:r>
        <w:t>%</w:t>
      </w:r>
      <w:r w:rsidRPr="00E73B83">
        <w:t xml:space="preserve"> to 20</w:t>
      </w:r>
      <w:r>
        <w:t>%</w:t>
      </w:r>
      <w:r w:rsidRPr="00E73B83">
        <w:t xml:space="preserve"> and the unemployment in these counties are lower than other places within the U.S (Fetzer 2014).</w:t>
      </w:r>
    </w:p>
    <w:p w14:paraId="3A35C420" w14:textId="6E3474BA" w:rsidR="00835895" w:rsidRDefault="00835895" w:rsidP="00D36C56">
      <w:r w:rsidRPr="00E73B83">
        <w:t>Meanwhile, the public has raised numerous debates about radon production from shale formations and its negative environmental impacts</w:t>
      </w:r>
      <w:r w:rsidR="00F00888">
        <w:t>, and radon is one of them</w:t>
      </w:r>
      <w:r w:rsidRPr="00E73B83">
        <w:t xml:space="preserve">. Radon is a colorless, odorless and radioactive inert gas. Its most stable isotope is </w:t>
      </w:r>
      <w:r w:rsidRPr="00E73B83">
        <w:rPr>
          <w:vertAlign w:val="superscript"/>
        </w:rPr>
        <w:t>222</w:t>
      </w:r>
      <w:r w:rsidRPr="00E73B83">
        <w:t xml:space="preserve">Rn with a half-life of 3.8 </w:t>
      </w:r>
      <w:r w:rsidRPr="00121F88">
        <w:rPr>
          <w:i/>
        </w:rPr>
        <w:t>days</w:t>
      </w:r>
      <w:r w:rsidRPr="00E73B83">
        <w:t xml:space="preserve">. Darby et al. (2005) revealed that residential radon is responsible for about 2% of death from lung cancer in Europe.  Scientists estimated that 15,000 to 22,000 lung cancer deaths in the United States each year are related to radon as well (NCI 2011). </w:t>
      </w:r>
    </w:p>
    <w:p w14:paraId="3BB1DEDC" w14:textId="77777777" w:rsidR="00835895" w:rsidRPr="00E73B83" w:rsidRDefault="00835895" w:rsidP="00835895">
      <w:pPr>
        <w:pStyle w:val="para1"/>
        <w:rPr>
          <w:color w:val="000000" w:themeColor="text1"/>
        </w:rPr>
      </w:pPr>
    </w:p>
    <w:p w14:paraId="31BF7298" w14:textId="77777777" w:rsidR="001C08D5" w:rsidRDefault="00835895" w:rsidP="00D36C56">
      <w:pPr>
        <w:pStyle w:val="TableNormal1"/>
      </w:pPr>
      <w:r w:rsidRPr="00E73B83">
        <w:lastRenderedPageBreak/>
        <w:drawing>
          <wp:inline distT="0" distB="0" distL="0" distR="0" wp14:anchorId="137D4C0A" wp14:editId="48DADE3E">
            <wp:extent cx="5151874" cy="221046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n decay.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178332" cy="2221814"/>
                    </a:xfrm>
                    <a:prstGeom prst="rect">
                      <a:avLst/>
                    </a:prstGeom>
                  </pic:spPr>
                </pic:pic>
              </a:graphicData>
            </a:graphic>
          </wp:inline>
        </w:drawing>
      </w:r>
    </w:p>
    <w:p w14:paraId="189BEE70" w14:textId="65416F74" w:rsidR="00835895" w:rsidRPr="00541084" w:rsidRDefault="00835895" w:rsidP="00BF3F9B">
      <w:pPr>
        <w:pStyle w:val="Caption"/>
        <w:rPr>
          <w:szCs w:val="22"/>
        </w:rPr>
      </w:pPr>
      <w:bookmarkStart w:id="208" w:name="_Ref443640216"/>
      <w:bookmarkStart w:id="209" w:name="_Toc495144750"/>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w:t>
      </w:r>
      <w:r w:rsidR="00280FFF">
        <w:rPr>
          <w:szCs w:val="22"/>
        </w:rPr>
        <w:fldChar w:fldCharType="end"/>
      </w:r>
      <w:bookmarkEnd w:id="208"/>
      <w:r w:rsidRPr="00541084">
        <w:rPr>
          <w:szCs w:val="22"/>
        </w:rPr>
        <w:t>. Radioactive decay process from Uranium to Lead (modified from Allthingsradon (2009))</w:t>
      </w:r>
      <w:bookmarkEnd w:id="209"/>
    </w:p>
    <w:p w14:paraId="31170186" w14:textId="77777777" w:rsidR="00835895" w:rsidRDefault="00835895" w:rsidP="00835895">
      <w:pPr>
        <w:pStyle w:val="para1"/>
        <w:rPr>
          <w:color w:val="000000" w:themeColor="text1"/>
        </w:rPr>
      </w:pPr>
    </w:p>
    <w:p w14:paraId="5AA24C6B" w14:textId="77777777" w:rsidR="00835895" w:rsidRPr="00E73B83" w:rsidRDefault="00835895" w:rsidP="00D36C56">
      <w:r w:rsidRPr="00E73B83">
        <w:t>Rodon in shale formation originates from the decay of radium as the daughter product, one intermediate step in the decay chain through uranium to lead (</w:t>
      </w:r>
      <w:r w:rsidR="00D36C56">
        <w:fldChar w:fldCharType="begin"/>
      </w:r>
      <w:r w:rsidR="00D36C56">
        <w:instrText xml:space="preserve"> REF _Ref443640216 \h </w:instrText>
      </w:r>
      <w:r w:rsidR="00D36C56">
        <w:fldChar w:fldCharType="separate"/>
      </w:r>
      <w:r w:rsidR="00D36C56" w:rsidRPr="00E73B83">
        <w:t xml:space="preserve">Figure </w:t>
      </w:r>
      <w:r w:rsidR="00D36C56">
        <w:rPr>
          <w:noProof/>
        </w:rPr>
        <w:t>5</w:t>
      </w:r>
      <w:r w:rsidR="00D36C56">
        <w:noBreakHyphen/>
      </w:r>
      <w:r w:rsidR="00D36C56">
        <w:rPr>
          <w:noProof/>
        </w:rPr>
        <w:t>1</w:t>
      </w:r>
      <w:r w:rsidR="00D36C56">
        <w:fldChar w:fldCharType="end"/>
      </w:r>
      <w:r w:rsidRPr="00E73B83">
        <w:t>). It has been discovered that uranium concentration in shale formation is the highest among other common formations (</w:t>
      </w:r>
      <w:r w:rsidR="00D36C56">
        <w:fldChar w:fldCharType="begin"/>
      </w:r>
      <w:r w:rsidR="00D36C56">
        <w:instrText xml:space="preserve"> REF _Ref442776088 \h </w:instrText>
      </w:r>
      <w:r w:rsidR="00D36C56">
        <w:fldChar w:fldCharType="separate"/>
      </w:r>
      <w:r w:rsidR="00D36C56" w:rsidRPr="00E73B83">
        <w:rPr>
          <w:color w:val="000000" w:themeColor="text1"/>
        </w:rPr>
        <w:t xml:space="preserve">Table </w:t>
      </w:r>
      <w:r w:rsidR="00D36C56">
        <w:rPr>
          <w:noProof/>
          <w:color w:val="000000" w:themeColor="text1"/>
        </w:rPr>
        <w:t>5</w:t>
      </w:r>
      <w:r w:rsidR="00D36C56">
        <w:rPr>
          <w:color w:val="000000" w:themeColor="text1"/>
        </w:rPr>
        <w:noBreakHyphen/>
      </w:r>
      <w:r w:rsidR="00D36C56">
        <w:rPr>
          <w:noProof/>
          <w:color w:val="000000" w:themeColor="text1"/>
        </w:rPr>
        <w:t>1</w:t>
      </w:r>
      <w:r w:rsidR="00D36C56">
        <w:fldChar w:fldCharType="end"/>
      </w:r>
      <w:r w:rsidRPr="00E73B83">
        <w:t>). Recent measurements showed uranium concentration in shale reached to 30,000</w:t>
      </w:r>
      <w:r>
        <w:t xml:space="preserve"> </w:t>
      </w:r>
      <w:r w:rsidRPr="00121F88">
        <w:rPr>
          <w:i/>
        </w:rPr>
        <w:t>pCi/L</w:t>
      </w:r>
      <w:r w:rsidRPr="00E73B83">
        <w:t xml:space="preserve"> or even higher (Resnikoff 2011). With respect to radium, Nelson et al. (2014) measured radium concentration in hydraulic fracturing flowback water was 17297</w:t>
      </w:r>
      <w:r w:rsidRPr="00737008">
        <w:rPr>
          <w:i/>
        </w:rPr>
        <w:t xml:space="preserve"> </w:t>
      </w:r>
      <w:r w:rsidRPr="00121F88">
        <w:rPr>
          <w:i/>
        </w:rPr>
        <w:t>pCi/L</w:t>
      </w:r>
      <w:r>
        <w:rPr>
          <w:i/>
        </w:rPr>
        <w:t>.</w:t>
      </w:r>
      <w:r w:rsidRPr="00E73B83">
        <w:t xml:space="preserve"> Kondash et al. (2013) also mentioned flowback water contained unusual high level of naturally occurring radioactive materials in the form of radium isotopes. These imply that gas production from shale formation could be accompanied with severe environmental hazards related with radon. Some </w:t>
      </w:r>
      <w:r w:rsidRPr="00E73B83">
        <w:rPr>
          <w:lang w:eastAsia="zh-CN"/>
        </w:rPr>
        <w:t>on site measurements of radon concentration have a medium of 37</w:t>
      </w:r>
      <w:r>
        <w:rPr>
          <w:lang w:eastAsia="zh-CN"/>
        </w:rPr>
        <w:t xml:space="preserve"> </w:t>
      </w:r>
      <w:r w:rsidRPr="00121F88">
        <w:rPr>
          <w:i/>
        </w:rPr>
        <w:t>pCi/L</w:t>
      </w:r>
      <w:r w:rsidRPr="00E73B83">
        <w:rPr>
          <w:lang w:eastAsia="zh-CN"/>
        </w:rPr>
        <w:t xml:space="preserve"> (Rowan and Kraemer 2012), which is higher than the safe standard of 4</w:t>
      </w:r>
      <w:r>
        <w:rPr>
          <w:lang w:eastAsia="zh-CN"/>
        </w:rPr>
        <w:t xml:space="preserve"> </w:t>
      </w:r>
      <w:r w:rsidRPr="00121F88">
        <w:rPr>
          <w:i/>
        </w:rPr>
        <w:t>pCi/L</w:t>
      </w:r>
      <w:r w:rsidRPr="00E73B83">
        <w:rPr>
          <w:lang w:eastAsia="zh-CN"/>
        </w:rPr>
        <w:t xml:space="preserve"> (EPA 2012). </w:t>
      </w:r>
      <w:r w:rsidRPr="00E73B83">
        <w:t>In addition, radon concentration was measured as 17</w:t>
      </w:r>
      <w:r>
        <w:t xml:space="preserve"> </w:t>
      </w:r>
      <w:r w:rsidRPr="00121F88">
        <w:rPr>
          <w:i/>
        </w:rPr>
        <w:t>pCi/L</w:t>
      </w:r>
      <w:r w:rsidRPr="00E73B83">
        <w:t xml:space="preserve"> inside pipeline (Anspaugh 2012). All above evidences show that there could be substantial amount of radon </w:t>
      </w:r>
      <w:r w:rsidRPr="00E73B83">
        <w:lastRenderedPageBreak/>
        <w:t>existing in shale gas. For the benefit of public health, it is important to quantitatively evaluate the radon concentration from fractured wells in shale reservoirs.</w:t>
      </w:r>
    </w:p>
    <w:p w14:paraId="1F5A7D70" w14:textId="77777777" w:rsidR="00835895" w:rsidRPr="00E73B83" w:rsidRDefault="00835895" w:rsidP="00835895">
      <w:pPr>
        <w:pStyle w:val="para1"/>
        <w:rPr>
          <w:color w:val="000000" w:themeColor="text1"/>
        </w:rPr>
      </w:pPr>
    </w:p>
    <w:p w14:paraId="6D8AFFFC" w14:textId="77777777" w:rsidR="00835895" w:rsidRPr="00541084" w:rsidRDefault="00835895" w:rsidP="00BF3F9B">
      <w:pPr>
        <w:pStyle w:val="Caption"/>
        <w:rPr>
          <w:szCs w:val="22"/>
        </w:rPr>
      </w:pPr>
    </w:p>
    <w:tbl>
      <w:tblPr>
        <w:tblStyle w:val="LightShading"/>
        <w:tblW w:w="0" w:type="auto"/>
        <w:jc w:val="center"/>
        <w:tblLook w:val="04A0" w:firstRow="1" w:lastRow="0" w:firstColumn="1" w:lastColumn="0" w:noHBand="0" w:noVBand="1"/>
      </w:tblPr>
      <w:tblGrid>
        <w:gridCol w:w="4253"/>
        <w:gridCol w:w="4243"/>
      </w:tblGrid>
      <w:tr w:rsidR="001C08D5" w:rsidRPr="00E73B83" w14:paraId="65E091B5" w14:textId="77777777" w:rsidTr="00D36C5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8B5FA2" w14:textId="77777777" w:rsidR="001C08D5" w:rsidRPr="00541084" w:rsidRDefault="001C08D5" w:rsidP="00541084">
            <w:pPr>
              <w:pStyle w:val="Caption"/>
              <w:rPr>
                <w:rFonts w:ascii="Times New Roman" w:hAnsi="Times New Roman"/>
                <w:b/>
                <w:szCs w:val="22"/>
              </w:rPr>
            </w:pPr>
            <w:bookmarkStart w:id="210" w:name="_Ref442776088"/>
            <w:bookmarkStart w:id="211" w:name="_Toc494014268"/>
            <w:r w:rsidRPr="00541084">
              <w:rPr>
                <w:b/>
                <w:szCs w:val="22"/>
              </w:rPr>
              <w:t xml:space="preserve">Table </w:t>
            </w:r>
            <w:r w:rsidR="00A67B82" w:rsidRPr="00541084">
              <w:rPr>
                <w:szCs w:val="22"/>
              </w:rPr>
              <w:fldChar w:fldCharType="begin"/>
            </w:r>
            <w:r w:rsidR="00A67B82" w:rsidRPr="00541084">
              <w:rPr>
                <w:b/>
                <w:szCs w:val="22"/>
              </w:rPr>
              <w:instrText xml:space="preserve"> STYLEREF 1 \s </w:instrText>
            </w:r>
            <w:r w:rsidR="00A67B82" w:rsidRPr="00541084">
              <w:rPr>
                <w:szCs w:val="22"/>
              </w:rPr>
              <w:fldChar w:fldCharType="separate"/>
            </w:r>
            <w:r w:rsidR="00A67B82" w:rsidRPr="00541084">
              <w:rPr>
                <w:b/>
                <w:noProof/>
                <w:szCs w:val="22"/>
              </w:rPr>
              <w:t>5</w:t>
            </w:r>
            <w:r w:rsidR="00A67B82" w:rsidRPr="00541084">
              <w:rPr>
                <w:szCs w:val="22"/>
              </w:rPr>
              <w:fldChar w:fldCharType="end"/>
            </w:r>
            <w:r w:rsidR="00A67B82" w:rsidRPr="00541084">
              <w:rPr>
                <w:b/>
                <w:szCs w:val="22"/>
              </w:rPr>
              <w:noBreakHyphen/>
            </w:r>
            <w:r w:rsidR="00A67B82" w:rsidRPr="00541084">
              <w:rPr>
                <w:szCs w:val="22"/>
              </w:rPr>
              <w:fldChar w:fldCharType="begin"/>
            </w:r>
            <w:r w:rsidR="00A67B82" w:rsidRPr="00541084">
              <w:rPr>
                <w:b/>
                <w:szCs w:val="22"/>
              </w:rPr>
              <w:instrText xml:space="preserve"> SEQ Table \* ARABIC \s 1 </w:instrText>
            </w:r>
            <w:r w:rsidR="00A67B82" w:rsidRPr="00541084">
              <w:rPr>
                <w:szCs w:val="22"/>
              </w:rPr>
              <w:fldChar w:fldCharType="separate"/>
            </w:r>
            <w:r w:rsidR="00A67B82" w:rsidRPr="00541084">
              <w:rPr>
                <w:b/>
                <w:noProof/>
                <w:szCs w:val="22"/>
              </w:rPr>
              <w:t>1</w:t>
            </w:r>
            <w:r w:rsidR="00A67B82" w:rsidRPr="00541084">
              <w:rPr>
                <w:szCs w:val="22"/>
              </w:rPr>
              <w:fldChar w:fldCharType="end"/>
            </w:r>
            <w:bookmarkEnd w:id="210"/>
            <w:r w:rsidRPr="00541084">
              <w:rPr>
                <w:b/>
                <w:szCs w:val="22"/>
              </w:rPr>
              <w:t>. Uranium Concentration in Different Rocks (Andrews and Wood 1972).</w:t>
            </w:r>
            <w:bookmarkEnd w:id="211"/>
          </w:p>
        </w:tc>
      </w:tr>
      <w:tr w:rsidR="001C08D5" w:rsidRPr="00D36C56" w14:paraId="72CA8577" w14:textId="77777777" w:rsidTr="00D36C56">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single" w:sz="4" w:space="0" w:color="auto"/>
              <w:bottom w:val="single" w:sz="4" w:space="0" w:color="auto"/>
            </w:tcBorders>
            <w:shd w:val="clear" w:color="auto" w:fill="auto"/>
            <w:vAlign w:val="center"/>
          </w:tcPr>
          <w:p w14:paraId="7342AE02" w14:textId="77777777" w:rsidR="001C08D5" w:rsidRPr="00E73B83" w:rsidRDefault="001C08D5" w:rsidP="001C08D5">
            <w:pPr>
              <w:jc w:val="center"/>
              <w:rPr>
                <w:rFonts w:ascii="Times New Roman" w:hAnsi="Times New Roman"/>
                <w:color w:val="000000" w:themeColor="text1"/>
              </w:rPr>
            </w:pPr>
            <w:r w:rsidRPr="00E73B83">
              <w:rPr>
                <w:rFonts w:ascii="Times New Roman" w:hAnsi="Times New Roman"/>
                <w:color w:val="000000" w:themeColor="text1"/>
              </w:rPr>
              <w:t>Rock Type</w:t>
            </w:r>
          </w:p>
        </w:tc>
        <w:tc>
          <w:tcPr>
            <w:tcW w:w="4243" w:type="dxa"/>
            <w:tcBorders>
              <w:top w:val="single" w:sz="4" w:space="0" w:color="auto"/>
              <w:bottom w:val="single" w:sz="4" w:space="0" w:color="auto"/>
              <w:right w:val="single" w:sz="4" w:space="0" w:color="auto"/>
            </w:tcBorders>
            <w:shd w:val="clear" w:color="auto" w:fill="auto"/>
            <w:vAlign w:val="center"/>
          </w:tcPr>
          <w:p w14:paraId="601A7A16" w14:textId="77777777" w:rsidR="001C08D5" w:rsidRPr="00D36C56" w:rsidRDefault="001C08D5" w:rsidP="001C0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rPr>
            </w:pPr>
            <w:r w:rsidRPr="00D36C56">
              <w:rPr>
                <w:rFonts w:ascii="Times New Roman" w:hAnsi="Times New Roman"/>
                <w:b/>
                <w:color w:val="000000" w:themeColor="text1"/>
              </w:rPr>
              <w:t xml:space="preserve">Uranium Concentration, </w:t>
            </w:r>
            <w:r w:rsidRPr="00D36C56">
              <w:rPr>
                <w:b/>
                <w:i/>
                <w:color w:val="000000" w:themeColor="text1"/>
              </w:rPr>
              <w:t>pCi/L</w:t>
            </w:r>
          </w:p>
        </w:tc>
      </w:tr>
      <w:tr w:rsidR="00835895" w:rsidRPr="00E73B83" w14:paraId="5A8FFFAA" w14:textId="77777777" w:rsidTr="00D36C56">
        <w:trPr>
          <w:jc w:val="center"/>
        </w:trPr>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left w:val="single" w:sz="4" w:space="0" w:color="auto"/>
            </w:tcBorders>
            <w:shd w:val="clear" w:color="auto" w:fill="auto"/>
            <w:vAlign w:val="center"/>
          </w:tcPr>
          <w:p w14:paraId="5E6F2083" w14:textId="77777777" w:rsidR="00835895" w:rsidRPr="00D36C56" w:rsidRDefault="00835895" w:rsidP="00E81B4A">
            <w:pPr>
              <w:jc w:val="center"/>
              <w:rPr>
                <w:rFonts w:ascii="Times New Roman" w:hAnsi="Times New Roman"/>
                <w:b w:val="0"/>
                <w:color w:val="000000" w:themeColor="text1"/>
              </w:rPr>
            </w:pPr>
            <w:r w:rsidRPr="00D36C56">
              <w:rPr>
                <w:rFonts w:ascii="Times New Roman" w:hAnsi="Times New Roman"/>
                <w:b w:val="0"/>
                <w:color w:val="000000" w:themeColor="text1"/>
              </w:rPr>
              <w:t>Shale</w:t>
            </w:r>
          </w:p>
        </w:tc>
        <w:tc>
          <w:tcPr>
            <w:tcW w:w="4243" w:type="dxa"/>
            <w:tcBorders>
              <w:top w:val="single" w:sz="4" w:space="0" w:color="auto"/>
              <w:right w:val="single" w:sz="4" w:space="0" w:color="auto"/>
            </w:tcBorders>
            <w:shd w:val="clear" w:color="auto" w:fill="auto"/>
            <w:vAlign w:val="center"/>
          </w:tcPr>
          <w:p w14:paraId="683F2C36" w14:textId="77777777" w:rsidR="00835895" w:rsidRPr="00E73B83" w:rsidRDefault="00835895" w:rsidP="00E81B4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E73B83">
              <w:rPr>
                <w:rFonts w:ascii="Times New Roman" w:hAnsi="Times New Roman"/>
                <w:color w:val="000000" w:themeColor="text1"/>
              </w:rPr>
              <w:t>4000-30,000</w:t>
            </w:r>
          </w:p>
        </w:tc>
      </w:tr>
      <w:tr w:rsidR="00835895" w:rsidRPr="00E73B83" w14:paraId="615F6828" w14:textId="77777777" w:rsidTr="00D36C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3" w:type="dxa"/>
            <w:tcBorders>
              <w:left w:val="single" w:sz="4" w:space="0" w:color="auto"/>
            </w:tcBorders>
            <w:shd w:val="clear" w:color="auto" w:fill="auto"/>
            <w:vAlign w:val="center"/>
          </w:tcPr>
          <w:p w14:paraId="614FF3BF" w14:textId="77777777" w:rsidR="00835895" w:rsidRPr="00D36C56" w:rsidRDefault="00835895" w:rsidP="00E81B4A">
            <w:pPr>
              <w:jc w:val="center"/>
              <w:rPr>
                <w:rFonts w:ascii="Times New Roman" w:hAnsi="Times New Roman"/>
                <w:b w:val="0"/>
                <w:color w:val="000000" w:themeColor="text1"/>
              </w:rPr>
            </w:pPr>
            <w:r w:rsidRPr="00D36C56">
              <w:rPr>
                <w:rFonts w:ascii="Times New Roman" w:hAnsi="Times New Roman"/>
                <w:b w:val="0"/>
                <w:color w:val="000000" w:themeColor="text1"/>
              </w:rPr>
              <w:t>Carbonate</w:t>
            </w:r>
          </w:p>
        </w:tc>
        <w:tc>
          <w:tcPr>
            <w:tcW w:w="4243" w:type="dxa"/>
            <w:tcBorders>
              <w:right w:val="single" w:sz="4" w:space="0" w:color="auto"/>
            </w:tcBorders>
            <w:shd w:val="clear" w:color="auto" w:fill="auto"/>
            <w:vAlign w:val="center"/>
          </w:tcPr>
          <w:p w14:paraId="5346E22B" w14:textId="77777777" w:rsidR="00835895" w:rsidRPr="00E73B83" w:rsidRDefault="00835895" w:rsidP="00E81B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E73B83">
              <w:rPr>
                <w:rFonts w:ascii="Times New Roman" w:hAnsi="Times New Roman"/>
                <w:color w:val="000000" w:themeColor="text1"/>
              </w:rPr>
              <w:t>2000</w:t>
            </w:r>
          </w:p>
        </w:tc>
      </w:tr>
      <w:tr w:rsidR="00835895" w:rsidRPr="00E73B83" w14:paraId="634BAE34" w14:textId="77777777" w:rsidTr="00D36C56">
        <w:trPr>
          <w:jc w:val="center"/>
        </w:trPr>
        <w:tc>
          <w:tcPr>
            <w:cnfStyle w:val="001000000000" w:firstRow="0" w:lastRow="0" w:firstColumn="1" w:lastColumn="0" w:oddVBand="0" w:evenVBand="0" w:oddHBand="0" w:evenHBand="0" w:firstRowFirstColumn="0" w:firstRowLastColumn="0" w:lastRowFirstColumn="0" w:lastRowLastColumn="0"/>
            <w:tcW w:w="4253" w:type="dxa"/>
            <w:tcBorders>
              <w:left w:val="single" w:sz="4" w:space="0" w:color="auto"/>
              <w:bottom w:val="single" w:sz="4" w:space="0" w:color="auto"/>
            </w:tcBorders>
            <w:shd w:val="clear" w:color="auto" w:fill="auto"/>
            <w:vAlign w:val="center"/>
          </w:tcPr>
          <w:p w14:paraId="242BACE3" w14:textId="77777777" w:rsidR="00835895" w:rsidRPr="00D36C56" w:rsidRDefault="00835895" w:rsidP="00E81B4A">
            <w:pPr>
              <w:jc w:val="center"/>
              <w:rPr>
                <w:rFonts w:ascii="Times New Roman" w:hAnsi="Times New Roman"/>
                <w:b w:val="0"/>
                <w:color w:val="000000" w:themeColor="text1"/>
              </w:rPr>
            </w:pPr>
            <w:r w:rsidRPr="00D36C56">
              <w:rPr>
                <w:rFonts w:ascii="Times New Roman" w:hAnsi="Times New Roman"/>
                <w:b w:val="0"/>
                <w:color w:val="000000" w:themeColor="text1"/>
              </w:rPr>
              <w:t>Sandstone</w:t>
            </w:r>
          </w:p>
        </w:tc>
        <w:tc>
          <w:tcPr>
            <w:tcW w:w="4243" w:type="dxa"/>
            <w:tcBorders>
              <w:bottom w:val="single" w:sz="4" w:space="0" w:color="auto"/>
              <w:right w:val="single" w:sz="4" w:space="0" w:color="auto"/>
            </w:tcBorders>
            <w:shd w:val="clear" w:color="auto" w:fill="auto"/>
            <w:vAlign w:val="center"/>
          </w:tcPr>
          <w:p w14:paraId="3A943896" w14:textId="77777777" w:rsidR="00835895" w:rsidRPr="00E73B83" w:rsidRDefault="00835895" w:rsidP="00E81B4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E73B83">
              <w:rPr>
                <w:rFonts w:ascii="Times New Roman" w:hAnsi="Times New Roman"/>
                <w:color w:val="000000" w:themeColor="text1"/>
              </w:rPr>
              <w:t>386</w:t>
            </w:r>
          </w:p>
        </w:tc>
      </w:tr>
    </w:tbl>
    <w:p w14:paraId="6966E751" w14:textId="77777777" w:rsidR="00835895" w:rsidRPr="00E73B83" w:rsidRDefault="00835895" w:rsidP="00835895">
      <w:pPr>
        <w:pStyle w:val="para1"/>
        <w:rPr>
          <w:color w:val="000000" w:themeColor="text1"/>
        </w:rPr>
      </w:pPr>
    </w:p>
    <w:p w14:paraId="2BC4F3E1" w14:textId="77777777" w:rsidR="00E62794" w:rsidRDefault="00E62794" w:rsidP="00D36C56"/>
    <w:p w14:paraId="3DCCD654" w14:textId="3987E468" w:rsidR="00835895" w:rsidRPr="00E73B83" w:rsidRDefault="00835895" w:rsidP="00D36C56">
      <w:r w:rsidRPr="00E73B83">
        <w:t>There is limited research work focusing on radon production from hydraulic fractured shale gas wells. Resnikoff (2011) simulated radon transport and production from shale gas reservoirs. Results showed that the radon concentration at wellhead ranged from 36.9</w:t>
      </w:r>
      <w:r>
        <w:t xml:space="preserve"> </w:t>
      </w:r>
      <w:r w:rsidRPr="00121F88">
        <w:rPr>
          <w:i/>
        </w:rPr>
        <w:t>pCi/L</w:t>
      </w:r>
      <w:r w:rsidRPr="00E73B83">
        <w:t xml:space="preserve"> to 2576</w:t>
      </w:r>
      <w:r>
        <w:t xml:space="preserve"> </w:t>
      </w:r>
      <w:r w:rsidRPr="00121F88">
        <w:rPr>
          <w:i/>
        </w:rPr>
        <w:t>pCi/L</w:t>
      </w:r>
      <w:r w:rsidRPr="00E73B83">
        <w:t xml:space="preserve">. However, his model did not consider the impact of hydraulic fracture, which increases the surface area for shale gas as well as radon to release and creates a “highway” for them to transport to the surface. In addition, </w:t>
      </w:r>
      <w:r w:rsidR="00304B8E">
        <w:t>no</w:t>
      </w:r>
      <w:r w:rsidRPr="00E73B83">
        <w:t xml:space="preserve"> other work </w:t>
      </w:r>
      <w:r w:rsidR="00304B8E">
        <w:t>was found discussing</w:t>
      </w:r>
      <w:r w:rsidRPr="00E73B83">
        <w:t xml:space="preserve"> the relation between shale gas production/operation protocols and radon wellhead concentration. </w:t>
      </w:r>
    </w:p>
    <w:p w14:paraId="76473B50" w14:textId="61C306A4" w:rsidR="00835895" w:rsidRPr="00E73B83" w:rsidRDefault="0011235F" w:rsidP="00D36C56">
      <w:r>
        <w:t>T</w:t>
      </w:r>
      <w:r w:rsidR="00835895" w:rsidRPr="00E73B83">
        <w:t xml:space="preserve">his </w:t>
      </w:r>
      <w:r w:rsidR="00835895">
        <w:t>chapter</w:t>
      </w:r>
      <w:r w:rsidR="00835895" w:rsidRPr="00E73B83">
        <w:t xml:space="preserve">, </w:t>
      </w:r>
      <w:r w:rsidR="00A07F10">
        <w:t xml:space="preserve">with a focus on Marcellus shale reservoir, </w:t>
      </w:r>
      <w:r w:rsidR="00835895" w:rsidRPr="00E73B83">
        <w:t>quantitatively evaluate</w:t>
      </w:r>
      <w:r>
        <w:t>s</w:t>
      </w:r>
      <w:r w:rsidR="00835895" w:rsidRPr="00E73B83">
        <w:t xml:space="preserve"> radon concentration at wellhead through synthetic simulation by coupling radon generation, recoil, decay and transport in the subsurface. A quadrant of single hydraulic fracture with its stimulated reservoir was modeled. Natural fractures were also included to examine its effect on radon concentration at wellhead. </w:t>
      </w:r>
      <w:r>
        <w:t>This chapter</w:t>
      </w:r>
      <w:r w:rsidR="00835895">
        <w:t xml:space="preserve"> also include</w:t>
      </w:r>
      <w:r>
        <w:t>s</w:t>
      </w:r>
      <w:r w:rsidR="00835895">
        <w:t xml:space="preserve"> the investigation of pore shape and pore size distribution. </w:t>
      </w:r>
      <w:r>
        <w:t>The</w:t>
      </w:r>
      <w:r w:rsidR="00835895" w:rsidRPr="00E73B83">
        <w:t xml:space="preserve"> primary results show that radon concentration at wellhead is noteworthy. Afterwards, a sensitivity analysis was </w:t>
      </w:r>
      <w:r w:rsidR="00835895" w:rsidRPr="00E73B83">
        <w:lastRenderedPageBreak/>
        <w:t xml:space="preserve">conducted by changing input parameters one by one within their practical range. The results provide a better understanding about the parameters that could affect the radon wellhead concentration and suggest feasible actions to control environmental damage from shale gas production. </w:t>
      </w:r>
    </w:p>
    <w:p w14:paraId="25BB745C" w14:textId="77777777" w:rsidR="00D11A67" w:rsidRPr="00D11A67" w:rsidRDefault="00D11A67" w:rsidP="00D11A67"/>
    <w:p w14:paraId="236BB07C" w14:textId="77777777" w:rsidR="00645948" w:rsidRDefault="00A07F10" w:rsidP="00645948">
      <w:pPr>
        <w:pStyle w:val="Heading2"/>
      </w:pPr>
      <w:bookmarkStart w:id="212" w:name="_Toc494014232"/>
      <w:r>
        <w:t>Marcellus Shale</w:t>
      </w:r>
      <w:bookmarkEnd w:id="212"/>
    </w:p>
    <w:p w14:paraId="755E4E53" w14:textId="77777777" w:rsidR="00A07F10" w:rsidRDefault="00A07F10" w:rsidP="00A07F10">
      <w:r>
        <w:t xml:space="preserve">Marcellus shale in the Appalachian basin is a middle Devonian-age shale and lies between limestone and shale (Hamilton Group) </w:t>
      </w:r>
      <w:r w:rsidR="00E62794">
        <w:t>(DOE 2009)</w:t>
      </w:r>
      <w:r>
        <w:t xml:space="preserve">. Pennsylvania has become the second largest shale gas producing state because of the Marcellus shale production </w:t>
      </w:r>
      <w:r w:rsidR="00E62794">
        <w:t>(EIA 2013)</w:t>
      </w:r>
      <w:r>
        <w:t>.</w:t>
      </w:r>
      <w:r w:rsidRPr="00DC01DB">
        <w:t xml:space="preserve"> </w:t>
      </w:r>
      <w:r>
        <w:t xml:space="preserve">In order to economically produce natural gas from extremely low permeable shale formation, operators rely on hydraulic fracturing to increase the reservoir contact area, creating high permeable conduits for natural gas to flow </w:t>
      </w:r>
      <w:r w:rsidR="00E62794">
        <w:t>(Montgomery and Smith 2010)</w:t>
      </w:r>
      <w:r>
        <w:t xml:space="preserve">.  </w:t>
      </w:r>
    </w:p>
    <w:p w14:paraId="3DEFB8B8" w14:textId="77777777" w:rsidR="00917439" w:rsidRDefault="00917439" w:rsidP="00917439">
      <w:pPr>
        <w:pStyle w:val="Heading3"/>
      </w:pPr>
      <w:bookmarkStart w:id="213" w:name="_Ref492050027"/>
      <w:bookmarkStart w:id="214" w:name="_Toc494014233"/>
      <w:r>
        <w:t>Porous Media</w:t>
      </w:r>
      <w:bookmarkEnd w:id="213"/>
      <w:bookmarkEnd w:id="214"/>
    </w:p>
    <w:p w14:paraId="308E3A58" w14:textId="2E7E6DFC" w:rsidR="00917439" w:rsidRDefault="00917439" w:rsidP="00D36C56">
      <w:r w:rsidRPr="00E73B83">
        <w:t xml:space="preserve">Understanding the characteristics of shale gas porous media is essential to estimate the radon in-situ concentration and predict its wellhead concentration later on. </w:t>
      </w:r>
      <w:r w:rsidR="00D36C56">
        <w:t xml:space="preserve">Shale pores are divided into two types: organic pores and inorganic pores. </w:t>
      </w:r>
      <w:r w:rsidR="00387366">
        <w:t>(</w:t>
      </w:r>
      <w:r w:rsidR="00D36C56">
        <w:t xml:space="preserve">Organic pores are expected to contain hydrocarbons while inorganic pores contain </w:t>
      </w:r>
      <w:r w:rsidR="00D36C56" w:rsidRPr="00287EC8">
        <w:rPr>
          <w:color w:val="000000" w:themeColor="text1"/>
        </w:rPr>
        <w:t>water</w:t>
      </w:r>
      <w:r w:rsidR="009B713B">
        <w:rPr>
          <w:color w:val="000000" w:themeColor="text1"/>
        </w:rPr>
        <w:t xml:space="preserve"> (Wang et al. 2014))</w:t>
      </w:r>
      <w:r w:rsidR="00D36C56" w:rsidRPr="00287EC8">
        <w:rPr>
          <w:color w:val="000000" w:themeColor="text1"/>
        </w:rPr>
        <w:t>.</w:t>
      </w:r>
      <w:r w:rsidR="002C4907">
        <w:rPr>
          <w:color w:val="000000" w:themeColor="text1"/>
        </w:rPr>
        <w:t xml:space="preserve"> Water plays an important role in</w:t>
      </w:r>
      <w:r w:rsidR="00D36C56" w:rsidRPr="00287EC8">
        <w:rPr>
          <w:color w:val="000000" w:themeColor="text1"/>
        </w:rPr>
        <w:t xml:space="preserve"> radon generation because</w:t>
      </w:r>
      <w:r w:rsidR="00741A40">
        <w:rPr>
          <w:color w:val="000000" w:themeColor="text1"/>
        </w:rPr>
        <w:t xml:space="preserve"> water can more effectively trap ejected radon in pores than gas</w:t>
      </w:r>
      <w:r w:rsidR="002C4907">
        <w:rPr>
          <w:color w:val="000000" w:themeColor="text1"/>
        </w:rPr>
        <w:t xml:space="preserve">. </w:t>
      </w:r>
      <w:r w:rsidR="0011235F">
        <w:rPr>
          <w:color w:val="000000" w:themeColor="text1"/>
        </w:rPr>
        <w:t>The</w:t>
      </w:r>
      <w:r w:rsidR="0011235F">
        <w:t xml:space="preserve"> reservoir model </w:t>
      </w:r>
      <w:r w:rsidR="00D36C56">
        <w:t>assume</w:t>
      </w:r>
      <w:r w:rsidR="0011235F">
        <w:t>s</w:t>
      </w:r>
      <w:r w:rsidR="00D36C56">
        <w:t xml:space="preserve"> that water fills the pores from smaller size to larger size, which is also known as the blocked configuration </w:t>
      </w:r>
      <w:r w:rsidR="001F2CF3">
        <w:t>(Nielson et al. 1984)</w:t>
      </w:r>
      <w:r w:rsidR="00D36C56">
        <w:t xml:space="preserve"> (</w:t>
      </w:r>
      <w:r w:rsidR="00D36C56">
        <w:fldChar w:fldCharType="begin"/>
      </w:r>
      <w:r w:rsidR="00D36C56">
        <w:instrText xml:space="preserve"> REF _Ref442780619 \h </w:instrText>
      </w:r>
      <w:r w:rsidR="00D36C56">
        <w:fldChar w:fldCharType="separate"/>
      </w:r>
      <w:r w:rsidR="00D36C56" w:rsidRPr="00E73B83">
        <w:t xml:space="preserve">Figure </w:t>
      </w:r>
      <w:r w:rsidR="00D36C56">
        <w:rPr>
          <w:noProof/>
        </w:rPr>
        <w:t>5</w:t>
      </w:r>
      <w:r w:rsidR="00D36C56">
        <w:noBreakHyphen/>
      </w:r>
      <w:r w:rsidR="00D36C56">
        <w:rPr>
          <w:noProof/>
        </w:rPr>
        <w:t>2</w:t>
      </w:r>
      <w:r w:rsidR="00D36C56">
        <w:fldChar w:fldCharType="end"/>
      </w:r>
      <w:r w:rsidR="00D36C56">
        <w:t>)</w:t>
      </w:r>
      <w:r w:rsidR="00D36C56" w:rsidRPr="00E73B83">
        <w:t xml:space="preserve"> </w:t>
      </w:r>
      <w:r w:rsidRPr="00E73B83">
        <w:t>(Passey et a</w:t>
      </w:r>
      <w:r w:rsidR="00D36C56">
        <w:t>l. 2010)</w:t>
      </w:r>
      <w:r w:rsidRPr="00E73B83">
        <w:t xml:space="preserve">. Pore sizes in the shale formation vary dramatically and usually people use the pore size distribution to </w:t>
      </w:r>
      <w:r w:rsidRPr="00E73B83">
        <w:lastRenderedPageBreak/>
        <w:t xml:space="preserve">characterize it. For example, a study of pore size distribution in shale gas formation showed that around </w:t>
      </w:r>
      <w:r>
        <w:t>10%</w:t>
      </w:r>
      <w:r w:rsidRPr="00E73B83">
        <w:t xml:space="preserve"> of pore volume (PV) consist</w:t>
      </w:r>
      <w:r>
        <w:t>ed</w:t>
      </w:r>
      <w:r w:rsidRPr="00E73B83">
        <w:t xml:space="preserve"> of pores with diameter less than 1.2 </w:t>
      </w:r>
      <w:r w:rsidRPr="00D364B5">
        <w:rPr>
          <w:i/>
        </w:rPr>
        <w:t>nm</w:t>
      </w:r>
      <w:r>
        <w:t>,</w:t>
      </w:r>
      <w:r w:rsidRPr="00E73B83">
        <w:t xml:space="preserve"> </w:t>
      </w:r>
      <w:r>
        <w:t xml:space="preserve">45% </w:t>
      </w:r>
      <w:r w:rsidRPr="00E73B83">
        <w:t xml:space="preserve">of PV was occupied by pores with diameter between 1.3 </w:t>
      </w:r>
      <w:r w:rsidRPr="00D364B5">
        <w:rPr>
          <w:i/>
        </w:rPr>
        <w:t>nm</w:t>
      </w:r>
      <w:r w:rsidRPr="00E73B83">
        <w:t xml:space="preserve"> and 30</w:t>
      </w:r>
      <w:r>
        <w:t xml:space="preserve"> </w:t>
      </w:r>
      <w:r w:rsidRPr="00D364B5">
        <w:rPr>
          <w:i/>
        </w:rPr>
        <w:t>nm</w:t>
      </w:r>
      <w:r w:rsidRPr="00E73B83">
        <w:t xml:space="preserve"> and the rest </w:t>
      </w:r>
      <w:r>
        <w:t>45%</w:t>
      </w:r>
      <w:r w:rsidRPr="00E73B83">
        <w:t xml:space="preserve"> of PV had pore size larger than 30</w:t>
      </w:r>
      <w:r>
        <w:t xml:space="preserve"> </w:t>
      </w:r>
      <w:r w:rsidRPr="00C434DA">
        <w:rPr>
          <w:i/>
        </w:rPr>
        <w:t>nm</w:t>
      </w:r>
      <w:r w:rsidRPr="00E73B83">
        <w:t xml:space="preserve"> (Mosher et al. 2013). </w:t>
      </w:r>
    </w:p>
    <w:p w14:paraId="5B611117" w14:textId="77777777" w:rsidR="00D36C56" w:rsidRPr="00E73B83" w:rsidRDefault="00D36C56" w:rsidP="00917439"/>
    <w:p w14:paraId="35D9985E" w14:textId="77777777" w:rsidR="00917439" w:rsidRPr="00E73B83" w:rsidRDefault="00917439" w:rsidP="00917439">
      <w:pPr>
        <w:keepNext/>
        <w:ind w:firstLine="288"/>
        <w:rPr>
          <w:noProof/>
          <w:color w:val="000000" w:themeColor="text1"/>
          <w:sz w:val="18"/>
          <w:lang w:eastAsia="zh-CN"/>
        </w:rPr>
      </w:pPr>
    </w:p>
    <w:p w14:paraId="77B70F09" w14:textId="77777777" w:rsidR="00917439" w:rsidRPr="00E73B83" w:rsidRDefault="00917439" w:rsidP="00D36C56">
      <w:pPr>
        <w:pStyle w:val="TableNormal1"/>
      </w:pPr>
      <w:r w:rsidRPr="00E73B83">
        <w:drawing>
          <wp:inline distT="0" distB="0" distL="0" distR="0" wp14:anchorId="0F8CDCB9" wp14:editId="29FC63C6">
            <wp:extent cx="4497699" cy="3260034"/>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18645" t="1305" r="16601" b="15334"/>
                    <a:stretch/>
                  </pic:blipFill>
                  <pic:spPr bwMode="auto">
                    <a:xfrm>
                      <a:off x="0" y="0"/>
                      <a:ext cx="4525208" cy="3279973"/>
                    </a:xfrm>
                    <a:prstGeom prst="rect">
                      <a:avLst/>
                    </a:prstGeom>
                    <a:ln>
                      <a:noFill/>
                    </a:ln>
                    <a:extLst>
                      <a:ext uri="{53640926-AAD7-44D8-BBD7-CCE9431645EC}">
                        <a14:shadowObscured xmlns:a14="http://schemas.microsoft.com/office/drawing/2010/main"/>
                      </a:ext>
                    </a:extLst>
                  </pic:spPr>
                </pic:pic>
              </a:graphicData>
            </a:graphic>
          </wp:inline>
        </w:drawing>
      </w:r>
    </w:p>
    <w:p w14:paraId="44C8B1A6" w14:textId="75AA0E9A" w:rsidR="00917439" w:rsidRPr="00541084" w:rsidRDefault="00917439" w:rsidP="00541084">
      <w:pPr>
        <w:pStyle w:val="Caption"/>
        <w:rPr>
          <w:szCs w:val="22"/>
        </w:rPr>
      </w:pPr>
      <w:bookmarkStart w:id="215" w:name="_Ref442780619"/>
      <w:bookmarkStart w:id="216" w:name="_Toc495144751"/>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2</w:t>
      </w:r>
      <w:r w:rsidR="00280FFF">
        <w:rPr>
          <w:szCs w:val="22"/>
        </w:rPr>
        <w:fldChar w:fldCharType="end"/>
      </w:r>
      <w:bookmarkEnd w:id="215"/>
      <w:r w:rsidRPr="00541084">
        <w:rPr>
          <w:szCs w:val="22"/>
        </w:rPr>
        <w:t>. Gas is stored in spherical pores (the red color) and water is in slit pores (the blue color) (Passey et al. 2010).</w:t>
      </w:r>
      <w:bookmarkEnd w:id="216"/>
      <w:r w:rsidRPr="00541084">
        <w:rPr>
          <w:szCs w:val="22"/>
        </w:rPr>
        <w:t xml:space="preserve">  </w:t>
      </w:r>
    </w:p>
    <w:p w14:paraId="6253FE00" w14:textId="77777777" w:rsidR="00917439" w:rsidRDefault="00917439" w:rsidP="00917439">
      <w:pPr>
        <w:pStyle w:val="para1"/>
        <w:rPr>
          <w:color w:val="000000" w:themeColor="text1"/>
        </w:rPr>
      </w:pPr>
    </w:p>
    <w:p w14:paraId="4B4437E4" w14:textId="348E0653" w:rsidR="00917439" w:rsidRPr="00E73B83" w:rsidRDefault="00917439" w:rsidP="00917439">
      <w:r w:rsidRPr="00E73B83">
        <w:t xml:space="preserve">Shale formation has natural fractures that provide highly conductive tunnels and contribute to gas production (Gale and Holder 2014).  Hence, </w:t>
      </w:r>
      <w:r w:rsidR="0011235F">
        <w:t xml:space="preserve">the impact of </w:t>
      </w:r>
      <w:r w:rsidRPr="00E73B83">
        <w:t>natural fractures with a width of 50</w:t>
      </w:r>
      <w:r>
        <w:t xml:space="preserve"> </w:t>
      </w:r>
      <w:r w:rsidR="00231A20" w:rsidRPr="00231A20">
        <w:rPr>
          <w:i/>
        </w:rPr>
        <w:t>nm</w:t>
      </w:r>
      <w:r>
        <w:t xml:space="preserve"> </w:t>
      </w:r>
      <w:r w:rsidRPr="00E73B83">
        <w:t>(Gale et al. 2010)</w:t>
      </w:r>
      <w:r w:rsidR="0011235F">
        <w:t xml:space="preserve"> is considered in this study</w:t>
      </w:r>
      <w:r w:rsidRPr="00E73B83">
        <w:t xml:space="preserve">. The natural fractures are assumed to contain both gas and water with an initial water saturation of 0.25. </w:t>
      </w:r>
    </w:p>
    <w:p w14:paraId="13210344" w14:textId="77777777" w:rsidR="00917439" w:rsidRPr="00917439" w:rsidRDefault="00917439" w:rsidP="00917439"/>
    <w:p w14:paraId="74870E95" w14:textId="77777777" w:rsidR="00917439" w:rsidRDefault="00917439" w:rsidP="00917439">
      <w:pPr>
        <w:pStyle w:val="Heading3"/>
      </w:pPr>
      <w:bookmarkStart w:id="217" w:name="_Toc494014234"/>
      <w:r>
        <w:lastRenderedPageBreak/>
        <w:t>Experimental Methods</w:t>
      </w:r>
      <w:bookmarkEnd w:id="217"/>
    </w:p>
    <w:p w14:paraId="7C4763E2" w14:textId="0C90BC09" w:rsidR="00A07F10" w:rsidRDefault="00A07F10" w:rsidP="00A07F10">
      <w:r>
        <w:t xml:space="preserve">The Marcellus shale sample used for this study was obtained from a gas producing well. The sample has a total organic carbon (TOC) of 4.1 </w:t>
      </w:r>
      <w:r w:rsidRPr="00105D0C">
        <w:rPr>
          <w:i/>
        </w:rPr>
        <w:t>wt%</w:t>
      </w:r>
      <w:r>
        <w:t xml:space="preserve"> and clay content of 72 wt%, with illite as the dominant clay. Five grams of the sample were crushed to a particle size less than 150 </w:t>
      </w:r>
      <w:r w:rsidRPr="00105D0C">
        <w:rPr>
          <w:i/>
        </w:rPr>
        <w:t>µm</w:t>
      </w:r>
      <w:r>
        <w:t xml:space="preserve"> (100 mesh). One gram of the </w:t>
      </w:r>
      <w:r w:rsidR="00CD498D">
        <w:t xml:space="preserve">crushed </w:t>
      </w:r>
      <w:r>
        <w:t>homogenized powder was collected and degassed at 373</w:t>
      </w:r>
      <w:r w:rsidRPr="00105D0C">
        <w:rPr>
          <w:i/>
        </w:rPr>
        <w:t>K</w:t>
      </w:r>
      <w:r>
        <w:t xml:space="preserve"> under vacuum for twelve hours, prior </w:t>
      </w:r>
      <w:r w:rsidR="00136C3D">
        <w:t xml:space="preserve">to </w:t>
      </w:r>
      <w:r>
        <w:t xml:space="preserve">the subcritical nitrogen gas adsorption </w:t>
      </w:r>
      <w:r w:rsidRPr="00B35F05">
        <w:t>measurements</w:t>
      </w:r>
      <w:r>
        <w:t>. Nitrogen isotherm adsorption measurements were conducted in subcritical temperature (49.3</w:t>
      </w:r>
      <w:r w:rsidRPr="00105D0C">
        <w:rPr>
          <w:i/>
        </w:rPr>
        <w:t>K</w:t>
      </w:r>
      <w:r>
        <w:t>), to allow the condensation of nitrogen gas onto the pore walls. Pore volume is measured by the number of molecules needed to fill the pore space at different relative pressures.</w:t>
      </w:r>
    </w:p>
    <w:p w14:paraId="59CFDBBF" w14:textId="77777777" w:rsidR="00A07F10" w:rsidRDefault="00A07F10" w:rsidP="00A07F10">
      <w:r>
        <w:t xml:space="preserve">A Density Functional Theory (DFT) statistical model was used to determine the pore size distribution. Unlike other analysis methods, this </w:t>
      </w:r>
      <w:r w:rsidRPr="006D45F2">
        <w:rPr>
          <w:color w:val="0D0D0D" w:themeColor="text1" w:themeTint="F2"/>
        </w:rPr>
        <w:t xml:space="preserve">approach took into account the concentration of </w:t>
      </w:r>
      <w:r>
        <w:rPr>
          <w:color w:val="0D0D0D" w:themeColor="text1" w:themeTint="F2"/>
        </w:rPr>
        <w:t>pores whose siz</w:t>
      </w:r>
      <w:r w:rsidR="004C7A20">
        <w:rPr>
          <w:color w:val="0D0D0D" w:themeColor="text1" w:themeTint="F2"/>
        </w:rPr>
        <w:t>es are in the order nanometers (Lastoskie et al. 1993)</w:t>
      </w:r>
      <w:r w:rsidRPr="006D45F2">
        <w:rPr>
          <w:color w:val="0D0D0D" w:themeColor="text1" w:themeTint="F2"/>
        </w:rPr>
        <w:t>. It assume</w:t>
      </w:r>
      <w:r>
        <w:rPr>
          <w:color w:val="0D0D0D" w:themeColor="text1" w:themeTint="F2"/>
        </w:rPr>
        <w:t>s</w:t>
      </w:r>
      <w:r w:rsidRPr="006D45F2">
        <w:rPr>
          <w:color w:val="0D0D0D" w:themeColor="text1" w:themeTint="F2"/>
        </w:rPr>
        <w:t xml:space="preserve"> that the pores act independently </w:t>
      </w:r>
      <w:r>
        <w:t>and contribute to the total isotherm adsorption in pore size distribution calculations. Lastoski</w:t>
      </w:r>
      <w:r w:rsidR="004C7A20">
        <w:t>e et al. (1993)</w:t>
      </w:r>
      <w:r>
        <w:t xml:space="preserve"> and Adesida et al. </w:t>
      </w:r>
      <w:r w:rsidR="004C7A20">
        <w:t>(2011)</w:t>
      </w:r>
      <w:r>
        <w:t xml:space="preserve"> provided more details of using DFT and the derivation of the pore volume calculation. </w:t>
      </w:r>
    </w:p>
    <w:p w14:paraId="162E17F7" w14:textId="4EB1360D" w:rsidR="00A07F10" w:rsidRDefault="0011235F" w:rsidP="00A07F10">
      <w:r>
        <w:t>S</w:t>
      </w:r>
      <w:r w:rsidR="00A07F10">
        <w:t xml:space="preserve">canning electronic microscopy (SEM) </w:t>
      </w:r>
      <w:r>
        <w:t xml:space="preserve">was also applied </w:t>
      </w:r>
      <w:r w:rsidR="00A07F10">
        <w:t>to observe the pore structure of shale sample. In order to receive a smooth surface, the sample was polished in sequence using 400, 600 and 800 grit abrasives and the surface was broad beam argon ion milled before SEM images were taken.</w:t>
      </w:r>
    </w:p>
    <w:p w14:paraId="015A0F96" w14:textId="77777777" w:rsidR="00D36C56" w:rsidRDefault="00D36C56" w:rsidP="00A07F10"/>
    <w:p w14:paraId="7714B173" w14:textId="77777777" w:rsidR="00917439" w:rsidRDefault="00917439" w:rsidP="00917439">
      <w:pPr>
        <w:pStyle w:val="Heading3"/>
      </w:pPr>
      <w:bookmarkStart w:id="218" w:name="_Toc494014235"/>
      <w:r>
        <w:lastRenderedPageBreak/>
        <w:t>Pore Characterization</w:t>
      </w:r>
      <w:bookmarkEnd w:id="218"/>
    </w:p>
    <w:p w14:paraId="6FE87F50" w14:textId="77777777" w:rsidR="00917439" w:rsidRDefault="00917439" w:rsidP="00917439">
      <w:r>
        <w:t xml:space="preserve">Backscattered SEM images are shown in </w:t>
      </w:r>
      <w:r>
        <w:fldChar w:fldCharType="begin"/>
      </w:r>
      <w:r>
        <w:instrText xml:space="preserve"> REF _Ref464721119 \h  \* MERGEFORMAT </w:instrText>
      </w:r>
      <w:r>
        <w:fldChar w:fldCharType="separate"/>
      </w:r>
      <w:r w:rsidR="00D36C56">
        <w:t xml:space="preserve">Figure </w:t>
      </w:r>
      <w:r w:rsidR="00D36C56">
        <w:rPr>
          <w:noProof/>
        </w:rPr>
        <w:t>5</w:t>
      </w:r>
      <w:r w:rsidR="00D36C56">
        <w:rPr>
          <w:noProof/>
        </w:rPr>
        <w:noBreakHyphen/>
        <w:t>3</w:t>
      </w:r>
      <w:r>
        <w:fldChar w:fldCharType="end"/>
      </w:r>
      <w:r>
        <w:t xml:space="preserve">. Both spherical and slit shape pore exist in the sample. In general, organic pores have spherical shape. On the other hand, the large fractional volume of illite caused the inorganic pores to exhibit slit shape. </w:t>
      </w:r>
    </w:p>
    <w:p w14:paraId="45691314" w14:textId="77777777" w:rsidR="00917439" w:rsidRDefault="00917439" w:rsidP="00917439">
      <w:pPr>
        <w:pStyle w:val="TableNormal1"/>
      </w:pPr>
      <w:r>
        <w:drawing>
          <wp:inline distT="0" distB="0" distL="0" distR="0" wp14:anchorId="528C701B" wp14:editId="70B59917">
            <wp:extent cx="5319423" cy="493839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319969" cy="4938902"/>
                    </a:xfrm>
                    <a:prstGeom prst="rect">
                      <a:avLst/>
                    </a:prstGeom>
                  </pic:spPr>
                </pic:pic>
              </a:graphicData>
            </a:graphic>
          </wp:inline>
        </w:drawing>
      </w:r>
    </w:p>
    <w:p w14:paraId="6B0DB935" w14:textId="06BF77A3" w:rsidR="00917439" w:rsidRPr="00541084" w:rsidRDefault="00917439" w:rsidP="00BF3F9B">
      <w:pPr>
        <w:pStyle w:val="Caption"/>
        <w:rPr>
          <w:szCs w:val="22"/>
        </w:rPr>
      </w:pPr>
      <w:bookmarkStart w:id="219" w:name="_Ref464721119"/>
      <w:bookmarkStart w:id="220" w:name="_Toc495144752"/>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3</w:t>
      </w:r>
      <w:r w:rsidR="00280FFF">
        <w:rPr>
          <w:szCs w:val="22"/>
        </w:rPr>
        <w:fldChar w:fldCharType="end"/>
      </w:r>
      <w:bookmarkEnd w:id="219"/>
      <w:r w:rsidRPr="00541084">
        <w:rPr>
          <w:szCs w:val="22"/>
        </w:rPr>
        <w:t>. Backscattered SEM images for Marcellus shale. (a) Shows organic and inorganic pores at 3 µm. The inorganic pores show slit shape and organic pores shows spherical shape. In (b), the image shows more slits and sheets of illite. Illite is the dominant matrix mineral and is more visible as sheets in (c) and (d), creating inorganic pores around the sample.</w:t>
      </w:r>
      <w:bookmarkEnd w:id="220"/>
    </w:p>
    <w:p w14:paraId="08872962" w14:textId="77777777" w:rsidR="00D36C56" w:rsidRDefault="00D36C56" w:rsidP="00917439"/>
    <w:p w14:paraId="444B4348" w14:textId="77777777" w:rsidR="00D36C56" w:rsidRDefault="00D36C56" w:rsidP="00917439"/>
    <w:p w14:paraId="16610138" w14:textId="77777777" w:rsidR="00D36C56" w:rsidRDefault="00D36C56" w:rsidP="00917439"/>
    <w:p w14:paraId="22786F94" w14:textId="1C9794EA" w:rsidR="00917439" w:rsidRDefault="00917439" w:rsidP="00917439">
      <w:r>
        <w:t xml:space="preserve">Since both geometries are observed in SEM images, two distinct pore size distributions are obtained using DFT based on slit and spherical pore shapes respectively. For </w:t>
      </w:r>
      <w:r w:rsidR="00136C3D">
        <w:t>simplicity</w:t>
      </w:r>
      <w:r>
        <w:t xml:space="preserve">, in each calculation, </w:t>
      </w:r>
      <w:r w:rsidR="0011235F">
        <w:t>a</w:t>
      </w:r>
      <w:r>
        <w:t xml:space="preserve">ll the pores are </w:t>
      </w:r>
      <w:r w:rsidR="0011235F">
        <w:t xml:space="preserve">assumed </w:t>
      </w:r>
      <w:r>
        <w:t xml:space="preserve">either slit or spherical shape. As shown in </w:t>
      </w:r>
      <w:r w:rsidRPr="00C1087D">
        <w:rPr>
          <w:color w:val="000000" w:themeColor="text1"/>
        </w:rPr>
        <w:fldChar w:fldCharType="begin"/>
      </w:r>
      <w:r w:rsidRPr="00C1087D">
        <w:rPr>
          <w:color w:val="000000" w:themeColor="text1"/>
        </w:rPr>
        <w:instrText xml:space="preserve"> REF _Ref464721209 \h </w:instrText>
      </w:r>
      <w:r>
        <w:rPr>
          <w:color w:val="000000" w:themeColor="text1"/>
        </w:rPr>
        <w:instrText xml:space="preserve"> \* MERGEFORMAT </w:instrText>
      </w:r>
      <w:r w:rsidRPr="00C1087D">
        <w:rPr>
          <w:color w:val="000000" w:themeColor="text1"/>
        </w:rPr>
      </w:r>
      <w:r w:rsidRPr="00C1087D">
        <w:rPr>
          <w:color w:val="000000" w:themeColor="text1"/>
        </w:rPr>
        <w:fldChar w:fldCharType="separate"/>
      </w:r>
      <w:r w:rsidR="00C20141">
        <w:t xml:space="preserve">Figure </w:t>
      </w:r>
      <w:r w:rsidR="00C20141">
        <w:rPr>
          <w:noProof/>
        </w:rPr>
        <w:t>5</w:t>
      </w:r>
      <w:r w:rsidR="00C20141">
        <w:rPr>
          <w:noProof/>
        </w:rPr>
        <w:noBreakHyphen/>
        <w:t>4</w:t>
      </w:r>
      <w:r w:rsidRPr="00C1087D">
        <w:rPr>
          <w:color w:val="000000" w:themeColor="text1"/>
        </w:rPr>
        <w:fldChar w:fldCharType="end"/>
      </w:r>
      <w:r>
        <w:rPr>
          <w:color w:val="000000" w:themeColor="text1"/>
        </w:rPr>
        <w:t>,</w:t>
      </w:r>
      <w:r>
        <w:t xml:space="preserve"> the solid line represents pore size distribution for slit shape model, and the dashed line stands for the spherical shape pores. For the slit shape pores (Case A), the pore size is related to the pore width, the s</w:t>
      </w:r>
      <w:r w:rsidR="004C7A20">
        <w:t>eparation between grain plates (Newman and Thomasson 1979)</w:t>
      </w:r>
      <w:r>
        <w:t>. In this case, it is noticed that the majority of pore volume consisted of pores with a size about 10</w:t>
      </w:r>
      <w:r w:rsidRPr="001214B7">
        <w:rPr>
          <w:i/>
        </w:rPr>
        <w:t>nm</w:t>
      </w:r>
      <w:r>
        <w:rPr>
          <w:i/>
        </w:rPr>
        <w:t xml:space="preserve">. </w:t>
      </w:r>
      <w:r>
        <w:t>The overall pore size ranges from 2~200</w:t>
      </w:r>
      <w:r w:rsidRPr="00AC4517">
        <w:rPr>
          <w:i/>
        </w:rPr>
        <w:t>nm</w:t>
      </w:r>
      <w:r>
        <w:t xml:space="preserve">. On the other hand, the pore size for spherical pores (Case B) is related to the pore radius. Its distribution is generally shifted to the larger size compared with distribution of slit model. </w:t>
      </w:r>
    </w:p>
    <w:p w14:paraId="015D3705" w14:textId="77777777" w:rsidR="00917439" w:rsidRDefault="00917439" w:rsidP="00917439"/>
    <w:p w14:paraId="70145B68" w14:textId="77777777" w:rsidR="00917439" w:rsidRDefault="00917439" w:rsidP="00917439">
      <w:pPr>
        <w:pStyle w:val="TableNormal1"/>
      </w:pPr>
      <w:r>
        <w:lastRenderedPageBreak/>
        <w:drawing>
          <wp:inline distT="0" distB="0" distL="0" distR="0" wp14:anchorId="01BF0D08" wp14:editId="1963A12F">
            <wp:extent cx="5486400" cy="3911959"/>
            <wp:effectExtent l="0" t="0" r="0" b="0"/>
            <wp:docPr id="235" name="Chart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803A582" w14:textId="72ADF552" w:rsidR="00917439" w:rsidRPr="00541084" w:rsidRDefault="00917439" w:rsidP="00BF3F9B">
      <w:pPr>
        <w:pStyle w:val="Caption"/>
        <w:rPr>
          <w:szCs w:val="22"/>
        </w:rPr>
      </w:pPr>
      <w:bookmarkStart w:id="221" w:name="_Ref464721209"/>
      <w:bookmarkStart w:id="222" w:name="_Toc495144753"/>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4</w:t>
      </w:r>
      <w:r w:rsidR="00280FFF">
        <w:rPr>
          <w:szCs w:val="22"/>
        </w:rPr>
        <w:fldChar w:fldCharType="end"/>
      </w:r>
      <w:bookmarkEnd w:id="221"/>
      <w:r w:rsidRPr="00541084">
        <w:rPr>
          <w:szCs w:val="22"/>
        </w:rPr>
        <w:t>. Pore size distribution for Marcellus shale. Case A and Case B ar</w:t>
      </w:r>
      <w:r w:rsidR="00304B8E">
        <w:rPr>
          <w:szCs w:val="22"/>
        </w:rPr>
        <w:t>e calculated through DFT using the</w:t>
      </w:r>
      <w:r w:rsidRPr="00541084">
        <w:rPr>
          <w:szCs w:val="22"/>
        </w:rPr>
        <w:t xml:space="preserve"> adsorption measurements. Case C is obtained from liter</w:t>
      </w:r>
      <w:r w:rsidR="001F2CF3" w:rsidRPr="00541084">
        <w:rPr>
          <w:szCs w:val="22"/>
        </w:rPr>
        <w:t>ature (Chalmers et al. 2012)</w:t>
      </w:r>
      <w:r w:rsidRPr="00541084">
        <w:rPr>
          <w:szCs w:val="22"/>
        </w:rPr>
        <w:t>.</w:t>
      </w:r>
      <w:bookmarkEnd w:id="222"/>
    </w:p>
    <w:p w14:paraId="1EF153DB" w14:textId="77777777" w:rsidR="00C20141" w:rsidRDefault="00C20141" w:rsidP="00917439"/>
    <w:p w14:paraId="2B2AB40E" w14:textId="1D25F1A0" w:rsidR="00917439" w:rsidRDefault="00917439" w:rsidP="00917439">
      <w:r>
        <w:t xml:space="preserve">Pore size distribution may vary from location to location within </w:t>
      </w:r>
      <w:r w:rsidR="00136C3D">
        <w:t xml:space="preserve">the </w:t>
      </w:r>
      <w:r>
        <w:t xml:space="preserve">same formation. Case C in </w:t>
      </w:r>
      <w:r>
        <w:fldChar w:fldCharType="begin"/>
      </w:r>
      <w:r>
        <w:instrText xml:space="preserve"> REF _Ref464721209 \h  \* MERGEFORMAT </w:instrText>
      </w:r>
      <w:r>
        <w:fldChar w:fldCharType="separate"/>
      </w:r>
      <w:r w:rsidR="00C20141">
        <w:t xml:space="preserve">Figure </w:t>
      </w:r>
      <w:r w:rsidR="00C20141">
        <w:rPr>
          <w:noProof/>
        </w:rPr>
        <w:t>5</w:t>
      </w:r>
      <w:r w:rsidR="00C20141">
        <w:rPr>
          <w:noProof/>
        </w:rPr>
        <w:noBreakHyphen/>
        <w:t>4</w:t>
      </w:r>
      <w:r>
        <w:fldChar w:fldCharType="end"/>
      </w:r>
      <w:r>
        <w:t xml:space="preserve"> shows a distinct pore size distribution for Marcellus shale with the assumption of slit pore shape </w:t>
      </w:r>
      <w:r w:rsidR="004C7A20">
        <w:t>(Chalmers et al. 2012)</w:t>
      </w:r>
      <w:r>
        <w:t>. Although it assumes the same pore shape with Case A and both cases are from Marcellus shale, the distribution is obviously different. Most pores in Case C have the pore size of 3</w:t>
      </w:r>
      <w:r w:rsidRPr="00626419">
        <w:rPr>
          <w:i/>
        </w:rPr>
        <w:t>nm</w:t>
      </w:r>
      <w:r>
        <w:t xml:space="preserve">, which is smaller than Case A, and Case C has a wider range of pore size. Case C </w:t>
      </w:r>
      <w:r w:rsidR="0011235F">
        <w:t xml:space="preserve">was selected </w:t>
      </w:r>
      <w:r>
        <w:t xml:space="preserve">to study the impact of pore size distribution by comparing with Case A in the following sections. </w:t>
      </w:r>
    </w:p>
    <w:p w14:paraId="204A391B" w14:textId="77777777" w:rsidR="00C20141" w:rsidRDefault="00C20141" w:rsidP="00917439"/>
    <w:p w14:paraId="5A7D873D" w14:textId="77777777" w:rsidR="00917439" w:rsidRDefault="00917439" w:rsidP="00917439">
      <w:pPr>
        <w:pStyle w:val="Heading2"/>
      </w:pPr>
      <w:bookmarkStart w:id="223" w:name="_Toc494014236"/>
      <w:r>
        <w:lastRenderedPageBreak/>
        <w:t>Radon Generation in Pore Space</w:t>
      </w:r>
      <w:bookmarkEnd w:id="223"/>
    </w:p>
    <w:p w14:paraId="1CBA2579" w14:textId="77777777" w:rsidR="00231A20" w:rsidRDefault="00891B40" w:rsidP="00891B40">
      <w:pPr>
        <w:pStyle w:val="Heading3"/>
      </w:pPr>
      <w:bookmarkStart w:id="224" w:name="_Toc494014237"/>
      <w:r>
        <w:t>Recoil Range</w:t>
      </w:r>
      <w:bookmarkEnd w:id="224"/>
    </w:p>
    <w:p w14:paraId="2C3C6588" w14:textId="70EAA5B2" w:rsidR="00891B40" w:rsidRDefault="00891B40" w:rsidP="00891B40">
      <w:r>
        <w:t>The radon atoms acquire kinetic energy after the alpha decay of radium. This energy defines a finite dista</w:t>
      </w:r>
      <w:r w:rsidR="002B0D7E">
        <w:t>nce, known as the recoil range (Hecter 2005)</w:t>
      </w:r>
      <w:r>
        <w:t xml:space="preserve">. The kinetic energy allows the radon atoms to travel inside materials. Once the atoms lose all the energy, they stop moving. This process is known as alpha recoil. The distance traveled is material dependent.  Usually, solid materials like rock grain require more energy than air to travel </w:t>
      </w:r>
      <w:r w:rsidR="00136C3D">
        <w:t xml:space="preserve">the same </w:t>
      </w:r>
      <w:r>
        <w:t xml:space="preserve">distance. In other words, radon recoil range is shorter in the material with </w:t>
      </w:r>
      <w:r w:rsidR="00136C3D">
        <w:t xml:space="preserve">a </w:t>
      </w:r>
      <w:r>
        <w:t>higher density. Typically, recoil range in rock, water and gas is 36</w:t>
      </w:r>
      <w:r w:rsidRPr="00F67FF8">
        <w:rPr>
          <w:i/>
        </w:rPr>
        <w:t>nm</w:t>
      </w:r>
      <w:r>
        <w:t>, 100</w:t>
      </w:r>
      <w:r w:rsidRPr="00F67FF8">
        <w:rPr>
          <w:i/>
        </w:rPr>
        <w:t>nm</w:t>
      </w:r>
      <w:r>
        <w:t xml:space="preserve"> and 60,000</w:t>
      </w:r>
      <w:r w:rsidRPr="00F67FF8">
        <w:rPr>
          <w:i/>
        </w:rPr>
        <w:t>nm</w:t>
      </w:r>
      <w:r>
        <w:t xml:space="preserve">, respectively </w:t>
      </w:r>
      <w:r w:rsidR="002B0D7E">
        <w:t>(Hecter 2005)</w:t>
      </w:r>
      <w:r>
        <w:t>.</w:t>
      </w:r>
    </w:p>
    <w:p w14:paraId="240FCC54" w14:textId="77777777" w:rsidR="00C20141" w:rsidRDefault="00C20141" w:rsidP="00891B40"/>
    <w:p w14:paraId="0D1E75A8" w14:textId="77777777" w:rsidR="00891B40" w:rsidRDefault="00891B40" w:rsidP="00891B40">
      <w:pPr>
        <w:pStyle w:val="Heading3"/>
      </w:pPr>
      <w:bookmarkStart w:id="225" w:name="_Ref492209914"/>
      <w:bookmarkStart w:id="226" w:name="_Toc494014238"/>
      <w:r>
        <w:t>Slit Shape Pores</w:t>
      </w:r>
      <w:bookmarkEnd w:id="225"/>
      <w:bookmarkEnd w:id="226"/>
    </w:p>
    <w:p w14:paraId="649457EA" w14:textId="77777777" w:rsidR="00891B40" w:rsidRPr="00891B40" w:rsidRDefault="00891B40" w:rsidP="00891B40">
      <w:pPr>
        <w:pStyle w:val="Heading4"/>
      </w:pPr>
      <w:r>
        <w:t>Emanation from Grains to Pores</w:t>
      </w:r>
    </w:p>
    <w:p w14:paraId="29FD9A74" w14:textId="77777777" w:rsidR="00231A20" w:rsidRDefault="00231A20" w:rsidP="00C20141">
      <w:pPr>
        <w:rPr>
          <w:bCs/>
        </w:rPr>
      </w:pPr>
      <w:r w:rsidRPr="00E73B83">
        <w:t>Radon emanation is the process of radon transferring from mineral grains into pore spaces and this process is mainly controlled by direct recoil after alpha decay of radium (Barillon et al. 2005). Radon diffusivity in rock materials at 300</w:t>
      </w:r>
      <w:r>
        <w:t xml:space="preserve"> </w:t>
      </w:r>
      <w:r w:rsidRPr="00CE7BCF">
        <w:rPr>
          <w:i/>
        </w:rPr>
        <w:t>K</w:t>
      </w:r>
      <w:r w:rsidRPr="00E73B83">
        <w:t xml:space="preserve"> ranges from</w:t>
      </w:r>
      <w:r>
        <w:t xml:space="preserve"> 10</w:t>
      </w:r>
      <w:r w:rsidRPr="00164CFA">
        <w:rPr>
          <w:vertAlign w:val="superscript"/>
        </w:rPr>
        <w:t>-31</w:t>
      </w:r>
      <w:r>
        <w:t xml:space="preserve"> </w:t>
      </w:r>
      <w:r w:rsidRPr="00164CFA">
        <w:rPr>
          <w:i/>
        </w:rPr>
        <w:t>m</w:t>
      </w:r>
      <w:r w:rsidRPr="00164CFA">
        <w:rPr>
          <w:i/>
          <w:vertAlign w:val="superscript"/>
        </w:rPr>
        <w:t>2</w:t>
      </w:r>
      <w:r w:rsidRPr="00164CFA">
        <w:rPr>
          <w:i/>
        </w:rPr>
        <w:t>/s</w:t>
      </w:r>
      <w:r w:rsidRPr="00E73B83">
        <w:t xml:space="preserve"> to</w:t>
      </w:r>
      <w:r>
        <w:t xml:space="preserve"> 10</w:t>
      </w:r>
      <w:r w:rsidRPr="00164CFA">
        <w:rPr>
          <w:vertAlign w:val="superscript"/>
        </w:rPr>
        <w:t>-</w:t>
      </w:r>
      <w:r>
        <w:rPr>
          <w:vertAlign w:val="superscript"/>
        </w:rPr>
        <w:t>69</w:t>
      </w:r>
      <w:r>
        <w:t xml:space="preserve"> </w:t>
      </w:r>
      <w:r w:rsidRPr="00164CFA">
        <w:rPr>
          <w:i/>
        </w:rPr>
        <w:t>m</w:t>
      </w:r>
      <w:r w:rsidRPr="00164CFA">
        <w:rPr>
          <w:i/>
          <w:vertAlign w:val="superscript"/>
        </w:rPr>
        <w:t>2</w:t>
      </w:r>
      <w:r w:rsidRPr="00164CFA">
        <w:rPr>
          <w:i/>
        </w:rPr>
        <w:t>/s</w:t>
      </w:r>
      <w:r w:rsidRPr="00E73B83">
        <w:t xml:space="preserve"> (Amirkhanoff et al. 1961). Given that the radon’s half-life is 3.8 </w:t>
      </w:r>
      <w:r w:rsidRPr="00CE7BCF">
        <w:rPr>
          <w:i/>
        </w:rPr>
        <w:t>days</w:t>
      </w:r>
      <w:r w:rsidRPr="00E73B83">
        <w:t>, diffusion contribution to radon emanation is negligible.</w:t>
      </w:r>
      <w:r>
        <w:t xml:space="preserve"> Therefore, direct recoil is the main mechanism to consider. </w:t>
      </w:r>
      <w:r w:rsidRPr="00E73B83">
        <w:t>Direct recoil, which governs the radon release, may only happen at the position whose distance to grain surface is shorter than the recoil length. Eq.</w:t>
      </w:r>
      <w:r w:rsidR="00C20141">
        <w:t xml:space="preserve"> 5-</w:t>
      </w:r>
      <w:r w:rsidRPr="00E73B83">
        <w:t>1 was proposed by Hammond et al. (1988) to estimate the radon concentration in pores from recoil.</w:t>
      </w:r>
      <w:r>
        <w:t xml:space="preserve"> </w:t>
      </w:r>
      <w:r w:rsidRPr="00687550">
        <w:rPr>
          <w:i/>
        </w:rPr>
        <w:t>A</w:t>
      </w:r>
      <w:r w:rsidRPr="00687550">
        <w:rPr>
          <w:i/>
          <w:vertAlign w:val="subscript"/>
        </w:rPr>
        <w:t>u</w:t>
      </w:r>
      <w:r>
        <w:rPr>
          <w:bCs/>
        </w:rPr>
        <w:t xml:space="preserve"> </w:t>
      </w:r>
      <w:r w:rsidRPr="00E73B83">
        <w:rPr>
          <w:bCs/>
        </w:rPr>
        <w:t>is the radioactivity of uranium and</w:t>
      </w:r>
      <w:r>
        <w:rPr>
          <w:bCs/>
        </w:rPr>
        <w:t xml:space="preserve"> </w:t>
      </w:r>
      <w:r w:rsidRPr="00164CFA">
        <w:rPr>
          <w:bCs/>
          <w:i/>
        </w:rPr>
        <w:t>A</w:t>
      </w:r>
      <w:r w:rsidRPr="00164CFA">
        <w:rPr>
          <w:bCs/>
          <w:i/>
          <w:vertAlign w:val="subscript"/>
        </w:rPr>
        <w:t>Rn</w:t>
      </w:r>
      <w:r w:rsidRPr="00E73B83">
        <w:rPr>
          <w:bCs/>
        </w:rPr>
        <w:t xml:space="preserve"> is the radioactivity of radon, both are in unit of</w:t>
      </w:r>
      <w:r>
        <w:rPr>
          <w:bCs/>
        </w:rPr>
        <w:t xml:space="preserve"> </w:t>
      </w:r>
      <w:r w:rsidRPr="00CE7BCF">
        <w:rPr>
          <w:bCs/>
          <w:i/>
        </w:rPr>
        <w:t>pCi/L</w:t>
      </w:r>
      <w:r w:rsidRPr="00E73B83">
        <w:rPr>
          <w:bCs/>
        </w:rPr>
        <w:t>.</w:t>
      </w:r>
      <w:r>
        <w:rPr>
          <w:bCs/>
        </w:rPr>
        <w:t xml:space="preserve"> </w:t>
      </w:r>
      <w:r w:rsidRPr="00164CFA">
        <w:rPr>
          <w:bCs/>
          <w:i/>
        </w:rPr>
        <w:t>R</w:t>
      </w:r>
      <w:r w:rsidRPr="00164CFA">
        <w:rPr>
          <w:bCs/>
          <w:i/>
          <w:vertAlign w:val="subscript"/>
        </w:rPr>
        <w:t>s</w:t>
      </w:r>
      <w:r>
        <w:rPr>
          <w:bCs/>
        </w:rPr>
        <w:t xml:space="preserve"> </w:t>
      </w:r>
      <w:r w:rsidRPr="00E73B83">
        <w:rPr>
          <w:bCs/>
        </w:rPr>
        <w:t xml:space="preserve">is the recoil length of radon in solid. </w:t>
      </w:r>
      <w:r w:rsidRPr="00E73B83">
        <w:lastRenderedPageBreak/>
        <w:t xml:space="preserve">Heckter (1934) reported that </w:t>
      </w:r>
      <w:r w:rsidRPr="00E73B83">
        <w:rPr>
          <w:vertAlign w:val="superscript"/>
        </w:rPr>
        <w:t>222</w:t>
      </w:r>
      <w:r w:rsidRPr="00E73B83">
        <w:t xml:space="preserve">Rn has a </w:t>
      </w:r>
      <w:r w:rsidRPr="00BD49A2">
        <w:rPr>
          <w:i/>
        </w:rPr>
        <w:t>R</w:t>
      </w:r>
      <w:r w:rsidRPr="00BD49A2">
        <w:rPr>
          <w:i/>
          <w:vertAlign w:val="subscript"/>
        </w:rPr>
        <w:t>s</w:t>
      </w:r>
      <w:r w:rsidRPr="00E73B83">
        <w:t xml:space="preserve"> of </w:t>
      </w:r>
      <w:r w:rsidRPr="006A5434">
        <w:t>3.6</w:t>
      </w:r>
      <w:r w:rsidRPr="006A5434">
        <w:rPr>
          <w:bCs/>
        </w:rPr>
        <w:t>×</w:t>
      </w:r>
      <w:r w:rsidRPr="006A5434">
        <w:t>10</w:t>
      </w:r>
      <w:r w:rsidRPr="006A5434">
        <w:rPr>
          <w:vertAlign w:val="superscript"/>
        </w:rPr>
        <w:t>-8</w:t>
      </w:r>
      <w:r w:rsidRPr="006A5434">
        <w:rPr>
          <w:i/>
        </w:rPr>
        <w:t xml:space="preserve"> m</w:t>
      </w:r>
      <w:r w:rsidRPr="00E73B83">
        <w:t>.</w:t>
      </w:r>
      <w:r>
        <w:t xml:space="preserve"> </w:t>
      </w:r>
      <w:r w:rsidRPr="00BD49A2">
        <w:rPr>
          <w:i/>
        </w:rPr>
        <w:t>e</w:t>
      </w:r>
      <m:oMath>
        <m:r>
          <w:rPr>
            <w:rFonts w:ascii="Cambria Math" w:hAnsi="Cambria Math"/>
          </w:rPr>
          <m:t xml:space="preserve"> </m:t>
        </m:r>
      </m:oMath>
      <w:r w:rsidRPr="00E73B83">
        <w:rPr>
          <w:bCs/>
        </w:rPr>
        <w:t xml:space="preserve">is the efficiency of recoil transfer and </w:t>
      </w:r>
      <w:r w:rsidRPr="00BD49A2">
        <w:rPr>
          <w:bCs/>
          <w:i/>
        </w:rPr>
        <w:t>s</w:t>
      </w:r>
      <w:r w:rsidRPr="00E73B83">
        <w:rPr>
          <w:bCs/>
        </w:rPr>
        <w:t xml:space="preserve"> is specific surface area with unit of </w:t>
      </w:r>
      <w:r w:rsidRPr="006A5434">
        <w:rPr>
          <w:bCs/>
          <w:i/>
        </w:rPr>
        <w:t>m</w:t>
      </w:r>
      <w:r w:rsidRPr="006A5434">
        <w:rPr>
          <w:bCs/>
          <w:i/>
          <w:vertAlign w:val="superscript"/>
        </w:rPr>
        <w:t>-1</w:t>
      </w:r>
      <w:r>
        <w:rPr>
          <w:bCs/>
        </w:rPr>
        <w:t>.</w:t>
      </w:r>
      <w:r w:rsidRPr="00E73B83">
        <w:rPr>
          <w:bCs/>
        </w:rPr>
        <w:t xml:space="preserve"> </w:t>
      </w:r>
    </w:p>
    <w:p w14:paraId="011B23F2" w14:textId="77777777" w:rsidR="00231A20" w:rsidRDefault="00A53410" w:rsidP="00C20141">
      <m:oMath>
        <m:sSub>
          <m:sSubPr>
            <m:ctrlPr>
              <w:rPr>
                <w:rFonts w:ascii="Cambria Math" w:hAnsi="Cambria Math"/>
                <w:i/>
              </w:rPr>
            </m:ctrlPr>
          </m:sSubPr>
          <m:e>
            <m:r>
              <w:rPr>
                <w:rFonts w:ascii="Cambria Math" w:hAnsi="Cambria Math"/>
              </w:rPr>
              <m:t>A</m:t>
            </m:r>
          </m:e>
          <m:sub>
            <m:r>
              <w:rPr>
                <w:rFonts w:ascii="Cambria Math" w:hAnsi="Cambria Math"/>
              </w:rPr>
              <m:t>Rn</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U</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∙e∙s</m:t>
        </m:r>
      </m:oMath>
      <w:r w:rsidR="00231A20" w:rsidRPr="00E73B83">
        <w:rPr>
          <w:i/>
        </w:rPr>
        <w:t xml:space="preserve"> </w:t>
      </w:r>
      <w:r w:rsidR="00231A20" w:rsidRPr="00E73B83">
        <w:rPr>
          <w:i/>
        </w:rPr>
        <w:tab/>
      </w:r>
      <w:r w:rsidR="00C20141" w:rsidRPr="00E73B83">
        <w:t xml:space="preserve"> </w:t>
      </w:r>
      <w:r w:rsidR="00231A20" w:rsidRPr="00E73B83">
        <w:t>(</w:t>
      </w:r>
      <w:r w:rsidR="00C20141">
        <w:t>5-</w:t>
      </w:r>
      <w:r w:rsidR="00231A20" w:rsidRPr="00E73B83">
        <w:t>1)</w:t>
      </w:r>
    </w:p>
    <w:p w14:paraId="093E9930" w14:textId="77777777" w:rsidR="00231A20" w:rsidRDefault="00231A20" w:rsidP="00C20141">
      <w:r w:rsidRPr="00E73B83">
        <w:t xml:space="preserve">After the radon entering into the pore space from radium decay, it still maintains energy to travel (Sasaki et al. 2004), and the released radon could either be captured again by adjacent grains or stopped by fluid filled in pore space.  Therefore, </w:t>
      </w:r>
      <w:r>
        <w:t>e</w:t>
      </w:r>
      <w:r w:rsidRPr="00E73B83">
        <w:t xml:space="preserve"> is expressed by:</w:t>
      </w:r>
    </w:p>
    <w:p w14:paraId="4187889A" w14:textId="77777777" w:rsidR="00231A20" w:rsidRDefault="00231A20" w:rsidP="00C20141">
      <m:oMath>
        <m:r>
          <w:rPr>
            <w:rFonts w:ascii="Cambria Math" w:hAnsi="Cambria Math"/>
          </w:rPr>
          <m:t>e=</m:t>
        </m:r>
        <m:sSub>
          <m:sSubPr>
            <m:ctrlPr>
              <w:rPr>
                <w:rFonts w:ascii="Cambria Math" w:eastAsiaTheme="minorHAnsi" w:hAnsi="Cambria Math"/>
                <w:i/>
              </w:rPr>
            </m:ctrlPr>
          </m:sSubPr>
          <m:e>
            <m:r>
              <w:rPr>
                <w:rFonts w:ascii="Cambria Math" w:hAnsi="Cambria Math"/>
              </w:rPr>
              <m:t>f</m:t>
            </m:r>
          </m:e>
          <m:sub>
            <m:r>
              <w:rPr>
                <w:rFonts w:ascii="Cambria Math" w:hAnsi="Cambria Math"/>
              </w:rPr>
              <m:t>e</m:t>
            </m:r>
          </m:sub>
        </m:sSub>
        <m:r>
          <w:rPr>
            <w:rFonts w:ascii="Cambria Math" w:hAnsi="Cambria Math"/>
          </w:rPr>
          <m:t>∙</m:t>
        </m:r>
        <m:sSub>
          <m:sSubPr>
            <m:ctrlPr>
              <w:rPr>
                <w:rFonts w:ascii="Cambria Math" w:eastAsiaTheme="minorHAnsi" w:hAnsi="Cambria Math"/>
                <w:i/>
              </w:rPr>
            </m:ctrlPr>
          </m:sSubPr>
          <m:e>
            <m:r>
              <w:rPr>
                <w:rFonts w:ascii="Cambria Math" w:hAnsi="Cambria Math"/>
              </w:rPr>
              <m:t>f</m:t>
            </m:r>
          </m:e>
          <m:sub>
            <m:r>
              <w:rPr>
                <w:rFonts w:ascii="Cambria Math" w:hAnsi="Cambria Math"/>
              </w:rPr>
              <m:t>i</m:t>
            </m:r>
          </m:sub>
        </m:sSub>
      </m:oMath>
      <w:r w:rsidRPr="00E73B83">
        <w:tab/>
      </w:r>
      <w:r w:rsidR="00C20141">
        <w:t>(5-</w:t>
      </w:r>
      <w:r w:rsidRPr="00E73B83">
        <w:t>2)</w:t>
      </w:r>
    </w:p>
    <w:p w14:paraId="079049D6" w14:textId="77777777" w:rsidR="00231A20" w:rsidRPr="00E73B83" w:rsidRDefault="00231A20" w:rsidP="00C20141">
      <w:r w:rsidRPr="006A5434">
        <w:rPr>
          <w:i/>
        </w:rPr>
        <w:t>f</w:t>
      </w:r>
      <w:r w:rsidRPr="006A5434">
        <w:rPr>
          <w:i/>
          <w:vertAlign w:val="subscript"/>
        </w:rPr>
        <w:t>e</w:t>
      </w:r>
      <w:r>
        <w:t xml:space="preserve"> </w:t>
      </w:r>
      <w:r w:rsidRPr="00E73B83">
        <w:t>is the emanation coefficient of radon release from rock particles into surrounding pores by recoil. Andrews and Wood (1972) analytically calculate that this coefficient for plane surface is</w:t>
      </w:r>
      <w:r>
        <w:t xml:space="preserve"> 23.5%</w:t>
      </w:r>
      <w:r w:rsidRPr="00E73B83">
        <w:t xml:space="preserve">. </w:t>
      </w:r>
      <w:r w:rsidRPr="006A5434">
        <w:rPr>
          <w:i/>
        </w:rPr>
        <w:t>f</w:t>
      </w:r>
      <w:r w:rsidRPr="006A5434">
        <w:rPr>
          <w:i/>
          <w:vertAlign w:val="subscript"/>
        </w:rPr>
        <w:t>i</w:t>
      </w:r>
      <w:r w:rsidRPr="00E73B83">
        <w:t xml:space="preserve"> is the fraction of ejected radon stopped in the interstitial fluid (Fleischer 1983): </w:t>
      </w:r>
    </w:p>
    <w:p w14:paraId="456D5648" w14:textId="77777777" w:rsidR="00231A20" w:rsidRPr="00E73B83" w:rsidRDefault="00A53410" w:rsidP="00C20141">
      <m:oMath>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=2σ-</m:t>
        </m:r>
        <m:sSup>
          <m:sSupPr>
            <m:ctrlPr>
              <w:rPr>
                <w:rFonts w:ascii="Cambria Math" w:hAnsi="Cambria Math"/>
                <w:i/>
              </w:rPr>
            </m:ctrlPr>
          </m:sSupPr>
          <m:e>
            <m:r>
              <w:rPr>
                <w:rFonts w:ascii="Cambria Math" w:hAnsi="Cambria Math"/>
              </w:rPr>
              <m:t>σ</m:t>
            </m:r>
          </m:e>
          <m:sup>
            <m:r>
              <w:rPr>
                <w:rFonts w:ascii="Cambria Math" w:hAnsi="Cambria Math"/>
              </w:rPr>
              <m:t>2</m:t>
            </m:r>
          </m:sup>
        </m:sSup>
      </m:oMath>
      <w:r w:rsidR="00231A20" w:rsidRPr="00E73B83">
        <w:tab/>
      </w:r>
      <w:r w:rsidR="00C20141">
        <w:t>(5-</w:t>
      </w:r>
      <w:r w:rsidR="00231A20" w:rsidRPr="00E73B83">
        <w:t>3)</w:t>
      </w:r>
    </w:p>
    <w:p w14:paraId="0E93E333" w14:textId="77777777" w:rsidR="00231A20" w:rsidRPr="00E73B83" w:rsidRDefault="00C20141" w:rsidP="00C20141">
      <w:r>
        <w:t>w</w:t>
      </w:r>
      <w:r w:rsidR="00231A20" w:rsidRPr="00E73B83">
        <w:t>here,</w:t>
      </w:r>
      <w:r w:rsidR="00231A20">
        <w:t xml:space="preserve"> </w:t>
      </w:r>
      <w:r w:rsidR="00231A20" w:rsidRPr="006A5434">
        <w:rPr>
          <w:i/>
        </w:rPr>
        <w:t xml:space="preserve">σ = </w:t>
      </w:r>
      <w:r w:rsidR="00231A20">
        <w:rPr>
          <w:i/>
        </w:rPr>
        <w:t>d</w:t>
      </w:r>
      <w:r w:rsidR="00231A20" w:rsidRPr="006A5434">
        <w:rPr>
          <w:i/>
        </w:rPr>
        <w:t>/R</w:t>
      </w:r>
      <w:r w:rsidR="00231A20" w:rsidRPr="006A5434">
        <w:rPr>
          <w:i/>
          <w:vertAlign w:val="subscript"/>
        </w:rPr>
        <w:t>f</w:t>
      </w:r>
      <w:r w:rsidR="00231A20" w:rsidRPr="00E73B83">
        <w:t xml:space="preserve">, </w:t>
      </w:r>
      <w:r w:rsidR="00231A20" w:rsidRPr="001C5307">
        <w:rPr>
          <w:i/>
        </w:rPr>
        <w:t>d</w:t>
      </w:r>
      <w:r w:rsidR="00231A20" w:rsidRPr="00E73B83">
        <w:t xml:space="preserve"> is the fracture width or pore size and R</w:t>
      </w:r>
      <w:r w:rsidR="00231A20" w:rsidRPr="00E73B83">
        <w:rPr>
          <w:vertAlign w:val="subscript"/>
        </w:rPr>
        <w:t>f</w:t>
      </w:r>
      <w:r w:rsidR="00231A20" w:rsidRPr="00E73B83">
        <w:t xml:space="preserve"> is the recoil </w:t>
      </w:r>
      <w:r w:rsidR="00891B40">
        <w:t>range</w:t>
      </w:r>
      <w:r w:rsidR="00231A20" w:rsidRPr="00E73B83">
        <w:t xml:space="preserve"> of radon in fluid. For water </w:t>
      </w:r>
      <w:r w:rsidR="00231A20" w:rsidRPr="006A5434">
        <w:rPr>
          <w:i/>
        </w:rPr>
        <w:t>R</w:t>
      </w:r>
      <w:r w:rsidR="00231A20" w:rsidRPr="006A5434">
        <w:rPr>
          <w:i/>
          <w:vertAlign w:val="subscript"/>
        </w:rPr>
        <w:t>f</w:t>
      </w:r>
      <w:r w:rsidR="00231A20" w:rsidRPr="006A5434">
        <w:rPr>
          <w:i/>
        </w:rPr>
        <w:t xml:space="preserve"> </w:t>
      </w:r>
      <w:r w:rsidR="00231A20" w:rsidRPr="006A5434">
        <w:t>= 10</w:t>
      </w:r>
      <w:r w:rsidR="00231A20" w:rsidRPr="006A5434">
        <w:rPr>
          <w:vertAlign w:val="superscript"/>
        </w:rPr>
        <w:t>-7</w:t>
      </w:r>
      <w:r w:rsidR="00231A20" w:rsidRPr="006A5434">
        <w:rPr>
          <w:i/>
        </w:rPr>
        <w:t xml:space="preserve"> m</w:t>
      </w:r>
      <w:r w:rsidR="00231A20" w:rsidRPr="00E73B83">
        <w:t xml:space="preserve"> and for gas </w:t>
      </w:r>
      <w:r w:rsidR="00231A20" w:rsidRPr="006A5434">
        <w:rPr>
          <w:i/>
        </w:rPr>
        <w:t>R</w:t>
      </w:r>
      <w:r w:rsidR="00231A20" w:rsidRPr="006A5434">
        <w:rPr>
          <w:i/>
          <w:vertAlign w:val="subscript"/>
        </w:rPr>
        <w:t>f</w:t>
      </w:r>
      <w:r w:rsidR="00231A20" w:rsidRPr="006A5434">
        <w:rPr>
          <w:i/>
        </w:rPr>
        <w:t xml:space="preserve"> </w:t>
      </w:r>
      <w:r w:rsidR="00231A20" w:rsidRPr="006A5434">
        <w:t>= 6</w:t>
      </w:r>
      <w:r w:rsidR="00231A20" w:rsidRPr="006A5434">
        <w:rPr>
          <w:bCs/>
        </w:rPr>
        <w:t>×</w:t>
      </w:r>
      <w:r w:rsidR="00231A20" w:rsidRPr="006A5434">
        <w:t>10</w:t>
      </w:r>
      <w:r w:rsidR="00231A20" w:rsidRPr="006A5434">
        <w:rPr>
          <w:vertAlign w:val="superscript"/>
        </w:rPr>
        <w:t>-5</w:t>
      </w:r>
      <w:r w:rsidR="00231A20" w:rsidRPr="006A5434">
        <w:rPr>
          <w:i/>
        </w:rPr>
        <w:t xml:space="preserve"> m</w:t>
      </w:r>
      <w:r w:rsidR="00231A20" w:rsidRPr="00E73B83">
        <w:t xml:space="preserve"> (Nierenberg 1992). </w:t>
      </w:r>
    </w:p>
    <w:p w14:paraId="5A7FC33D" w14:textId="77777777" w:rsidR="00231A20" w:rsidRPr="00E73B83" w:rsidRDefault="00231A20" w:rsidP="00C20141">
      <w:r w:rsidRPr="00E73B83">
        <w:t xml:space="preserve">Eq. </w:t>
      </w:r>
      <w:r w:rsidR="00A63047">
        <w:t>5-</w:t>
      </w:r>
      <w:r w:rsidRPr="00E73B83">
        <w:t xml:space="preserve">1 is used to obtain radon concentration in water or gas filled pores originated from mineral grains. </w:t>
      </w:r>
    </w:p>
    <w:p w14:paraId="7271DF56" w14:textId="77777777" w:rsidR="00917439" w:rsidRPr="00917439" w:rsidRDefault="00917439" w:rsidP="00917439"/>
    <w:p w14:paraId="1591E0D4" w14:textId="77777777" w:rsidR="00231A20" w:rsidRPr="00E73B83" w:rsidRDefault="00231A20" w:rsidP="00231A20">
      <w:pPr>
        <w:pStyle w:val="Heading4"/>
      </w:pPr>
      <w:r w:rsidRPr="00E73B83">
        <w:t xml:space="preserve">Generation from </w:t>
      </w:r>
      <w:r w:rsidR="004274BB">
        <w:t>P</w:t>
      </w:r>
      <w:r w:rsidRPr="00E73B83">
        <w:t xml:space="preserve">ores </w:t>
      </w:r>
    </w:p>
    <w:p w14:paraId="186ADECA" w14:textId="684F3EB0" w:rsidR="00231A20" w:rsidRPr="00E73B83" w:rsidRDefault="00231A20" w:rsidP="00A63047">
      <w:r w:rsidRPr="00E73B83">
        <w:t xml:space="preserve">In Nelson et al. (2014), the flowback sample was collected one year after the completion of hydraulic fracturing. </w:t>
      </w:r>
      <w:r w:rsidR="00C15129">
        <w:t>It was</w:t>
      </w:r>
      <w:r w:rsidRPr="00E73B83">
        <w:t xml:space="preserve"> assumed that the radium concentration measured from their sample represented radium concentration in porous media. Consequently, radon was also produced by such radium through recoil in pores. Such </w:t>
      </w:r>
      <w:r w:rsidRPr="00E73B83">
        <w:lastRenderedPageBreak/>
        <w:t>produced radon would either be emitted to adjacent grains or remain in pores. The escaping ratio is the ratio of surface area lying in the grains to the surface of sphere. For example, in</w:t>
      </w:r>
      <w:r w:rsidR="00A63047">
        <w:t xml:space="preserve"> </w:t>
      </w:r>
      <w:r w:rsidR="00A63047">
        <w:fldChar w:fldCharType="begin"/>
      </w:r>
      <w:r w:rsidR="00A63047">
        <w:instrText xml:space="preserve"> REF _Ref442790114 \h </w:instrText>
      </w:r>
      <w:r w:rsidR="00A63047">
        <w:fldChar w:fldCharType="separate"/>
      </w:r>
      <w:r w:rsidR="00A63047" w:rsidRPr="00E73B83">
        <w:t xml:space="preserve">Figure </w:t>
      </w:r>
      <w:r w:rsidR="00A63047">
        <w:rPr>
          <w:noProof/>
        </w:rPr>
        <w:t>5</w:t>
      </w:r>
      <w:r w:rsidR="00A63047">
        <w:noBreakHyphen/>
      </w:r>
      <w:r w:rsidR="00A63047">
        <w:rPr>
          <w:noProof/>
        </w:rPr>
        <w:t>5</w:t>
      </w:r>
      <w:r w:rsidR="00A63047">
        <w:fldChar w:fldCharType="end"/>
      </w:r>
      <w:r w:rsidRPr="00E73B83">
        <w:t>, escaping ratio is the surface of ABC and DEF to surface of sphere with</w:t>
      </w:r>
      <w:r>
        <w:t xml:space="preserve"> </w:t>
      </w:r>
      <w:r w:rsidRPr="006A5434">
        <w:rPr>
          <w:i/>
        </w:rPr>
        <w:t>R</w:t>
      </w:r>
      <w:r w:rsidRPr="006A5434">
        <w:rPr>
          <w:i/>
          <w:vertAlign w:val="subscript"/>
        </w:rPr>
        <w:t>f</w:t>
      </w:r>
      <w:r w:rsidRPr="00E73B83">
        <w:t xml:space="preserve">. Thus, the remaining ratio </w:t>
      </w:r>
      <w:r w:rsidR="0006219F">
        <w:t xml:space="preserve">F </w:t>
      </w:r>
      <w:r w:rsidRPr="00E73B83">
        <w:t xml:space="preserve">of the entire pore could be known as unit minus integration of the escaping percentage, assuming radium is uniformly distributed and no radon that enters grains further travels to next pores:  </w:t>
      </w:r>
    </w:p>
    <w:p w14:paraId="56F1A095" w14:textId="77777777" w:rsidR="00231A20" w:rsidRPr="004274BB" w:rsidRDefault="0006219F" w:rsidP="00A63047">
      <w:pPr>
        <w:rPr>
          <w:bCs/>
        </w:rPr>
      </w:pPr>
      <m:oMath>
        <m:r>
          <m:rPr>
            <m:sty m:val="p"/>
          </m:rPr>
          <w:rPr>
            <w:rFonts w:ascii="Cambria Math" w:hAnsi="Cambria Math"/>
          </w:rPr>
          <m:t>F =1-</m:t>
        </m:r>
        <m:f>
          <m:fPr>
            <m:ctrlPr>
              <w:rPr>
                <w:rFonts w:ascii="Cambria Math" w:hAnsi="Cambria Math"/>
                <w:bCs/>
              </w:rPr>
            </m:ctrlPr>
          </m:fPr>
          <m:num>
            <m:r>
              <m:rPr>
                <m:sty m:val="p"/>
              </m:rPr>
              <w:rPr>
                <w:rFonts w:ascii="Cambria Math" w:hAnsi="Cambria Math"/>
              </w:rPr>
              <m:t>1</m:t>
            </m:r>
          </m:num>
          <m:den>
            <m:r>
              <m:rPr>
                <m:sty m:val="p"/>
              </m:rPr>
              <w:rPr>
                <w:rFonts w:ascii="Cambria Math" w:hAnsi="Cambria Math"/>
              </w:rPr>
              <m:t>d</m:t>
            </m:r>
          </m:den>
        </m:f>
        <m:nary>
          <m:naryPr>
            <m:limLoc m:val="subSup"/>
            <m:ctrlPr>
              <w:rPr>
                <w:rFonts w:ascii="Cambria Math" w:hAnsi="Cambria Math"/>
                <w:bCs/>
              </w:rPr>
            </m:ctrlPr>
          </m:naryPr>
          <m:sub>
            <m:r>
              <m:rPr>
                <m:sty m:val="p"/>
              </m:rPr>
              <w:rPr>
                <w:rFonts w:ascii="Cambria Math" w:hAnsi="Cambria Math"/>
              </w:rPr>
              <m:t>0</m:t>
            </m:r>
          </m:sub>
          <m:sup>
            <m:r>
              <m:rPr>
                <m:sty m:val="p"/>
              </m:rPr>
              <w:rPr>
                <w:rFonts w:ascii="Cambria Math" w:hAnsi="Cambria Math"/>
              </w:rPr>
              <m:t>d</m:t>
            </m:r>
          </m:sup>
          <m:e>
            <m:f>
              <m:fPr>
                <m:ctrlPr>
                  <w:rPr>
                    <w:rFonts w:ascii="Cambria Math" w:hAnsi="Cambria Math"/>
                    <w:bCs/>
                  </w:rPr>
                </m:ctrlPr>
              </m:fPr>
              <m:num>
                <m:r>
                  <m:rPr>
                    <m:sty m:val="p"/>
                  </m:rPr>
                  <w:rPr>
                    <w:rFonts w:ascii="Cambria Math" w:hAnsi="Cambria Math"/>
                  </w:rPr>
                  <m:t>2π</m:t>
                </m:r>
                <m:sSub>
                  <m:sSubPr>
                    <m:ctrlPr>
                      <w:rPr>
                        <w:rFonts w:ascii="Cambria Math" w:hAnsi="Cambria Math"/>
                        <w:bCs/>
                      </w:rPr>
                    </m:ctrlPr>
                  </m:sSubPr>
                  <m:e>
                    <m:r>
                      <m:rPr>
                        <m:sty m:val="p"/>
                      </m:rPr>
                      <w:rPr>
                        <w:rFonts w:ascii="Cambria Math" w:hAnsi="Cambria Math"/>
                      </w:rPr>
                      <m:t>R</m:t>
                    </m:r>
                  </m:e>
                  <m:sub>
                    <m:r>
                      <m:rPr>
                        <m:sty m:val="p"/>
                      </m:rPr>
                      <w:rPr>
                        <w:rFonts w:ascii="Cambria Math" w:hAnsi="Cambria Math"/>
                      </w:rPr>
                      <m:t>f</m:t>
                    </m:r>
                  </m:sub>
                </m:sSub>
                <m:d>
                  <m:dPr>
                    <m:begChr m:val="["/>
                    <m:endChr m:val="]"/>
                    <m:ctrlPr>
                      <w:rPr>
                        <w:rFonts w:ascii="Cambria Math" w:hAnsi="Cambria Math"/>
                        <w:bCs/>
                      </w:rPr>
                    </m:ctrlPr>
                  </m:dPr>
                  <m:e>
                    <m:d>
                      <m:dPr>
                        <m:ctrlPr>
                          <w:rPr>
                            <w:rFonts w:ascii="Cambria Math" w:hAnsi="Cambria Math"/>
                            <w:bCs/>
                          </w:rPr>
                        </m:ctrlPr>
                      </m:dPr>
                      <m:e>
                        <m:sSub>
                          <m:sSubPr>
                            <m:ctrlPr>
                              <w:rPr>
                                <w:rFonts w:ascii="Cambria Math" w:hAnsi="Cambria Math"/>
                                <w:bCs/>
                              </w:rPr>
                            </m:ctrlPr>
                          </m:sSubPr>
                          <m:e>
                            <m:r>
                              <m:rPr>
                                <m:sty m:val="p"/>
                              </m:rPr>
                              <w:rPr>
                                <w:rFonts w:ascii="Cambria Math" w:hAnsi="Cambria Math"/>
                              </w:rPr>
                              <m:t>R</m:t>
                            </m:r>
                          </m:e>
                          <m:sub>
                            <m:r>
                              <m:rPr>
                                <m:sty m:val="p"/>
                              </m:rPr>
                              <w:rPr>
                                <w:rFonts w:ascii="Cambria Math" w:hAnsi="Cambria Math"/>
                              </w:rPr>
                              <m:t>f</m:t>
                            </m:r>
                          </m:sub>
                        </m:sSub>
                        <m:r>
                          <m:rPr>
                            <m:sty m:val="p"/>
                          </m:rPr>
                          <w:rPr>
                            <w:rFonts w:ascii="Cambria Math" w:hAnsi="Cambria Math"/>
                          </w:rPr>
                          <m:t>-x</m:t>
                        </m:r>
                      </m:e>
                    </m:d>
                    <m:r>
                      <m:rPr>
                        <m:sty m:val="p"/>
                      </m:rPr>
                      <w:rPr>
                        <w:rFonts w:ascii="Cambria Math" w:hAnsi="Cambria Math"/>
                      </w:rPr>
                      <m:t>+</m:t>
                    </m:r>
                    <m:d>
                      <m:dPr>
                        <m:ctrlPr>
                          <w:rPr>
                            <w:rFonts w:ascii="Cambria Math" w:hAnsi="Cambria Math"/>
                            <w:bCs/>
                          </w:rPr>
                        </m:ctrlPr>
                      </m:dPr>
                      <m:e>
                        <m:sSub>
                          <m:sSubPr>
                            <m:ctrlPr>
                              <w:rPr>
                                <w:rFonts w:ascii="Cambria Math" w:hAnsi="Cambria Math"/>
                                <w:bCs/>
                              </w:rPr>
                            </m:ctrlPr>
                          </m:sSubPr>
                          <m:e>
                            <m:r>
                              <m:rPr>
                                <m:sty m:val="p"/>
                              </m:rPr>
                              <w:rPr>
                                <w:rFonts w:ascii="Cambria Math" w:hAnsi="Cambria Math"/>
                              </w:rPr>
                              <m:t>R</m:t>
                            </m:r>
                          </m:e>
                          <m:sub>
                            <m:r>
                              <m:rPr>
                                <m:sty m:val="p"/>
                              </m:rPr>
                              <w:rPr>
                                <w:rFonts w:ascii="Cambria Math" w:hAnsi="Cambria Math"/>
                              </w:rPr>
                              <m:t>f</m:t>
                            </m:r>
                          </m:sub>
                        </m:sSub>
                        <m:r>
                          <m:rPr>
                            <m:sty m:val="p"/>
                          </m:rPr>
                          <w:rPr>
                            <w:rFonts w:ascii="Cambria Math" w:hAnsi="Cambria Math"/>
                          </w:rPr>
                          <m:t>-(d-x)</m:t>
                        </m:r>
                      </m:e>
                    </m:d>
                  </m:e>
                </m:d>
              </m:num>
              <m:den>
                <m:r>
                  <m:rPr>
                    <m:sty m:val="p"/>
                  </m:rPr>
                  <w:rPr>
                    <w:rFonts w:ascii="Cambria Math" w:hAnsi="Cambria Math"/>
                  </w:rPr>
                  <m:t>4π</m:t>
                </m:r>
                <m:sSubSup>
                  <m:sSubSupPr>
                    <m:ctrlPr>
                      <w:rPr>
                        <w:rFonts w:ascii="Cambria Math" w:hAnsi="Cambria Math"/>
                        <w:bCs/>
                      </w:rPr>
                    </m:ctrlPr>
                  </m:sSubSupPr>
                  <m:e>
                    <m:r>
                      <m:rPr>
                        <m:sty m:val="p"/>
                      </m:rPr>
                      <w:rPr>
                        <w:rFonts w:ascii="Cambria Math" w:hAnsi="Cambria Math"/>
                      </w:rPr>
                      <m:t>R</m:t>
                    </m:r>
                  </m:e>
                  <m:sub>
                    <m:r>
                      <m:rPr>
                        <m:sty m:val="p"/>
                      </m:rPr>
                      <w:rPr>
                        <w:rFonts w:ascii="Cambria Math" w:hAnsi="Cambria Math"/>
                      </w:rPr>
                      <m:t>f</m:t>
                    </m:r>
                  </m:sub>
                  <m:sup>
                    <m:r>
                      <m:rPr>
                        <m:sty m:val="p"/>
                      </m:rPr>
                      <w:rPr>
                        <w:rFonts w:ascii="Cambria Math" w:hAnsi="Cambria Math"/>
                      </w:rPr>
                      <m:t>2</m:t>
                    </m:r>
                  </m:sup>
                </m:sSubSup>
              </m:den>
            </m:f>
          </m:e>
        </m:nary>
        <m:r>
          <m:rPr>
            <m:sty m:val="p"/>
          </m:rPr>
          <w:rPr>
            <w:rFonts w:ascii="Cambria Math" w:hAnsi="Cambria Math"/>
          </w:rPr>
          <m:t>dx, if x&lt;</m:t>
        </m:r>
        <m:sSub>
          <m:sSubPr>
            <m:ctrlPr>
              <w:rPr>
                <w:rFonts w:ascii="Cambria Math" w:hAnsi="Cambria Math"/>
                <w:bCs/>
              </w:rPr>
            </m:ctrlPr>
          </m:sSubPr>
          <m:e>
            <m:r>
              <m:rPr>
                <m:sty m:val="p"/>
              </m:rPr>
              <w:rPr>
                <w:rFonts w:ascii="Cambria Math" w:hAnsi="Cambria Math"/>
              </w:rPr>
              <m:t>R</m:t>
            </m:r>
          </m:e>
          <m:sub>
            <m:r>
              <m:rPr>
                <m:sty m:val="p"/>
              </m:rPr>
              <w:rPr>
                <w:rFonts w:ascii="Cambria Math" w:hAnsi="Cambria Math"/>
              </w:rPr>
              <m:t>f</m:t>
            </m:r>
          </m:sub>
        </m:sSub>
        <m:r>
          <m:rPr>
            <m:sty m:val="p"/>
          </m:rPr>
          <w:rPr>
            <w:rFonts w:ascii="Cambria Math" w:hAnsi="Cambria Math"/>
          </w:rPr>
          <m:t xml:space="preserve"> and d-x&lt;</m:t>
        </m:r>
        <m:sSub>
          <m:sSubPr>
            <m:ctrlPr>
              <w:rPr>
                <w:rFonts w:ascii="Cambria Math" w:hAnsi="Cambria Math"/>
                <w:bCs/>
              </w:rPr>
            </m:ctrlPr>
          </m:sSubPr>
          <m:e>
            <m:r>
              <m:rPr>
                <m:sty m:val="p"/>
              </m:rPr>
              <w:rPr>
                <w:rFonts w:ascii="Cambria Math" w:hAnsi="Cambria Math"/>
              </w:rPr>
              <m:t>R</m:t>
            </m:r>
          </m:e>
          <m:sub>
            <m:r>
              <m:rPr>
                <m:sty m:val="p"/>
              </m:rPr>
              <w:rPr>
                <w:rFonts w:ascii="Cambria Math" w:hAnsi="Cambria Math"/>
              </w:rPr>
              <m:t>f</m:t>
            </m:r>
          </m:sub>
        </m:sSub>
      </m:oMath>
      <w:r w:rsidR="00231A20" w:rsidRPr="00E73B83">
        <w:rPr>
          <w:bCs/>
        </w:rPr>
        <w:t xml:space="preserve"> </w:t>
      </w:r>
      <w:r w:rsidR="00231A20" w:rsidRPr="00E73B83">
        <w:rPr>
          <w:bCs/>
        </w:rPr>
        <w:tab/>
        <w:t>(</w:t>
      </w:r>
      <w:r w:rsidR="00A63047">
        <w:rPr>
          <w:bCs/>
        </w:rPr>
        <w:t>5-</w:t>
      </w:r>
      <w:r w:rsidR="00231A20" w:rsidRPr="00E73B83">
        <w:rPr>
          <w:bCs/>
        </w:rPr>
        <w:t>4)</w:t>
      </w:r>
    </w:p>
    <w:p w14:paraId="0EAA4C9F" w14:textId="77777777" w:rsidR="00231A20" w:rsidRPr="00E73B83" w:rsidRDefault="00231A20" w:rsidP="00231A20">
      <w:pPr>
        <w:pStyle w:val="para1"/>
        <w:jc w:val="center"/>
        <w:rPr>
          <w:color w:val="000000" w:themeColor="text1"/>
        </w:rPr>
      </w:pPr>
      <w:r w:rsidRPr="00E73B83">
        <w:rPr>
          <w:noProof/>
          <w:color w:val="000000" w:themeColor="text1"/>
          <w:szCs w:val="24"/>
          <w:lang w:eastAsia="zh-CN"/>
        </w:rPr>
        <w:drawing>
          <wp:inline distT="0" distB="0" distL="0" distR="0" wp14:anchorId="1E2B412D" wp14:editId="7C700F32">
            <wp:extent cx="3487479" cy="2099518"/>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ium Release.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496334" cy="2104849"/>
                    </a:xfrm>
                    <a:prstGeom prst="rect">
                      <a:avLst/>
                    </a:prstGeom>
                  </pic:spPr>
                </pic:pic>
              </a:graphicData>
            </a:graphic>
          </wp:inline>
        </w:drawing>
      </w:r>
    </w:p>
    <w:p w14:paraId="364A3718" w14:textId="2FDB1FCE" w:rsidR="00231A20" w:rsidRPr="00541084" w:rsidRDefault="00231A20" w:rsidP="00BF3F9B">
      <w:pPr>
        <w:pStyle w:val="Caption"/>
        <w:rPr>
          <w:szCs w:val="22"/>
        </w:rPr>
      </w:pPr>
      <w:bookmarkStart w:id="227" w:name="_Ref442790114"/>
      <w:bookmarkStart w:id="228" w:name="_Toc495144754"/>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5</w:t>
      </w:r>
      <w:r w:rsidR="00280FFF">
        <w:rPr>
          <w:szCs w:val="22"/>
        </w:rPr>
        <w:fldChar w:fldCharType="end"/>
      </w:r>
      <w:bookmarkEnd w:id="227"/>
      <w:r w:rsidRPr="00541084">
        <w:rPr>
          <w:szCs w:val="22"/>
        </w:rPr>
        <w:t>. Radon escapes from pores into grains. The pore diameter is d and radon recoil length is R</w:t>
      </w:r>
      <w:r w:rsidRPr="00541084">
        <w:rPr>
          <w:szCs w:val="22"/>
          <w:vertAlign w:val="subscript"/>
        </w:rPr>
        <w:t>f</w:t>
      </w:r>
      <w:r w:rsidRPr="00541084">
        <w:rPr>
          <w:szCs w:val="22"/>
        </w:rPr>
        <w:t>. When radon particle is ejected into the section of ABC or EFD, it is regarded as being escaped into grains from pore space.</w:t>
      </w:r>
      <w:bookmarkEnd w:id="228"/>
    </w:p>
    <w:p w14:paraId="58306A8F" w14:textId="77777777" w:rsidR="00A63047" w:rsidRDefault="00A63047" w:rsidP="00231A20">
      <w:pPr>
        <w:ind w:firstLine="288"/>
        <w:rPr>
          <w:bCs/>
          <w:color w:val="000000" w:themeColor="text1"/>
        </w:rPr>
      </w:pPr>
    </w:p>
    <w:p w14:paraId="5474DDCB" w14:textId="77777777" w:rsidR="00231A20" w:rsidRDefault="00231A20" w:rsidP="00231A20">
      <w:pPr>
        <w:ind w:firstLine="288"/>
        <w:rPr>
          <w:bCs/>
          <w:color w:val="000000" w:themeColor="text1"/>
        </w:rPr>
      </w:pPr>
      <w:r w:rsidRPr="00E73B83">
        <w:rPr>
          <w:bCs/>
          <w:color w:val="000000" w:themeColor="text1"/>
        </w:rPr>
        <w:t xml:space="preserve">When d is large </w:t>
      </w:r>
      <w:r w:rsidRPr="0006219F">
        <w:rPr>
          <w:bCs/>
          <w:color w:val="000000" w:themeColor="text1"/>
        </w:rPr>
        <w:t>enough, (d-x) or x may become larger than R</w:t>
      </w:r>
      <w:r w:rsidRPr="0006219F">
        <w:rPr>
          <w:bCs/>
          <w:color w:val="000000" w:themeColor="text1"/>
          <w:vertAlign w:val="subscript"/>
        </w:rPr>
        <w:t>f</w:t>
      </w:r>
      <w:r w:rsidRPr="0006219F">
        <w:rPr>
          <w:bCs/>
          <w:color w:val="000000" w:themeColor="text1"/>
        </w:rPr>
        <w:t xml:space="preserve">, Eq. </w:t>
      </w:r>
      <w:r w:rsidR="00A63047" w:rsidRPr="0006219F">
        <w:rPr>
          <w:bCs/>
          <w:color w:val="000000" w:themeColor="text1"/>
        </w:rPr>
        <w:t>5-</w:t>
      </w:r>
      <w:r w:rsidRPr="0006219F">
        <w:rPr>
          <w:bCs/>
          <w:color w:val="000000" w:themeColor="text1"/>
        </w:rPr>
        <w:t>4 should be modified correspondingly. In other words, either term (R</w:t>
      </w:r>
      <w:r w:rsidRPr="0006219F">
        <w:rPr>
          <w:bCs/>
          <w:color w:val="000000" w:themeColor="text1"/>
          <w:vertAlign w:val="subscript"/>
        </w:rPr>
        <w:t>f</w:t>
      </w:r>
      <w:r w:rsidRPr="0006219F">
        <w:rPr>
          <w:bCs/>
          <w:color w:val="000000" w:themeColor="text1"/>
        </w:rPr>
        <w:t>-x) or [R</w:t>
      </w:r>
      <w:r w:rsidRPr="0006219F">
        <w:rPr>
          <w:bCs/>
          <w:color w:val="000000" w:themeColor="text1"/>
          <w:vertAlign w:val="subscript"/>
        </w:rPr>
        <w:t>f</w:t>
      </w:r>
      <w:r w:rsidRPr="0006219F">
        <w:rPr>
          <w:bCs/>
          <w:color w:val="000000" w:themeColor="text1"/>
        </w:rPr>
        <w:t>-(d-x)]</w:t>
      </w:r>
      <w:r w:rsidRPr="00E73B83">
        <w:rPr>
          <w:bCs/>
          <w:color w:val="000000" w:themeColor="text1"/>
        </w:rPr>
        <w:t xml:space="preserve"> would be eliminated from Eq. </w:t>
      </w:r>
      <w:r w:rsidR="00A63047">
        <w:rPr>
          <w:bCs/>
          <w:color w:val="000000" w:themeColor="text1"/>
        </w:rPr>
        <w:t>5-</w:t>
      </w:r>
      <w:r w:rsidRPr="00E73B83">
        <w:rPr>
          <w:bCs/>
          <w:color w:val="000000" w:themeColor="text1"/>
        </w:rPr>
        <w:t xml:space="preserve">4. </w:t>
      </w:r>
    </w:p>
    <w:p w14:paraId="226D9987" w14:textId="77777777" w:rsidR="00A63047" w:rsidRPr="00E73B83" w:rsidRDefault="00A63047" w:rsidP="00231A20">
      <w:pPr>
        <w:ind w:firstLine="288"/>
        <w:rPr>
          <w:bCs/>
          <w:color w:val="000000" w:themeColor="text1"/>
        </w:rPr>
      </w:pPr>
    </w:p>
    <w:p w14:paraId="61A78F48" w14:textId="77777777" w:rsidR="00917439" w:rsidRDefault="00891B40" w:rsidP="00891B40">
      <w:pPr>
        <w:pStyle w:val="Heading3"/>
      </w:pPr>
      <w:bookmarkStart w:id="229" w:name="_Ref492209937"/>
      <w:bookmarkStart w:id="230" w:name="_Toc494014239"/>
      <w:r>
        <w:t>Spherical Pores</w:t>
      </w:r>
      <w:bookmarkEnd w:id="229"/>
      <w:bookmarkEnd w:id="230"/>
    </w:p>
    <w:p w14:paraId="7430A2AE" w14:textId="2F27FA10" w:rsidR="00A07F10" w:rsidRDefault="004274BB" w:rsidP="00A07F10">
      <w:r>
        <w:t xml:space="preserve">Besides slit pore shape, spherical pores also occur in shale, which require different formulas to calculate radon </w:t>
      </w:r>
      <w:r w:rsidRPr="001004E1">
        <w:rPr>
          <w:i/>
        </w:rPr>
        <w:t>in-situ</w:t>
      </w:r>
      <w:r>
        <w:t xml:space="preserve"> concentration. This section will discuss </w:t>
      </w:r>
      <w:r w:rsidR="00304B8E">
        <w:t>the</w:t>
      </w:r>
      <w:r>
        <w:t xml:space="preserve"> proposed equations to calculate radon </w:t>
      </w:r>
      <w:r>
        <w:rPr>
          <w:i/>
        </w:rPr>
        <w:t xml:space="preserve">in-situ </w:t>
      </w:r>
      <w:r>
        <w:t xml:space="preserve">concentration in spherical pores. </w:t>
      </w:r>
    </w:p>
    <w:p w14:paraId="08DDF223" w14:textId="77777777" w:rsidR="004274BB" w:rsidRDefault="004274BB" w:rsidP="004274BB">
      <w:pPr>
        <w:pStyle w:val="Heading4"/>
      </w:pPr>
      <w:r>
        <w:lastRenderedPageBreak/>
        <w:t>Emanation from Grains to Pores</w:t>
      </w:r>
    </w:p>
    <w:p w14:paraId="459EE52F" w14:textId="77777777" w:rsidR="004274BB" w:rsidRDefault="004274BB" w:rsidP="00A63047">
      <w:r>
        <w:t xml:space="preserve">Emanation efficiency, </w:t>
      </w:r>
      <w:r w:rsidRPr="006D0D90">
        <w:rPr>
          <w:i/>
        </w:rPr>
        <w:t>e</w:t>
      </w:r>
      <w:r>
        <w:rPr>
          <w:i/>
        </w:rPr>
        <w:t>,</w:t>
      </w:r>
      <w:r>
        <w:t xml:space="preserve"> is defined in Eq. </w:t>
      </w:r>
      <w:r w:rsidR="00A63047">
        <w:t>5-</w:t>
      </w:r>
      <w:r>
        <w:t>2. The point O</w:t>
      </w:r>
      <w:r w:rsidRPr="008E6ED0">
        <w:rPr>
          <w:vertAlign w:val="subscript"/>
        </w:rPr>
        <w:t>1</w:t>
      </w:r>
      <w:r>
        <w:t xml:space="preserve"> is the center of spherical pore with radius of R as shown in</w:t>
      </w:r>
      <w:r w:rsidR="00A63047">
        <w:t xml:space="preserve"> </w:t>
      </w:r>
      <w:r w:rsidR="00A63047">
        <w:fldChar w:fldCharType="begin"/>
      </w:r>
      <w:r w:rsidR="00A63047">
        <w:instrText xml:space="preserve"> REF _Ref492048952 \h </w:instrText>
      </w:r>
      <w:r w:rsidR="00A63047">
        <w:fldChar w:fldCharType="separate"/>
      </w:r>
      <w:r w:rsidR="00A63047">
        <w:t xml:space="preserve">Figure </w:t>
      </w:r>
      <w:r w:rsidR="00A63047">
        <w:rPr>
          <w:noProof/>
        </w:rPr>
        <w:t>5</w:t>
      </w:r>
      <w:r w:rsidR="00A63047">
        <w:noBreakHyphen/>
      </w:r>
      <w:r w:rsidR="00A63047">
        <w:rPr>
          <w:noProof/>
        </w:rPr>
        <w:t>6</w:t>
      </w:r>
      <w:r w:rsidR="00A63047">
        <w:fldChar w:fldCharType="end"/>
      </w:r>
      <w:r>
        <w:t>. Radium atom is initially located at O</w:t>
      </w:r>
      <w:r w:rsidRPr="008E6ED0">
        <w:rPr>
          <w:vertAlign w:val="subscript"/>
        </w:rPr>
        <w:t>2</w:t>
      </w:r>
      <w:r>
        <w:t xml:space="preserve">. The radon recoil range inside fluid filled pore space (inner of solid circle) is </w:t>
      </w:r>
      <w:r w:rsidRPr="00C8665B">
        <w:rPr>
          <w:i/>
        </w:rPr>
        <w:t>R</w:t>
      </w:r>
      <w:r w:rsidRPr="000E77E9">
        <w:rPr>
          <w:i/>
          <w:vertAlign w:val="subscript"/>
        </w:rPr>
        <w:t>f</w:t>
      </w:r>
      <w:r w:rsidRPr="000E77E9">
        <w:rPr>
          <w:vertAlign w:val="subscript"/>
        </w:rPr>
        <w:t xml:space="preserve"> </w:t>
      </w:r>
      <w:r>
        <w:rPr>
          <w:vertAlign w:val="subscript"/>
        </w:rPr>
        <w:t xml:space="preserve"> </w:t>
      </w:r>
      <w:r>
        <w:t xml:space="preserve">and recoil range in solid material is </w:t>
      </w:r>
      <w:r w:rsidRPr="00C8665B">
        <w:rPr>
          <w:i/>
        </w:rPr>
        <w:t>R</w:t>
      </w:r>
      <w:r w:rsidRPr="00C8665B">
        <w:rPr>
          <w:i/>
          <w:vertAlign w:val="subscript"/>
        </w:rPr>
        <w:t>s</w:t>
      </w:r>
      <w:r>
        <w:t>. If the trajectory of radon after recoil is O</w:t>
      </w:r>
      <w:r w:rsidRPr="00854538">
        <w:rPr>
          <w:vertAlign w:val="subscript"/>
        </w:rPr>
        <w:t>2</w:t>
      </w:r>
      <w:r>
        <w:t>AB, it is helpful to convert the stopping power in fluid to solid</w:t>
      </w:r>
      <w:r>
        <w:rPr>
          <w:vertAlign w:val="superscript"/>
        </w:rPr>
        <w:t xml:space="preserve"> </w:t>
      </w:r>
      <w:r w:rsidR="002B0D7E">
        <w:t>(Fleischer 1983)</w:t>
      </w:r>
      <w:r>
        <w:t xml:space="preserve">. In other words, the distance </w:t>
      </w:r>
      <w:r w:rsidRPr="00854538">
        <w:rPr>
          <w:i/>
        </w:rPr>
        <w:t>b</w:t>
      </w:r>
      <w:r>
        <w:t xml:space="preserve"> in pore filled by fluid is modified to an equivalent distance </w:t>
      </w:r>
      <w:r w:rsidRPr="00854538">
        <w:rPr>
          <w:i/>
        </w:rPr>
        <w:t>bR</w:t>
      </w:r>
      <w:r w:rsidRPr="00854538">
        <w:rPr>
          <w:i/>
          <w:vertAlign w:val="subscript"/>
        </w:rPr>
        <w:t>s</w:t>
      </w:r>
      <w:r w:rsidRPr="00854538">
        <w:rPr>
          <w:i/>
        </w:rPr>
        <w:t>/R</w:t>
      </w:r>
      <w:r>
        <w:rPr>
          <w:i/>
          <w:vertAlign w:val="subscript"/>
        </w:rPr>
        <w:t>f</w:t>
      </w:r>
      <w:r>
        <w:t xml:space="preserve"> in solid. Radon particle could possibly be ejected and trapped into the pore if the following criteria are satisfied:</w:t>
      </w:r>
    </w:p>
    <w:p w14:paraId="7BCB05F3" w14:textId="77777777" w:rsidR="004274BB" w:rsidRPr="0006219F" w:rsidRDefault="00A53410" w:rsidP="00A63047">
      <w:pPr>
        <w:rPr>
          <w:rFonts w:ascii="Cambria Math" w:hAnsi="Cambria Math"/>
          <w:bCs/>
        </w:rPr>
      </w:pPr>
      <m:oMath>
        <m:f>
          <m:fPr>
            <m:ctrlPr>
              <w:rPr>
                <w:rFonts w:ascii="Cambria Math" w:hAnsi="Cambria Math"/>
                <w:bCs/>
              </w:rPr>
            </m:ctrlPr>
          </m:fPr>
          <m:num>
            <m:r>
              <m:rPr>
                <m:sty m:val="p"/>
              </m:rPr>
              <w:rPr>
                <w:rFonts w:ascii="Cambria Math" w:hAnsi="Cambria Math"/>
              </w:rPr>
              <m:t>b</m:t>
            </m:r>
            <m:sSub>
              <m:sSubPr>
                <m:ctrlPr>
                  <w:rPr>
                    <w:rFonts w:ascii="Cambria Math" w:hAnsi="Cambria Math"/>
                    <w:bCs/>
                  </w:rPr>
                </m:ctrlPr>
              </m:sSubPr>
              <m:e>
                <m:r>
                  <m:rPr>
                    <m:sty m:val="p"/>
                  </m:rPr>
                  <w:rPr>
                    <w:rFonts w:ascii="Cambria Math" w:hAnsi="Cambria Math"/>
                  </w:rPr>
                  <m:t>R</m:t>
                </m:r>
              </m:e>
              <m:sub>
                <m:r>
                  <m:rPr>
                    <m:sty m:val="p"/>
                  </m:rPr>
                  <w:rPr>
                    <w:rFonts w:ascii="Cambria Math" w:hAnsi="Cambria Math"/>
                  </w:rPr>
                  <m:t>s</m:t>
                </m:r>
              </m:sub>
            </m:sSub>
          </m:num>
          <m:den>
            <m:sSub>
              <m:sSubPr>
                <m:ctrlPr>
                  <w:rPr>
                    <w:rFonts w:ascii="Cambria Math" w:hAnsi="Cambria Math"/>
                    <w:bCs/>
                  </w:rPr>
                </m:ctrlPr>
              </m:sSubPr>
              <m:e>
                <m:r>
                  <m:rPr>
                    <m:sty m:val="p"/>
                  </m:rPr>
                  <w:rPr>
                    <w:rFonts w:ascii="Cambria Math" w:hAnsi="Cambria Math"/>
                  </w:rPr>
                  <m:t>R</m:t>
                </m:r>
              </m:e>
              <m:sub>
                <m:r>
                  <m:rPr>
                    <m:sty m:val="p"/>
                  </m:rPr>
                  <w:rPr>
                    <w:rFonts w:ascii="Cambria Math" w:hAnsi="Cambria Math"/>
                  </w:rPr>
                  <m:t>f</m:t>
                </m:r>
              </m:sub>
            </m:sSub>
          </m:den>
        </m:f>
        <m:r>
          <m:rPr>
            <m:sty m:val="p"/>
          </m:rPr>
          <w:rPr>
            <w:rFonts w:ascii="Cambria Math" w:hAnsi="Cambria Math"/>
          </w:rPr>
          <m:t>+a&gt;</m:t>
        </m:r>
        <m:sSub>
          <m:sSubPr>
            <m:ctrlPr>
              <w:rPr>
                <w:rFonts w:ascii="Cambria Math" w:hAnsi="Cambria Math"/>
                <w:bCs/>
              </w:rPr>
            </m:ctrlPr>
          </m:sSubPr>
          <m:e>
            <m:r>
              <m:rPr>
                <m:sty m:val="p"/>
              </m:rPr>
              <w:rPr>
                <w:rFonts w:ascii="Cambria Math" w:hAnsi="Cambria Math"/>
              </w:rPr>
              <m:t>R</m:t>
            </m:r>
          </m:e>
          <m:sub>
            <m:r>
              <m:rPr>
                <m:sty m:val="p"/>
              </m:rPr>
              <w:rPr>
                <w:rFonts w:ascii="Cambria Math" w:hAnsi="Cambria Math"/>
              </w:rPr>
              <m:t>s</m:t>
            </m:r>
          </m:sub>
        </m:sSub>
        <m:r>
          <m:rPr>
            <m:sty m:val="p"/>
          </m:rPr>
          <w:rPr>
            <w:rFonts w:ascii="Cambria Math" w:hAnsi="Cambria Math"/>
          </w:rPr>
          <m:t xml:space="preserve">  &amp;  a&lt;</m:t>
        </m:r>
        <m:sSub>
          <m:sSubPr>
            <m:ctrlPr>
              <w:rPr>
                <w:rFonts w:ascii="Cambria Math" w:hAnsi="Cambria Math"/>
                <w:bCs/>
              </w:rPr>
            </m:ctrlPr>
          </m:sSubPr>
          <m:e>
            <m:r>
              <m:rPr>
                <m:sty m:val="p"/>
              </m:rPr>
              <w:rPr>
                <w:rFonts w:ascii="Cambria Math" w:hAnsi="Cambria Math"/>
              </w:rPr>
              <m:t>R</m:t>
            </m:r>
          </m:e>
          <m:sub>
            <m:r>
              <m:rPr>
                <m:sty m:val="p"/>
              </m:rPr>
              <w:rPr>
                <w:rFonts w:ascii="Cambria Math" w:hAnsi="Cambria Math"/>
              </w:rPr>
              <m:t>s</m:t>
            </m:r>
          </m:sub>
        </m:sSub>
      </m:oMath>
      <w:r w:rsidR="004274BB" w:rsidRPr="0006219F">
        <w:rPr>
          <w:rFonts w:ascii="Cambria Math" w:hAnsi="Cambria Math"/>
          <w:bCs/>
        </w:rPr>
        <w:tab/>
      </w:r>
      <w:r w:rsidR="004274BB" w:rsidRPr="0006219F">
        <w:rPr>
          <w:rFonts w:cstheme="minorHAnsi"/>
          <w:bCs/>
        </w:rPr>
        <w:t>(</w:t>
      </w:r>
      <w:r w:rsidR="00A63047" w:rsidRPr="0006219F">
        <w:rPr>
          <w:rFonts w:cstheme="minorHAnsi"/>
          <w:bCs/>
        </w:rPr>
        <w:t>5-5</w:t>
      </w:r>
      <w:r w:rsidR="004274BB" w:rsidRPr="0006219F">
        <w:rPr>
          <w:rFonts w:cstheme="minorHAnsi"/>
          <w:bCs/>
        </w:rPr>
        <w:t>)</w:t>
      </w:r>
    </w:p>
    <w:p w14:paraId="36B03F3A" w14:textId="77777777" w:rsidR="004274BB" w:rsidRPr="0006219F" w:rsidRDefault="00A63047" w:rsidP="004274BB">
      <w:pPr>
        <w:pStyle w:val="Para10"/>
      </w:pPr>
      <w:r w:rsidRPr="0006219F">
        <w:t>w</w:t>
      </w:r>
      <w:r w:rsidR="004274BB" w:rsidRPr="0006219F">
        <w:t>here,</w:t>
      </w:r>
    </w:p>
    <w:p w14:paraId="227668F7" w14:textId="77777777" w:rsidR="004274BB" w:rsidRPr="0006219F" w:rsidRDefault="0006219F" w:rsidP="00A63047">
      <w:pPr>
        <w:rPr>
          <w:bCs/>
        </w:rPr>
      </w:pPr>
      <m:oMath>
        <m:r>
          <m:rPr>
            <m:sty m:val="p"/>
          </m:rPr>
          <w:rPr>
            <w:rFonts w:ascii="Cambria Math" w:hAnsi="Cambria Math"/>
          </w:rPr>
          <m:t>a=</m:t>
        </m:r>
        <m:f>
          <m:fPr>
            <m:ctrlPr>
              <w:rPr>
                <w:rFonts w:ascii="Cambria Math" w:hAnsi="Cambria Math"/>
                <w:bCs/>
              </w:rPr>
            </m:ctrlPr>
          </m:fPr>
          <m:num>
            <m:r>
              <m:rPr>
                <m:sty m:val="p"/>
              </m:rPr>
              <w:rPr>
                <w:rFonts w:ascii="Cambria Math" w:hAnsi="Cambria Math"/>
              </w:rPr>
              <m:t>2</m:t>
            </m:r>
            <m:d>
              <m:dPr>
                <m:ctrlPr>
                  <w:rPr>
                    <w:rFonts w:ascii="Cambria Math" w:hAnsi="Cambria Math"/>
                    <w:bCs/>
                  </w:rPr>
                </m:ctrlPr>
              </m:dPr>
              <m:e>
                <m:r>
                  <m:rPr>
                    <m:sty m:val="p"/>
                  </m:rPr>
                  <w:rPr>
                    <w:rFonts w:ascii="Cambria Math" w:hAnsi="Cambria Math"/>
                  </w:rPr>
                  <m:t>x+R</m:t>
                </m:r>
              </m:e>
            </m:d>
            <m:r>
              <m:rPr>
                <m:sty m:val="p"/>
              </m:rPr>
              <w:rPr>
                <w:rFonts w:ascii="Cambria Math" w:hAnsi="Cambria Math"/>
              </w:rPr>
              <m:t>cosθ-</m:t>
            </m:r>
            <m:rad>
              <m:radPr>
                <m:degHide m:val="1"/>
                <m:ctrlPr>
                  <w:rPr>
                    <w:rFonts w:ascii="Cambria Math" w:hAnsi="Cambria Math"/>
                    <w:bCs/>
                  </w:rPr>
                </m:ctrlPr>
              </m:radPr>
              <m:deg/>
              <m:e>
                <m:r>
                  <m:rPr>
                    <m:sty m:val="p"/>
                  </m:rPr>
                  <w:rPr>
                    <w:rFonts w:ascii="Cambria Math" w:hAnsi="Cambria Math"/>
                  </w:rPr>
                  <m:t>4</m:t>
                </m:r>
                <m:sSup>
                  <m:sSupPr>
                    <m:ctrlPr>
                      <w:rPr>
                        <w:rFonts w:ascii="Cambria Math" w:hAnsi="Cambria Math"/>
                        <w:bCs/>
                      </w:rPr>
                    </m:ctrlPr>
                  </m:sSupPr>
                  <m:e>
                    <m:d>
                      <m:dPr>
                        <m:ctrlPr>
                          <w:rPr>
                            <w:rFonts w:ascii="Cambria Math" w:hAnsi="Cambria Math"/>
                            <w:bCs/>
                          </w:rPr>
                        </m:ctrlPr>
                      </m:dPr>
                      <m:e>
                        <m:r>
                          <m:rPr>
                            <m:sty m:val="p"/>
                          </m:rPr>
                          <w:rPr>
                            <w:rFonts w:ascii="Cambria Math" w:hAnsi="Cambria Math"/>
                          </w:rPr>
                          <m:t>x+R</m:t>
                        </m:r>
                      </m:e>
                    </m:d>
                  </m:e>
                  <m:sup>
                    <m:r>
                      <m:rPr>
                        <m:sty m:val="p"/>
                      </m:rPr>
                      <w:rPr>
                        <w:rFonts w:ascii="Cambria Math" w:hAnsi="Cambria Math"/>
                      </w:rPr>
                      <m:t>2</m:t>
                    </m:r>
                  </m:sup>
                </m:sSup>
                <m:func>
                  <m:funcPr>
                    <m:ctrlPr>
                      <w:rPr>
                        <w:rFonts w:ascii="Cambria Math" w:hAnsi="Cambria Math"/>
                        <w:bCs/>
                      </w:rPr>
                    </m:ctrlPr>
                  </m:funcPr>
                  <m:fName>
                    <m:sSup>
                      <m:sSupPr>
                        <m:ctrlPr>
                          <w:rPr>
                            <w:rFonts w:ascii="Cambria Math" w:hAnsi="Cambria Math"/>
                            <w:bCs/>
                          </w:rPr>
                        </m:ctrlPr>
                      </m:sSupPr>
                      <m:e>
                        <m:r>
                          <m:rPr>
                            <m:sty m:val="p"/>
                          </m:rPr>
                          <w:rPr>
                            <w:rFonts w:ascii="Cambria Math" w:hAnsi="Cambria Math"/>
                          </w:rPr>
                          <m:t>cos</m:t>
                        </m:r>
                      </m:e>
                      <m:sup>
                        <m:r>
                          <m:rPr>
                            <m:sty m:val="p"/>
                          </m:rPr>
                          <w:rPr>
                            <w:rFonts w:ascii="Cambria Math" w:hAnsi="Cambria Math"/>
                          </w:rPr>
                          <m:t>2</m:t>
                        </m:r>
                      </m:sup>
                    </m:sSup>
                  </m:fName>
                  <m:e>
                    <m:r>
                      <m:rPr>
                        <m:sty m:val="p"/>
                      </m:rPr>
                      <w:rPr>
                        <w:rFonts w:ascii="Cambria Math" w:hAnsi="Cambria Math"/>
                      </w:rPr>
                      <m:t>θ</m:t>
                    </m:r>
                  </m:e>
                </m:func>
                <m:r>
                  <m:rPr>
                    <m:sty m:val="p"/>
                  </m:rPr>
                  <w:rPr>
                    <w:rFonts w:ascii="Cambria Math" w:hAnsi="Cambria Math"/>
                  </w:rPr>
                  <m:t>-4</m:t>
                </m:r>
                <m:sSup>
                  <m:sSupPr>
                    <m:ctrlPr>
                      <w:rPr>
                        <w:rFonts w:ascii="Cambria Math" w:hAnsi="Cambria Math"/>
                        <w:bCs/>
                      </w:rPr>
                    </m:ctrlPr>
                  </m:sSupPr>
                  <m:e>
                    <m:r>
                      <m:rPr>
                        <m:sty m:val="p"/>
                      </m:rPr>
                      <w:rPr>
                        <w:rFonts w:ascii="Cambria Math" w:hAnsi="Cambria Math"/>
                      </w:rPr>
                      <m:t>x</m:t>
                    </m:r>
                  </m:e>
                  <m:sup>
                    <m:r>
                      <m:rPr>
                        <m:sty m:val="p"/>
                      </m:rPr>
                      <w:rPr>
                        <w:rFonts w:ascii="Cambria Math" w:hAnsi="Cambria Math"/>
                      </w:rPr>
                      <m:t>2</m:t>
                    </m:r>
                  </m:sup>
                </m:sSup>
                <m:r>
                  <m:rPr>
                    <m:sty m:val="p"/>
                  </m:rPr>
                  <w:rPr>
                    <w:rFonts w:ascii="Cambria Math" w:hAnsi="Cambria Math"/>
                  </w:rPr>
                  <m:t>-8Rx</m:t>
                </m:r>
              </m:e>
            </m:rad>
          </m:num>
          <m:den>
            <m:r>
              <m:rPr>
                <m:sty m:val="p"/>
              </m:rPr>
              <w:rPr>
                <w:rFonts w:ascii="Cambria Math" w:hAnsi="Cambria Math"/>
              </w:rPr>
              <m:t>2</m:t>
            </m:r>
          </m:den>
        </m:f>
      </m:oMath>
      <w:r w:rsidR="004274BB" w:rsidRPr="0006219F">
        <w:rPr>
          <w:bCs/>
        </w:rPr>
        <w:tab/>
        <w:t>(</w:t>
      </w:r>
      <w:r w:rsidR="00A63047" w:rsidRPr="0006219F">
        <w:rPr>
          <w:bCs/>
        </w:rPr>
        <w:t>5-6</w:t>
      </w:r>
      <w:r w:rsidR="004274BB" w:rsidRPr="0006219F">
        <w:rPr>
          <w:bCs/>
        </w:rPr>
        <w:t>)</w:t>
      </w:r>
    </w:p>
    <w:p w14:paraId="33A59DDA" w14:textId="77777777" w:rsidR="004274BB" w:rsidRPr="0006219F" w:rsidRDefault="0006219F" w:rsidP="00A63047">
      <w:pPr>
        <w:rPr>
          <w:bCs/>
        </w:rPr>
      </w:pPr>
      <m:oMath>
        <m:r>
          <m:rPr>
            <m:sty m:val="p"/>
          </m:rPr>
          <w:rPr>
            <w:rFonts w:ascii="Cambria Math" w:hAnsi="Cambria Math"/>
          </w:rPr>
          <m:t>b=</m:t>
        </m:r>
        <m:rad>
          <m:radPr>
            <m:degHide m:val="1"/>
            <m:ctrlPr>
              <w:rPr>
                <w:rFonts w:ascii="Cambria Math" w:hAnsi="Cambria Math"/>
                <w:bCs/>
              </w:rPr>
            </m:ctrlPr>
          </m:radPr>
          <m:deg/>
          <m:e>
            <m:r>
              <m:rPr>
                <m:sty m:val="p"/>
              </m:rPr>
              <w:rPr>
                <w:rFonts w:ascii="Cambria Math" w:hAnsi="Cambria Math"/>
              </w:rPr>
              <m:t>4</m:t>
            </m:r>
            <m:sSup>
              <m:sSupPr>
                <m:ctrlPr>
                  <w:rPr>
                    <w:rFonts w:ascii="Cambria Math" w:hAnsi="Cambria Math"/>
                    <w:bCs/>
                  </w:rPr>
                </m:ctrlPr>
              </m:sSupPr>
              <m:e>
                <m:d>
                  <m:dPr>
                    <m:ctrlPr>
                      <w:rPr>
                        <w:rFonts w:ascii="Cambria Math" w:hAnsi="Cambria Math"/>
                        <w:bCs/>
                      </w:rPr>
                    </m:ctrlPr>
                  </m:dPr>
                  <m:e>
                    <m:r>
                      <m:rPr>
                        <m:sty m:val="p"/>
                      </m:rPr>
                      <w:rPr>
                        <w:rFonts w:ascii="Cambria Math" w:hAnsi="Cambria Math"/>
                      </w:rPr>
                      <m:t>x+R</m:t>
                    </m:r>
                  </m:e>
                </m:d>
              </m:e>
              <m:sup>
                <m:r>
                  <m:rPr>
                    <m:sty m:val="p"/>
                  </m:rPr>
                  <w:rPr>
                    <w:rFonts w:ascii="Cambria Math" w:hAnsi="Cambria Math"/>
                  </w:rPr>
                  <m:t>2</m:t>
                </m:r>
              </m:sup>
            </m:sSup>
            <m:func>
              <m:funcPr>
                <m:ctrlPr>
                  <w:rPr>
                    <w:rFonts w:ascii="Cambria Math" w:hAnsi="Cambria Math"/>
                    <w:bCs/>
                  </w:rPr>
                </m:ctrlPr>
              </m:funcPr>
              <m:fName>
                <m:sSup>
                  <m:sSupPr>
                    <m:ctrlPr>
                      <w:rPr>
                        <w:rFonts w:ascii="Cambria Math" w:hAnsi="Cambria Math"/>
                        <w:bCs/>
                      </w:rPr>
                    </m:ctrlPr>
                  </m:sSupPr>
                  <m:e>
                    <m:r>
                      <m:rPr>
                        <m:sty m:val="p"/>
                      </m:rPr>
                      <w:rPr>
                        <w:rFonts w:ascii="Cambria Math" w:hAnsi="Cambria Math"/>
                      </w:rPr>
                      <m:t>cos</m:t>
                    </m:r>
                  </m:e>
                  <m:sup>
                    <m:r>
                      <m:rPr>
                        <m:sty m:val="p"/>
                      </m:rPr>
                      <w:rPr>
                        <w:rFonts w:ascii="Cambria Math" w:hAnsi="Cambria Math"/>
                      </w:rPr>
                      <m:t>2</m:t>
                    </m:r>
                  </m:sup>
                </m:sSup>
              </m:fName>
              <m:e>
                <m:r>
                  <m:rPr>
                    <m:sty m:val="p"/>
                  </m:rPr>
                  <w:rPr>
                    <w:rFonts w:ascii="Cambria Math" w:hAnsi="Cambria Math"/>
                  </w:rPr>
                  <m:t>θ</m:t>
                </m:r>
              </m:e>
            </m:func>
            <m:r>
              <m:rPr>
                <m:sty m:val="p"/>
              </m:rPr>
              <w:rPr>
                <w:rFonts w:ascii="Cambria Math" w:hAnsi="Cambria Math"/>
              </w:rPr>
              <m:t>-4</m:t>
            </m:r>
            <m:sSup>
              <m:sSupPr>
                <m:ctrlPr>
                  <w:rPr>
                    <w:rFonts w:ascii="Cambria Math" w:hAnsi="Cambria Math"/>
                    <w:bCs/>
                  </w:rPr>
                </m:ctrlPr>
              </m:sSupPr>
              <m:e>
                <m:r>
                  <m:rPr>
                    <m:sty m:val="p"/>
                  </m:rPr>
                  <w:rPr>
                    <w:rFonts w:ascii="Cambria Math" w:hAnsi="Cambria Math"/>
                  </w:rPr>
                  <m:t>x</m:t>
                </m:r>
              </m:e>
              <m:sup>
                <m:r>
                  <m:rPr>
                    <m:sty m:val="p"/>
                  </m:rPr>
                  <w:rPr>
                    <w:rFonts w:ascii="Cambria Math" w:hAnsi="Cambria Math"/>
                  </w:rPr>
                  <m:t>2</m:t>
                </m:r>
              </m:sup>
            </m:sSup>
            <m:r>
              <m:rPr>
                <m:sty m:val="p"/>
              </m:rPr>
              <w:rPr>
                <w:rFonts w:ascii="Cambria Math" w:hAnsi="Cambria Math"/>
              </w:rPr>
              <m:t>-8Rx</m:t>
            </m:r>
          </m:e>
        </m:rad>
      </m:oMath>
      <w:r w:rsidR="004274BB" w:rsidRPr="0006219F">
        <w:rPr>
          <w:bCs/>
        </w:rPr>
        <w:tab/>
        <w:t>(5</w:t>
      </w:r>
      <w:r w:rsidR="00A63047" w:rsidRPr="0006219F">
        <w:rPr>
          <w:bCs/>
        </w:rPr>
        <w:t>-7</w:t>
      </w:r>
      <w:r w:rsidR="004274BB" w:rsidRPr="0006219F">
        <w:rPr>
          <w:bCs/>
        </w:rPr>
        <w:t>)</w:t>
      </w:r>
    </w:p>
    <w:p w14:paraId="73A59107" w14:textId="77777777" w:rsidR="004274BB" w:rsidRPr="0006219F" w:rsidRDefault="004274BB" w:rsidP="004274BB">
      <w:pPr>
        <w:pStyle w:val="Para10"/>
      </w:pPr>
    </w:p>
    <w:p w14:paraId="31B9BBC5" w14:textId="77777777" w:rsidR="004274BB" w:rsidRPr="0006219F" w:rsidRDefault="004274BB" w:rsidP="00A63047">
      <w:r w:rsidRPr="0006219F">
        <w:t>For a specific x, when the radon trajectory is within the range of angles [</w:t>
      </w:r>
      <m:oMath>
        <m:r>
          <m:rPr>
            <m:sty m:val="p"/>
          </m:rPr>
          <w:rPr>
            <w:rFonts w:ascii="Cambria Math" w:hAnsi="Cambria Math"/>
          </w:rPr>
          <m:t>θ</m:t>
        </m:r>
      </m:oMath>
      <w:r w:rsidR="00A63047" w:rsidRPr="0006219F">
        <w:rPr>
          <w:vertAlign w:val="subscript"/>
        </w:rPr>
        <w:t xml:space="preserve"> </w:t>
      </w:r>
      <w:r w:rsidRPr="0006219F">
        <w:rPr>
          <w:vertAlign w:val="subscript"/>
        </w:rPr>
        <w:t>1</w:t>
      </w:r>
      <w:r w:rsidRPr="0006219F">
        <w:t xml:space="preserve">, </w:t>
      </w:r>
      <m:oMath>
        <m:r>
          <m:rPr>
            <m:sty m:val="p"/>
          </m:rPr>
          <w:rPr>
            <w:rFonts w:ascii="Cambria Math" w:hAnsi="Cambria Math"/>
          </w:rPr>
          <m:t>θ</m:t>
        </m:r>
      </m:oMath>
      <w:r w:rsidR="00A63047" w:rsidRPr="0006219F">
        <w:rPr>
          <w:vertAlign w:val="subscript"/>
        </w:rPr>
        <w:t xml:space="preserve"> </w:t>
      </w:r>
      <w:r w:rsidRPr="0006219F">
        <w:rPr>
          <w:vertAlign w:val="subscript"/>
        </w:rPr>
        <w:t>2</w:t>
      </w:r>
      <w:r w:rsidRPr="0006219F">
        <w:t>] it will stay in the pore space. The corresponding probability is obtained by:</w:t>
      </w:r>
    </w:p>
    <w:p w14:paraId="3D6542B8" w14:textId="77777777" w:rsidR="004274BB" w:rsidRPr="0006219F" w:rsidRDefault="00A53410" w:rsidP="00A56800">
      <w:pPr>
        <w:rPr>
          <w:bCs/>
        </w:rPr>
      </w:pPr>
      <m:oMath>
        <m:sSub>
          <m:sSubPr>
            <m:ctrlPr>
              <w:rPr>
                <w:rFonts w:ascii="Cambria Math" w:hAnsi="Cambria Math"/>
                <w:bCs/>
              </w:rPr>
            </m:ctrlPr>
          </m:sSubPr>
          <m:e>
            <m:r>
              <m:rPr>
                <m:sty m:val="p"/>
              </m:rPr>
              <w:rPr>
                <w:rFonts w:ascii="Cambria Math" w:hAnsi="Cambria Math"/>
              </w:rPr>
              <m:t>e</m:t>
            </m:r>
          </m:e>
          <m:sub>
            <m:r>
              <m:rPr>
                <m:sty m:val="p"/>
              </m:rPr>
              <w:rPr>
                <w:rFonts w:ascii="Cambria Math" w:hAnsi="Cambria Math"/>
              </w:rPr>
              <m:t>x</m:t>
            </m:r>
          </m:sub>
        </m:sSub>
        <m:r>
          <m:rPr>
            <m:sty m:val="p"/>
          </m:rPr>
          <w:rPr>
            <w:rFonts w:ascii="Cambria Math" w:hAnsi="Cambria Math"/>
          </w:rPr>
          <m:t>=</m:t>
        </m:r>
        <m:f>
          <m:fPr>
            <m:ctrlPr>
              <w:rPr>
                <w:rFonts w:ascii="Cambria Math" w:hAnsi="Cambria Math"/>
                <w:bCs/>
              </w:rPr>
            </m:ctrlPr>
          </m:fPr>
          <m:num>
            <m:r>
              <m:rPr>
                <m:sty m:val="p"/>
              </m:rPr>
              <w:rPr>
                <w:rFonts w:ascii="Cambria Math" w:hAnsi="Cambria Math"/>
              </w:rPr>
              <m:t>2π</m:t>
            </m:r>
            <m:sSub>
              <m:sSubPr>
                <m:ctrlPr>
                  <w:rPr>
                    <w:rFonts w:ascii="Cambria Math" w:hAnsi="Cambria Math"/>
                    <w:bCs/>
                  </w:rPr>
                </m:ctrlPr>
              </m:sSubPr>
              <m:e>
                <m:r>
                  <m:rPr>
                    <m:sty m:val="p"/>
                  </m:rPr>
                  <w:rPr>
                    <w:rFonts w:ascii="Cambria Math" w:hAnsi="Cambria Math"/>
                  </w:rPr>
                  <m:t>R</m:t>
                </m:r>
              </m:e>
              <m:sub>
                <m:r>
                  <m:rPr>
                    <m:sty m:val="p"/>
                  </m:rPr>
                  <w:rPr>
                    <w:rFonts w:ascii="Cambria Math" w:hAnsi="Cambria Math"/>
                  </w:rPr>
                  <m:t>S</m:t>
                </m:r>
              </m:sub>
            </m:sSub>
            <m:d>
              <m:dPr>
                <m:begChr m:val="["/>
                <m:endChr m:val="]"/>
                <m:ctrlPr>
                  <w:rPr>
                    <w:rFonts w:ascii="Cambria Math" w:hAnsi="Cambria Math"/>
                    <w:bCs/>
                  </w:rPr>
                </m:ctrlPr>
              </m:dPr>
              <m:e>
                <m:d>
                  <m:dPr>
                    <m:ctrlPr>
                      <w:rPr>
                        <w:rFonts w:ascii="Cambria Math" w:hAnsi="Cambria Math"/>
                        <w:bCs/>
                      </w:rPr>
                    </m:ctrlPr>
                  </m:dPr>
                  <m:e>
                    <m:sSub>
                      <m:sSubPr>
                        <m:ctrlPr>
                          <w:rPr>
                            <w:rFonts w:ascii="Cambria Math" w:hAnsi="Cambria Math"/>
                            <w:bCs/>
                          </w:rPr>
                        </m:ctrlPr>
                      </m:sSubPr>
                      <m:e>
                        <m:r>
                          <m:rPr>
                            <m:sty m:val="p"/>
                          </m:rPr>
                          <w:rPr>
                            <w:rFonts w:ascii="Cambria Math" w:hAnsi="Cambria Math"/>
                          </w:rPr>
                          <m:t>R</m:t>
                        </m:r>
                      </m:e>
                      <m:sub>
                        <m:r>
                          <m:rPr>
                            <m:sty m:val="p"/>
                          </m:rPr>
                          <w:rPr>
                            <w:rFonts w:ascii="Cambria Math" w:hAnsi="Cambria Math"/>
                          </w:rPr>
                          <m:t>s</m:t>
                        </m:r>
                      </m:sub>
                    </m:sSub>
                    <m:r>
                      <m:rPr>
                        <m:sty m:val="p"/>
                      </m:rPr>
                      <w:rPr>
                        <w:rFonts w:ascii="Cambria Math" w:hAnsi="Cambria Math"/>
                      </w:rPr>
                      <m:t>-</m:t>
                    </m:r>
                    <m:sSub>
                      <m:sSubPr>
                        <m:ctrlPr>
                          <w:rPr>
                            <w:rFonts w:ascii="Cambria Math" w:hAnsi="Cambria Math"/>
                            <w:bCs/>
                          </w:rPr>
                        </m:ctrlPr>
                      </m:sSubPr>
                      <m:e>
                        <m:r>
                          <m:rPr>
                            <m:sty m:val="p"/>
                          </m:rPr>
                          <w:rPr>
                            <w:rFonts w:ascii="Cambria Math" w:hAnsi="Cambria Math"/>
                          </w:rPr>
                          <m:t>R</m:t>
                        </m:r>
                      </m:e>
                      <m:sub>
                        <m:r>
                          <m:rPr>
                            <m:sty m:val="p"/>
                          </m:rPr>
                          <w:rPr>
                            <w:rFonts w:ascii="Cambria Math" w:hAnsi="Cambria Math"/>
                          </w:rPr>
                          <m:t>s</m:t>
                        </m:r>
                      </m:sub>
                    </m:sSub>
                    <m:r>
                      <m:rPr>
                        <m:sty m:val="p"/>
                      </m:rPr>
                      <w:rPr>
                        <w:rFonts w:ascii="Cambria Math" w:hAnsi="Cambria Math"/>
                      </w:rPr>
                      <m:t>cos</m:t>
                    </m:r>
                    <m:sSub>
                      <m:sSubPr>
                        <m:ctrlPr>
                          <w:rPr>
                            <w:rFonts w:ascii="Cambria Math" w:hAnsi="Cambria Math"/>
                            <w:bCs/>
                          </w:rPr>
                        </m:ctrlPr>
                      </m:sSubPr>
                      <m:e>
                        <m:r>
                          <m:rPr>
                            <m:sty m:val="p"/>
                          </m:rPr>
                          <w:rPr>
                            <w:rFonts w:ascii="Cambria Math" w:hAnsi="Cambria Math"/>
                          </w:rPr>
                          <m:t>θ</m:t>
                        </m:r>
                      </m:e>
                      <m:sub>
                        <m:r>
                          <m:rPr>
                            <m:sty m:val="p"/>
                          </m:rPr>
                          <w:rPr>
                            <w:rFonts w:ascii="Cambria Math" w:hAnsi="Cambria Math"/>
                          </w:rPr>
                          <m:t>2</m:t>
                        </m:r>
                      </m:sub>
                    </m:sSub>
                  </m:e>
                </m:d>
                <m:r>
                  <m:rPr>
                    <m:sty m:val="p"/>
                  </m:rPr>
                  <w:rPr>
                    <w:rFonts w:ascii="Cambria Math" w:hAnsi="Cambria Math"/>
                  </w:rPr>
                  <m:t>-</m:t>
                </m:r>
                <m:d>
                  <m:dPr>
                    <m:ctrlPr>
                      <w:rPr>
                        <w:rFonts w:ascii="Cambria Math" w:hAnsi="Cambria Math"/>
                        <w:bCs/>
                      </w:rPr>
                    </m:ctrlPr>
                  </m:dPr>
                  <m:e>
                    <m:sSub>
                      <m:sSubPr>
                        <m:ctrlPr>
                          <w:rPr>
                            <w:rFonts w:ascii="Cambria Math" w:hAnsi="Cambria Math"/>
                            <w:bCs/>
                          </w:rPr>
                        </m:ctrlPr>
                      </m:sSubPr>
                      <m:e>
                        <m:r>
                          <m:rPr>
                            <m:sty m:val="p"/>
                          </m:rPr>
                          <w:rPr>
                            <w:rFonts w:ascii="Cambria Math" w:hAnsi="Cambria Math"/>
                          </w:rPr>
                          <m:t>R</m:t>
                        </m:r>
                      </m:e>
                      <m:sub>
                        <m:r>
                          <m:rPr>
                            <m:sty m:val="p"/>
                          </m:rPr>
                          <w:rPr>
                            <w:rFonts w:ascii="Cambria Math" w:hAnsi="Cambria Math"/>
                          </w:rPr>
                          <m:t>s</m:t>
                        </m:r>
                      </m:sub>
                    </m:sSub>
                    <m:r>
                      <m:rPr>
                        <m:sty m:val="p"/>
                      </m:rPr>
                      <w:rPr>
                        <w:rFonts w:ascii="Cambria Math" w:hAnsi="Cambria Math"/>
                      </w:rPr>
                      <m:t>-</m:t>
                    </m:r>
                    <m:sSub>
                      <m:sSubPr>
                        <m:ctrlPr>
                          <w:rPr>
                            <w:rFonts w:ascii="Cambria Math" w:hAnsi="Cambria Math"/>
                            <w:bCs/>
                          </w:rPr>
                        </m:ctrlPr>
                      </m:sSubPr>
                      <m:e>
                        <m:r>
                          <m:rPr>
                            <m:sty m:val="p"/>
                          </m:rPr>
                          <w:rPr>
                            <w:rFonts w:ascii="Cambria Math" w:hAnsi="Cambria Math"/>
                          </w:rPr>
                          <m:t>R</m:t>
                        </m:r>
                      </m:e>
                      <m:sub>
                        <m:r>
                          <m:rPr>
                            <m:sty m:val="p"/>
                          </m:rPr>
                          <w:rPr>
                            <w:rFonts w:ascii="Cambria Math" w:hAnsi="Cambria Math"/>
                          </w:rPr>
                          <m:t>s</m:t>
                        </m:r>
                      </m:sub>
                    </m:sSub>
                    <m:r>
                      <m:rPr>
                        <m:sty m:val="p"/>
                      </m:rPr>
                      <w:rPr>
                        <w:rFonts w:ascii="Cambria Math" w:hAnsi="Cambria Math"/>
                      </w:rPr>
                      <m:t>cos</m:t>
                    </m:r>
                    <m:sSub>
                      <m:sSubPr>
                        <m:ctrlPr>
                          <w:rPr>
                            <w:rFonts w:ascii="Cambria Math" w:hAnsi="Cambria Math"/>
                            <w:bCs/>
                          </w:rPr>
                        </m:ctrlPr>
                      </m:sSubPr>
                      <m:e>
                        <m:r>
                          <m:rPr>
                            <m:sty m:val="p"/>
                          </m:rPr>
                          <w:rPr>
                            <w:rFonts w:ascii="Cambria Math" w:hAnsi="Cambria Math"/>
                          </w:rPr>
                          <m:t>θ</m:t>
                        </m:r>
                      </m:e>
                      <m:sub>
                        <m:r>
                          <m:rPr>
                            <m:sty m:val="p"/>
                          </m:rPr>
                          <w:rPr>
                            <w:rFonts w:ascii="Cambria Math" w:hAnsi="Cambria Math"/>
                          </w:rPr>
                          <m:t>1</m:t>
                        </m:r>
                      </m:sub>
                    </m:sSub>
                  </m:e>
                </m:d>
              </m:e>
            </m:d>
          </m:num>
          <m:den>
            <m:r>
              <m:rPr>
                <m:sty m:val="p"/>
              </m:rPr>
              <w:rPr>
                <w:rFonts w:ascii="Cambria Math" w:hAnsi="Cambria Math"/>
              </w:rPr>
              <m:t>4π</m:t>
            </m:r>
            <m:sSubSup>
              <m:sSubSupPr>
                <m:ctrlPr>
                  <w:rPr>
                    <w:rFonts w:ascii="Cambria Math" w:hAnsi="Cambria Math"/>
                    <w:bCs/>
                  </w:rPr>
                </m:ctrlPr>
              </m:sSubSupPr>
              <m:e>
                <m:r>
                  <m:rPr>
                    <m:sty m:val="p"/>
                  </m:rPr>
                  <w:rPr>
                    <w:rFonts w:ascii="Cambria Math" w:hAnsi="Cambria Math"/>
                  </w:rPr>
                  <m:t>R</m:t>
                </m:r>
              </m:e>
              <m:sub>
                <m:r>
                  <m:rPr>
                    <m:sty m:val="p"/>
                  </m:rPr>
                  <w:rPr>
                    <w:rFonts w:ascii="Cambria Math" w:hAnsi="Cambria Math"/>
                  </w:rPr>
                  <m:t>s</m:t>
                </m:r>
              </m:sub>
              <m:sup>
                <m:r>
                  <m:rPr>
                    <m:sty m:val="p"/>
                  </m:rPr>
                  <w:rPr>
                    <w:rFonts w:ascii="Cambria Math" w:hAnsi="Cambria Math"/>
                  </w:rPr>
                  <m:t>2</m:t>
                </m:r>
              </m:sup>
            </m:sSubSup>
          </m:den>
        </m:f>
        <m:r>
          <m:rPr>
            <m:sty m:val="p"/>
          </m:rPr>
          <w:rPr>
            <w:rFonts w:ascii="Cambria Math" w:hAnsi="Cambria Math"/>
          </w:rPr>
          <m:t>=</m:t>
        </m:r>
        <m:f>
          <m:fPr>
            <m:ctrlPr>
              <w:rPr>
                <w:rFonts w:ascii="Cambria Math" w:hAnsi="Cambria Math"/>
                <w:bCs/>
              </w:rPr>
            </m:ctrlPr>
          </m:fPr>
          <m:num>
            <m:r>
              <m:rPr>
                <m:sty m:val="p"/>
              </m:rPr>
              <w:rPr>
                <w:rFonts w:ascii="Cambria Math" w:hAnsi="Cambria Math"/>
              </w:rPr>
              <m:t>cos</m:t>
            </m:r>
            <m:sSub>
              <m:sSubPr>
                <m:ctrlPr>
                  <w:rPr>
                    <w:rFonts w:ascii="Cambria Math" w:hAnsi="Cambria Math"/>
                    <w:bCs/>
                  </w:rPr>
                </m:ctrlPr>
              </m:sSubPr>
              <m:e>
                <m:r>
                  <m:rPr>
                    <m:sty m:val="p"/>
                  </m:rPr>
                  <w:rPr>
                    <w:rFonts w:ascii="Cambria Math" w:hAnsi="Cambria Math"/>
                  </w:rPr>
                  <m:t>θ</m:t>
                </m:r>
              </m:e>
              <m:sub>
                <m:r>
                  <m:rPr>
                    <m:sty m:val="p"/>
                  </m:rPr>
                  <w:rPr>
                    <w:rFonts w:ascii="Cambria Math" w:hAnsi="Cambria Math"/>
                  </w:rPr>
                  <m:t>1</m:t>
                </m:r>
              </m:sub>
            </m:sSub>
            <m:r>
              <m:rPr>
                <m:sty m:val="p"/>
              </m:rPr>
              <w:rPr>
                <w:rFonts w:ascii="Cambria Math" w:hAnsi="Cambria Math"/>
              </w:rPr>
              <m:t>-</m:t>
            </m:r>
            <m:func>
              <m:funcPr>
                <m:ctrlPr>
                  <w:rPr>
                    <w:rFonts w:ascii="Cambria Math" w:hAnsi="Cambria Math"/>
                    <w:bCs/>
                  </w:rPr>
                </m:ctrlPr>
              </m:funcPr>
              <m:fName>
                <m:r>
                  <m:rPr>
                    <m:sty m:val="p"/>
                  </m:rPr>
                  <w:rPr>
                    <w:rFonts w:ascii="Cambria Math" w:hAnsi="Cambria Math"/>
                  </w:rPr>
                  <m:t>cos</m:t>
                </m:r>
              </m:fName>
              <m:e>
                <m:sSub>
                  <m:sSubPr>
                    <m:ctrlPr>
                      <w:rPr>
                        <w:rFonts w:ascii="Cambria Math" w:hAnsi="Cambria Math"/>
                        <w:bCs/>
                      </w:rPr>
                    </m:ctrlPr>
                  </m:sSubPr>
                  <m:e>
                    <m:r>
                      <m:rPr>
                        <m:sty m:val="p"/>
                      </m:rPr>
                      <w:rPr>
                        <w:rFonts w:ascii="Cambria Math" w:hAnsi="Cambria Math"/>
                      </w:rPr>
                      <m:t>θ</m:t>
                    </m:r>
                  </m:e>
                  <m:sub>
                    <m:r>
                      <m:rPr>
                        <m:sty m:val="p"/>
                      </m:rPr>
                      <w:rPr>
                        <w:rFonts w:ascii="Cambria Math" w:hAnsi="Cambria Math"/>
                      </w:rPr>
                      <m:t>2</m:t>
                    </m:r>
                  </m:sub>
                </m:sSub>
              </m:e>
            </m:func>
          </m:num>
          <m:den>
            <m:r>
              <m:rPr>
                <m:sty m:val="p"/>
              </m:rPr>
              <w:rPr>
                <w:rFonts w:ascii="Cambria Math" w:hAnsi="Cambria Math"/>
              </w:rPr>
              <m:t>2</m:t>
            </m:r>
          </m:den>
        </m:f>
      </m:oMath>
      <w:r w:rsidR="004274BB" w:rsidRPr="0006219F">
        <w:rPr>
          <w:bCs/>
        </w:rPr>
        <w:tab/>
        <w:t>(</w:t>
      </w:r>
      <w:r w:rsidR="00C34090" w:rsidRPr="0006219F">
        <w:rPr>
          <w:bCs/>
        </w:rPr>
        <w:t>5-8</w:t>
      </w:r>
      <w:r w:rsidR="004274BB" w:rsidRPr="0006219F">
        <w:rPr>
          <w:bCs/>
        </w:rPr>
        <w:t>)</w:t>
      </w:r>
    </w:p>
    <w:p w14:paraId="70BD51A0" w14:textId="77777777" w:rsidR="004274BB" w:rsidRPr="0006219F" w:rsidRDefault="004274BB" w:rsidP="00C34090">
      <w:r w:rsidRPr="0006219F">
        <w:t>The overall emanation efficiency e is:</w:t>
      </w:r>
    </w:p>
    <w:p w14:paraId="29F15D97" w14:textId="77777777" w:rsidR="004274BB" w:rsidRDefault="0006219F" w:rsidP="00C34090">
      <w:pPr>
        <w:rPr>
          <w:bCs/>
        </w:rPr>
      </w:pPr>
      <m:oMath>
        <m:r>
          <m:rPr>
            <m:sty m:val="p"/>
          </m:rPr>
          <w:rPr>
            <w:rFonts w:ascii="Cambria Math" w:hAnsi="Cambria Math"/>
          </w:rPr>
          <m:t>e=</m:t>
        </m:r>
        <m:f>
          <m:fPr>
            <m:ctrlPr>
              <w:rPr>
                <w:rFonts w:ascii="Cambria Math" w:hAnsi="Cambria Math"/>
                <w:bCs/>
              </w:rPr>
            </m:ctrlPr>
          </m:fPr>
          <m:num>
            <m:r>
              <m:rPr>
                <m:sty m:val="p"/>
              </m:rPr>
              <w:rPr>
                <w:rFonts w:ascii="Cambria Math" w:hAnsi="Cambria Math"/>
              </w:rPr>
              <m:t>1</m:t>
            </m:r>
          </m:num>
          <m:den>
            <m:r>
              <m:rPr>
                <m:sty m:val="p"/>
              </m:rPr>
              <w:rPr>
                <w:rFonts w:ascii="Cambria Math" w:hAnsi="Cambria Math"/>
              </w:rPr>
              <m:t>V</m:t>
            </m:r>
          </m:den>
        </m:f>
        <m:nary>
          <m:naryPr>
            <m:limLoc m:val="undOvr"/>
            <m:subHide m:val="1"/>
            <m:supHide m:val="1"/>
            <m:ctrlPr>
              <w:rPr>
                <w:rFonts w:ascii="Cambria Math" w:hAnsi="Cambria Math"/>
                <w:bCs/>
              </w:rPr>
            </m:ctrlPr>
          </m:naryPr>
          <m:sub/>
          <m:sup/>
          <m:e>
            <m:sSub>
              <m:sSubPr>
                <m:ctrlPr>
                  <w:rPr>
                    <w:rFonts w:ascii="Cambria Math" w:hAnsi="Cambria Math"/>
                    <w:bCs/>
                  </w:rPr>
                </m:ctrlPr>
              </m:sSubPr>
              <m:e>
                <m:r>
                  <m:rPr>
                    <m:sty m:val="p"/>
                  </m:rPr>
                  <w:rPr>
                    <w:rFonts w:ascii="Cambria Math" w:hAnsi="Cambria Math"/>
                  </w:rPr>
                  <m:t>e</m:t>
                </m:r>
              </m:e>
              <m:sub>
                <m:r>
                  <m:rPr>
                    <m:sty m:val="p"/>
                  </m:rPr>
                  <w:rPr>
                    <w:rFonts w:ascii="Cambria Math" w:hAnsi="Cambria Math"/>
                  </w:rPr>
                  <m:t>x</m:t>
                </m:r>
              </m:sub>
            </m:sSub>
            <m:r>
              <m:rPr>
                <m:sty m:val="p"/>
              </m:rPr>
              <w:rPr>
                <w:rFonts w:ascii="Cambria Math" w:hAnsi="Cambria Math"/>
              </w:rPr>
              <m:t>dV=</m:t>
            </m:r>
            <m:f>
              <m:fPr>
                <m:ctrlPr>
                  <w:rPr>
                    <w:rFonts w:ascii="Cambria Math" w:hAnsi="Cambria Math"/>
                    <w:bCs/>
                  </w:rPr>
                </m:ctrlPr>
              </m:fPr>
              <m:num>
                <m:r>
                  <m:rPr>
                    <m:sty m:val="p"/>
                  </m:rPr>
                  <w:rPr>
                    <w:rFonts w:ascii="Cambria Math" w:hAnsi="Cambria Math"/>
                  </w:rPr>
                  <m:t>1</m:t>
                </m:r>
              </m:num>
              <m:den>
                <m:d>
                  <m:dPr>
                    <m:ctrlPr>
                      <w:rPr>
                        <w:rFonts w:ascii="Cambria Math" w:hAnsi="Cambria Math"/>
                        <w:bCs/>
                      </w:rPr>
                    </m:ctrlPr>
                  </m:dPr>
                  <m:e>
                    <m:f>
                      <m:fPr>
                        <m:ctrlPr>
                          <w:rPr>
                            <w:rFonts w:ascii="Cambria Math" w:hAnsi="Cambria Math"/>
                            <w:bCs/>
                          </w:rPr>
                        </m:ctrlPr>
                      </m:fPr>
                      <m:num>
                        <m:r>
                          <m:rPr>
                            <m:sty m:val="p"/>
                          </m:rPr>
                          <w:rPr>
                            <w:rFonts w:ascii="Cambria Math" w:hAnsi="Cambria Math"/>
                          </w:rPr>
                          <m:t>4</m:t>
                        </m:r>
                      </m:num>
                      <m:den>
                        <m:r>
                          <m:rPr>
                            <m:sty m:val="p"/>
                          </m:rPr>
                          <w:rPr>
                            <w:rFonts w:ascii="Cambria Math" w:hAnsi="Cambria Math"/>
                          </w:rPr>
                          <m:t>3</m:t>
                        </m:r>
                      </m:den>
                    </m:f>
                    <m:r>
                      <m:rPr>
                        <m:sty m:val="p"/>
                      </m:rPr>
                      <w:rPr>
                        <w:rFonts w:ascii="Cambria Math" w:hAnsi="Cambria Math"/>
                      </w:rPr>
                      <m:t>π</m:t>
                    </m:r>
                    <m:sSup>
                      <m:sSupPr>
                        <m:ctrlPr>
                          <w:rPr>
                            <w:rFonts w:ascii="Cambria Math" w:hAnsi="Cambria Math"/>
                            <w:bCs/>
                          </w:rPr>
                        </m:ctrlPr>
                      </m:sSupPr>
                      <m:e>
                        <m:d>
                          <m:dPr>
                            <m:ctrlPr>
                              <w:rPr>
                                <w:rFonts w:ascii="Cambria Math" w:hAnsi="Cambria Math"/>
                                <w:bCs/>
                              </w:rPr>
                            </m:ctrlPr>
                          </m:dPr>
                          <m:e>
                            <m:r>
                              <m:rPr>
                                <m:sty m:val="p"/>
                              </m:rPr>
                              <w:rPr>
                                <w:rFonts w:ascii="Cambria Math" w:hAnsi="Cambria Math"/>
                              </w:rPr>
                              <m:t>R+</m:t>
                            </m:r>
                            <m:sSub>
                              <m:sSubPr>
                                <m:ctrlPr>
                                  <w:rPr>
                                    <w:rFonts w:ascii="Cambria Math" w:hAnsi="Cambria Math"/>
                                    <w:bCs/>
                                  </w:rPr>
                                </m:ctrlPr>
                              </m:sSubPr>
                              <m:e>
                                <m:r>
                                  <m:rPr>
                                    <m:sty m:val="p"/>
                                  </m:rPr>
                                  <w:rPr>
                                    <w:rFonts w:ascii="Cambria Math" w:hAnsi="Cambria Math"/>
                                  </w:rPr>
                                  <m:t>R</m:t>
                                </m:r>
                              </m:e>
                              <m:sub>
                                <m:r>
                                  <m:rPr>
                                    <m:sty m:val="p"/>
                                  </m:rPr>
                                  <w:rPr>
                                    <w:rFonts w:ascii="Cambria Math" w:hAnsi="Cambria Math"/>
                                  </w:rPr>
                                  <m:t>s</m:t>
                                </m:r>
                              </m:sub>
                            </m:sSub>
                          </m:e>
                        </m:d>
                      </m:e>
                      <m:sup>
                        <m:r>
                          <m:rPr>
                            <m:sty m:val="p"/>
                          </m:rPr>
                          <w:rPr>
                            <w:rFonts w:ascii="Cambria Math" w:hAnsi="Cambria Math"/>
                          </w:rPr>
                          <m:t>3</m:t>
                        </m:r>
                      </m:sup>
                    </m:sSup>
                    <m:r>
                      <m:rPr>
                        <m:sty m:val="p"/>
                      </m:rPr>
                      <w:rPr>
                        <w:rFonts w:ascii="Cambria Math" w:hAnsi="Cambria Math"/>
                      </w:rPr>
                      <m:t>-</m:t>
                    </m:r>
                    <m:f>
                      <m:fPr>
                        <m:ctrlPr>
                          <w:rPr>
                            <w:rFonts w:ascii="Cambria Math" w:hAnsi="Cambria Math"/>
                            <w:bCs/>
                          </w:rPr>
                        </m:ctrlPr>
                      </m:fPr>
                      <m:num>
                        <m:r>
                          <m:rPr>
                            <m:sty m:val="p"/>
                          </m:rPr>
                          <w:rPr>
                            <w:rFonts w:ascii="Cambria Math" w:hAnsi="Cambria Math"/>
                          </w:rPr>
                          <m:t>4</m:t>
                        </m:r>
                      </m:num>
                      <m:den>
                        <m:r>
                          <m:rPr>
                            <m:sty m:val="p"/>
                          </m:rPr>
                          <w:rPr>
                            <w:rFonts w:ascii="Cambria Math" w:hAnsi="Cambria Math"/>
                          </w:rPr>
                          <m:t>3</m:t>
                        </m:r>
                      </m:den>
                    </m:f>
                    <m:r>
                      <m:rPr>
                        <m:sty m:val="p"/>
                      </m:rPr>
                      <w:rPr>
                        <w:rFonts w:ascii="Cambria Math" w:hAnsi="Cambria Math"/>
                      </w:rPr>
                      <m:t>π</m:t>
                    </m:r>
                    <m:sSup>
                      <m:sSupPr>
                        <m:ctrlPr>
                          <w:rPr>
                            <w:rFonts w:ascii="Cambria Math" w:hAnsi="Cambria Math"/>
                            <w:bCs/>
                          </w:rPr>
                        </m:ctrlPr>
                      </m:sSupPr>
                      <m:e>
                        <m:r>
                          <m:rPr>
                            <m:sty m:val="p"/>
                          </m:rPr>
                          <w:rPr>
                            <w:rFonts w:ascii="Cambria Math" w:hAnsi="Cambria Math"/>
                          </w:rPr>
                          <m:t>R</m:t>
                        </m:r>
                      </m:e>
                      <m:sup>
                        <m:r>
                          <m:rPr>
                            <m:sty m:val="p"/>
                          </m:rPr>
                          <w:rPr>
                            <w:rFonts w:ascii="Cambria Math" w:hAnsi="Cambria Math"/>
                          </w:rPr>
                          <m:t>3</m:t>
                        </m:r>
                      </m:sup>
                    </m:sSup>
                  </m:e>
                </m:d>
              </m:den>
            </m:f>
            <m:nary>
              <m:naryPr>
                <m:limLoc m:val="subSup"/>
                <m:ctrlPr>
                  <w:rPr>
                    <w:rFonts w:ascii="Cambria Math" w:hAnsi="Cambria Math"/>
                    <w:bCs/>
                  </w:rPr>
                </m:ctrlPr>
              </m:naryPr>
              <m:sub>
                <m:r>
                  <m:rPr>
                    <m:sty m:val="p"/>
                  </m:rPr>
                  <w:rPr>
                    <w:rFonts w:ascii="Cambria Math" w:hAnsi="Cambria Math"/>
                  </w:rPr>
                  <m:t>0</m:t>
                </m:r>
              </m:sub>
              <m:sup>
                <m:sSub>
                  <m:sSubPr>
                    <m:ctrlPr>
                      <w:rPr>
                        <w:rFonts w:ascii="Cambria Math" w:hAnsi="Cambria Math"/>
                        <w:bCs/>
                      </w:rPr>
                    </m:ctrlPr>
                  </m:sSubPr>
                  <m:e>
                    <m:r>
                      <m:rPr>
                        <m:sty m:val="p"/>
                      </m:rPr>
                      <w:rPr>
                        <w:rFonts w:ascii="Cambria Math" w:hAnsi="Cambria Math"/>
                      </w:rPr>
                      <m:t>R</m:t>
                    </m:r>
                  </m:e>
                  <m:sub>
                    <m:r>
                      <m:rPr>
                        <m:sty m:val="p"/>
                      </m:rPr>
                      <w:rPr>
                        <w:rFonts w:ascii="Cambria Math" w:hAnsi="Cambria Math"/>
                      </w:rPr>
                      <m:t>s</m:t>
                    </m:r>
                  </m:sub>
                </m:sSub>
              </m:sup>
              <m:e>
                <m:sSub>
                  <m:sSubPr>
                    <m:ctrlPr>
                      <w:rPr>
                        <w:rFonts w:ascii="Cambria Math" w:hAnsi="Cambria Math"/>
                        <w:bCs/>
                      </w:rPr>
                    </m:ctrlPr>
                  </m:sSubPr>
                  <m:e>
                    <m:r>
                      <m:rPr>
                        <m:sty m:val="p"/>
                      </m:rPr>
                      <w:rPr>
                        <w:rFonts w:ascii="Cambria Math" w:hAnsi="Cambria Math"/>
                      </w:rPr>
                      <m:t>e</m:t>
                    </m:r>
                  </m:e>
                  <m:sub>
                    <m:r>
                      <m:rPr>
                        <m:sty m:val="p"/>
                      </m:rPr>
                      <w:rPr>
                        <w:rFonts w:ascii="Cambria Math" w:hAnsi="Cambria Math"/>
                      </w:rPr>
                      <m:t>x</m:t>
                    </m:r>
                  </m:sub>
                </m:sSub>
                <m:r>
                  <m:rPr>
                    <m:sty m:val="p"/>
                  </m:rPr>
                  <w:rPr>
                    <w:rFonts w:ascii="Cambria Math" w:hAnsi="Cambria Math"/>
                  </w:rPr>
                  <m:t>4π</m:t>
                </m:r>
                <m:sSup>
                  <m:sSupPr>
                    <m:ctrlPr>
                      <w:rPr>
                        <w:rFonts w:ascii="Cambria Math" w:hAnsi="Cambria Math"/>
                        <w:bCs/>
                      </w:rPr>
                    </m:ctrlPr>
                  </m:sSupPr>
                  <m:e>
                    <m:d>
                      <m:dPr>
                        <m:ctrlPr>
                          <w:rPr>
                            <w:rFonts w:ascii="Cambria Math" w:hAnsi="Cambria Math"/>
                            <w:bCs/>
                          </w:rPr>
                        </m:ctrlPr>
                      </m:dPr>
                      <m:e>
                        <m:r>
                          <m:rPr>
                            <m:sty m:val="p"/>
                          </m:rPr>
                          <w:rPr>
                            <w:rFonts w:ascii="Cambria Math" w:hAnsi="Cambria Math"/>
                          </w:rPr>
                          <m:t>R+x</m:t>
                        </m:r>
                      </m:e>
                    </m:d>
                  </m:e>
                  <m:sup>
                    <m:r>
                      <m:rPr>
                        <m:sty m:val="p"/>
                      </m:rPr>
                      <w:rPr>
                        <w:rFonts w:ascii="Cambria Math" w:hAnsi="Cambria Math"/>
                      </w:rPr>
                      <m:t>2</m:t>
                    </m:r>
                  </m:sup>
                </m:sSup>
                <m:r>
                  <m:rPr>
                    <m:sty m:val="p"/>
                  </m:rPr>
                  <w:rPr>
                    <w:rFonts w:ascii="Cambria Math" w:hAnsi="Cambria Math"/>
                  </w:rPr>
                  <m:t>dx</m:t>
                </m:r>
              </m:e>
            </m:nary>
          </m:e>
        </m:nary>
      </m:oMath>
      <w:r w:rsidR="004274BB">
        <w:rPr>
          <w:bCs/>
        </w:rPr>
        <w:tab/>
        <w:t>(</w:t>
      </w:r>
      <w:r w:rsidR="00C34090">
        <w:rPr>
          <w:bCs/>
        </w:rPr>
        <w:t>5-9</w:t>
      </w:r>
      <w:r w:rsidR="004274BB">
        <w:rPr>
          <w:bCs/>
        </w:rPr>
        <w:t>)</w:t>
      </w:r>
    </w:p>
    <w:p w14:paraId="2BA02414" w14:textId="77777777" w:rsidR="004274BB" w:rsidRPr="007F293A" w:rsidRDefault="004274BB" w:rsidP="004274BB">
      <w:pPr>
        <w:pStyle w:val="ListParagraph"/>
        <w:tabs>
          <w:tab w:val="left" w:pos="8064"/>
        </w:tabs>
        <w:ind w:left="810"/>
        <w:rPr>
          <w:rFonts w:ascii="Cambria Math" w:hAnsi="Cambria Math"/>
          <w:bCs/>
        </w:rPr>
      </w:pPr>
    </w:p>
    <w:p w14:paraId="3994CBEA" w14:textId="77777777" w:rsidR="004274BB" w:rsidRDefault="004274BB" w:rsidP="00A63047">
      <w:pPr>
        <w:pStyle w:val="TableNormal1"/>
      </w:pPr>
      <w:r>
        <w:lastRenderedPageBreak/>
        <w:drawing>
          <wp:inline distT="0" distB="0" distL="0" distR="0" wp14:anchorId="7203E5AD" wp14:editId="1A8F0913">
            <wp:extent cx="3903235" cy="5216056"/>
            <wp:effectExtent l="0" t="0" r="2540" b="381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nation from Grains into Pores.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904993" cy="5218405"/>
                    </a:xfrm>
                    <a:prstGeom prst="rect">
                      <a:avLst/>
                    </a:prstGeom>
                  </pic:spPr>
                </pic:pic>
              </a:graphicData>
            </a:graphic>
          </wp:inline>
        </w:drawing>
      </w:r>
    </w:p>
    <w:p w14:paraId="1C5F8FC6" w14:textId="64CAE93E" w:rsidR="004274BB" w:rsidRPr="00541084" w:rsidRDefault="004274BB" w:rsidP="00BF3F9B">
      <w:pPr>
        <w:pStyle w:val="Caption"/>
        <w:rPr>
          <w:szCs w:val="22"/>
        </w:rPr>
      </w:pPr>
      <w:bookmarkStart w:id="231" w:name="_Ref492048952"/>
      <w:bookmarkStart w:id="232" w:name="_Toc495144755"/>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6</w:t>
      </w:r>
      <w:r w:rsidR="00280FFF">
        <w:rPr>
          <w:szCs w:val="22"/>
        </w:rPr>
        <w:fldChar w:fldCharType="end"/>
      </w:r>
      <w:bookmarkEnd w:id="231"/>
      <w:r w:rsidRPr="00541084">
        <w:rPr>
          <w:szCs w:val="22"/>
        </w:rPr>
        <w:t xml:space="preserve">. Schematic cross-section view of spherical pore shape. The radon generated from radium in grains may enter the pore space. </w:t>
      </w:r>
      <w:r w:rsidRPr="00541084">
        <w:rPr>
          <w:i/>
          <w:szCs w:val="22"/>
        </w:rPr>
        <w:t>O</w:t>
      </w:r>
      <w:r w:rsidRPr="00541084">
        <w:rPr>
          <w:i/>
          <w:szCs w:val="22"/>
          <w:vertAlign w:val="subscript"/>
        </w:rPr>
        <w:t>2</w:t>
      </w:r>
      <w:r w:rsidRPr="00541084">
        <w:rPr>
          <w:i/>
          <w:szCs w:val="22"/>
        </w:rPr>
        <w:t>A</w:t>
      </w:r>
      <w:r w:rsidRPr="00541084">
        <w:rPr>
          <w:szCs w:val="22"/>
        </w:rPr>
        <w:t xml:space="preserve"> section has length of a. </w:t>
      </w:r>
      <w:r w:rsidRPr="00541084">
        <w:rPr>
          <w:i/>
          <w:szCs w:val="22"/>
        </w:rPr>
        <w:t>AB</w:t>
      </w:r>
      <w:r w:rsidRPr="00541084">
        <w:rPr>
          <w:szCs w:val="22"/>
        </w:rPr>
        <w:t xml:space="preserve"> section has length of </w:t>
      </w:r>
      <w:r w:rsidRPr="00541084">
        <w:rPr>
          <w:i/>
          <w:szCs w:val="22"/>
        </w:rPr>
        <w:t>b</w:t>
      </w:r>
      <w:r w:rsidRPr="00541084">
        <w:rPr>
          <w:szCs w:val="22"/>
        </w:rPr>
        <w:t xml:space="preserve">. </w:t>
      </w:r>
      <w:r w:rsidRPr="00541084">
        <w:rPr>
          <w:i/>
          <w:szCs w:val="22"/>
        </w:rPr>
        <w:t>O</w:t>
      </w:r>
      <w:r w:rsidRPr="00541084">
        <w:rPr>
          <w:i/>
          <w:szCs w:val="22"/>
          <w:vertAlign w:val="subscript"/>
        </w:rPr>
        <w:t>2</w:t>
      </w:r>
      <w:r w:rsidRPr="00541084">
        <w:rPr>
          <w:i/>
          <w:szCs w:val="22"/>
        </w:rPr>
        <w:t xml:space="preserve">C </w:t>
      </w:r>
      <w:r w:rsidRPr="00541084">
        <w:rPr>
          <w:szCs w:val="22"/>
        </w:rPr>
        <w:t xml:space="preserve">section has length of </w:t>
      </w:r>
      <w:r w:rsidRPr="00541084">
        <w:rPr>
          <w:i/>
          <w:szCs w:val="22"/>
        </w:rPr>
        <w:t>x</w:t>
      </w:r>
      <w:r w:rsidRPr="00541084">
        <w:rPr>
          <w:szCs w:val="22"/>
        </w:rPr>
        <w:t>.</w:t>
      </w:r>
      <w:bookmarkEnd w:id="232"/>
    </w:p>
    <w:p w14:paraId="191B6883" w14:textId="77777777" w:rsidR="004274BB" w:rsidRPr="004274BB" w:rsidRDefault="004274BB" w:rsidP="004274BB"/>
    <w:p w14:paraId="4B852B4D" w14:textId="77777777" w:rsidR="004274BB" w:rsidRPr="004274BB" w:rsidRDefault="004274BB" w:rsidP="004274BB">
      <w:pPr>
        <w:pStyle w:val="Heading4"/>
      </w:pPr>
      <w:r>
        <w:t xml:space="preserve">Generation from Pores </w:t>
      </w:r>
    </w:p>
    <w:p w14:paraId="4EDB0E46" w14:textId="4E7567A5" w:rsidR="004274BB" w:rsidRDefault="004274BB" w:rsidP="004274BB">
      <w:pPr>
        <w:pStyle w:val="Para10"/>
      </w:pPr>
      <w:r>
        <w:fldChar w:fldCharType="begin"/>
      </w:r>
      <w:r>
        <w:instrText xml:space="preserve"> REF _Ref468978775 \h </w:instrText>
      </w:r>
      <w:r>
        <w:fldChar w:fldCharType="separate"/>
      </w:r>
      <w:r w:rsidR="00C34090">
        <w:t xml:space="preserve">Figure </w:t>
      </w:r>
      <w:r w:rsidR="00C34090">
        <w:rPr>
          <w:noProof/>
        </w:rPr>
        <w:t>5</w:t>
      </w:r>
      <w:r w:rsidR="00C34090">
        <w:noBreakHyphen/>
      </w:r>
      <w:r w:rsidR="00C34090">
        <w:rPr>
          <w:noProof/>
        </w:rPr>
        <w:t>7</w:t>
      </w:r>
      <w:r>
        <w:fldChar w:fldCharType="end"/>
      </w:r>
      <w:r>
        <w:t xml:space="preserve"> shows the geometry considered in the calculation of the remaining radon in pore after alpha decay of radium in the pore space. The radium atom is located at position </w:t>
      </w:r>
      <w:r w:rsidRPr="00FD4BE9">
        <w:rPr>
          <w:i/>
        </w:rPr>
        <w:t>O</w:t>
      </w:r>
      <w:r w:rsidRPr="00FD4BE9">
        <w:rPr>
          <w:i/>
          <w:vertAlign w:val="subscript"/>
        </w:rPr>
        <w:t>2</w:t>
      </w:r>
      <w:r>
        <w:t xml:space="preserve">. If produced radon falls on to the curve </w:t>
      </w:r>
      <m:oMath>
        <m:acc>
          <m:accPr>
            <m:ctrlPr>
              <w:rPr>
                <w:rFonts w:ascii="Cambria Math" w:hAnsi="Cambria Math"/>
                <w:i/>
                <w:color w:val="000000" w:themeColor="text1"/>
              </w:rPr>
            </m:ctrlPr>
          </m:accPr>
          <m:e>
            <m:r>
              <w:rPr>
                <w:rFonts w:ascii="Cambria Math" w:hAnsi="Cambria Math"/>
                <w:color w:val="000000" w:themeColor="text1"/>
              </w:rPr>
              <m:t>AB</m:t>
            </m:r>
          </m:e>
        </m:acc>
      </m:oMath>
      <w:r w:rsidRPr="00DE28E1">
        <w:rPr>
          <w:color w:val="000000" w:themeColor="text1"/>
        </w:rPr>
        <w:t xml:space="preserve"> outside the pore space (solid circle), it is regarded as entering into adjacent grains. The remaining ratio </w:t>
      </w:r>
      <w:r w:rsidRPr="00DE28E1">
        <w:rPr>
          <w:i/>
          <w:color w:val="000000" w:themeColor="text1"/>
        </w:rPr>
        <w:t>F</w:t>
      </w:r>
      <w:r w:rsidRPr="00DE28E1">
        <w:rPr>
          <w:color w:val="000000" w:themeColor="text1"/>
        </w:rPr>
        <w:t xml:space="preserve"> is defined to represent how much of the produced radon will be kept in the pore space</w:t>
      </w:r>
      <w:r>
        <w:rPr>
          <w:color w:val="000000" w:themeColor="text1"/>
        </w:rPr>
        <w:t xml:space="preserve">. By assuming radium is uniformly distributed in the pore space, </w:t>
      </w:r>
      <w:r w:rsidRPr="00850AED">
        <w:rPr>
          <w:i/>
          <w:color w:val="000000" w:themeColor="text1"/>
        </w:rPr>
        <w:t>F</w:t>
      </w:r>
      <w:r>
        <w:rPr>
          <w:vertAlign w:val="superscript"/>
        </w:rPr>
        <w:t xml:space="preserve"> </w:t>
      </w:r>
      <w:r w:rsidR="002B0D7E">
        <w:t>(</w:t>
      </w:r>
      <w:r w:rsidR="002B0D7E" w:rsidRPr="00DF7ECB">
        <w:t>Flügge</w:t>
      </w:r>
      <w:r w:rsidR="002B0D7E">
        <w:t xml:space="preserve"> and Zimens </w:t>
      </w:r>
      <w:r w:rsidR="002B0D7E">
        <w:lastRenderedPageBreak/>
        <w:t>1939)</w:t>
      </w:r>
      <w:r w:rsidR="00C15129">
        <w:t xml:space="preserve"> is calculated by</w:t>
      </w:r>
      <w:r>
        <w:t xml:space="preserve">: </w:t>
      </w:r>
    </w:p>
    <w:p w14:paraId="44BF8373" w14:textId="77777777" w:rsidR="004274BB" w:rsidRPr="0006219F" w:rsidRDefault="0006219F" w:rsidP="00C34090">
      <w:pPr>
        <w:rPr>
          <w:bCs/>
        </w:rPr>
      </w:pPr>
      <m:oMath>
        <m:r>
          <m:rPr>
            <m:sty m:val="p"/>
          </m:rPr>
          <w:rPr>
            <w:rFonts w:ascii="Cambria Math" w:hAnsi="Cambria Math"/>
          </w:rPr>
          <m:t>F=1-</m:t>
        </m:r>
        <m:f>
          <m:fPr>
            <m:ctrlPr>
              <w:rPr>
                <w:rFonts w:ascii="Cambria Math" w:hAnsi="Cambria Math"/>
                <w:bCs/>
              </w:rPr>
            </m:ctrlPr>
          </m:fPr>
          <m:num>
            <m:r>
              <m:rPr>
                <m:sty m:val="p"/>
              </m:rPr>
              <w:rPr>
                <w:rFonts w:ascii="Cambria Math" w:hAnsi="Cambria Math"/>
              </w:rPr>
              <m:t>3</m:t>
            </m:r>
          </m:num>
          <m:den>
            <m:r>
              <m:rPr>
                <m:sty m:val="p"/>
              </m:rPr>
              <w:rPr>
                <w:rFonts w:ascii="Cambria Math" w:hAnsi="Cambria Math"/>
              </w:rPr>
              <m:t>4</m:t>
            </m:r>
          </m:den>
        </m:f>
        <m:r>
          <m:rPr>
            <m:sty m:val="p"/>
          </m:rPr>
          <w:rPr>
            <w:rFonts w:ascii="Cambria Math" w:hAnsi="Cambria Math"/>
          </w:rPr>
          <m:t>α</m:t>
        </m:r>
        <m:d>
          <m:dPr>
            <m:ctrlPr>
              <w:rPr>
                <w:rFonts w:ascii="Cambria Math" w:hAnsi="Cambria Math"/>
                <w:bCs/>
              </w:rPr>
            </m:ctrlPr>
          </m:dPr>
          <m:e>
            <m:r>
              <m:rPr>
                <m:sty m:val="p"/>
              </m:rPr>
              <w:rPr>
                <w:rFonts w:ascii="Cambria Math" w:hAnsi="Cambria Math"/>
              </w:rPr>
              <m:t>1-</m:t>
            </m:r>
            <m:sSup>
              <m:sSupPr>
                <m:ctrlPr>
                  <w:rPr>
                    <w:rFonts w:ascii="Cambria Math" w:hAnsi="Cambria Math"/>
                    <w:bCs/>
                  </w:rPr>
                </m:ctrlPr>
              </m:sSupPr>
              <m:e>
                <m:r>
                  <m:rPr>
                    <m:sty m:val="p"/>
                  </m:rPr>
                  <w:rPr>
                    <w:rFonts w:ascii="Cambria Math" w:hAnsi="Cambria Math"/>
                  </w:rPr>
                  <m:t>α</m:t>
                </m:r>
              </m:e>
              <m:sup>
                <m:r>
                  <m:rPr>
                    <m:sty m:val="p"/>
                  </m:rPr>
                  <w:rPr>
                    <w:rFonts w:ascii="Cambria Math" w:hAnsi="Cambria Math"/>
                  </w:rPr>
                  <m:t>2</m:t>
                </m:r>
              </m:sup>
            </m:sSup>
            <m:r>
              <m:rPr>
                <m:sty m:val="p"/>
              </m:rPr>
              <w:rPr>
                <w:rFonts w:ascii="Cambria Math" w:hAnsi="Cambria Math"/>
              </w:rPr>
              <m:t>/12</m:t>
            </m:r>
          </m:e>
        </m:d>
      </m:oMath>
      <w:r w:rsidR="004274BB" w:rsidRPr="0006219F">
        <w:rPr>
          <w:bCs/>
        </w:rPr>
        <w:tab/>
        <w:t>(</w:t>
      </w:r>
      <w:r w:rsidR="00C34090" w:rsidRPr="0006219F">
        <w:rPr>
          <w:bCs/>
        </w:rPr>
        <w:t>5-10</w:t>
      </w:r>
      <w:r w:rsidR="004274BB" w:rsidRPr="0006219F">
        <w:rPr>
          <w:bCs/>
        </w:rPr>
        <w:t>)</w:t>
      </w:r>
    </w:p>
    <w:p w14:paraId="02229B76" w14:textId="77777777" w:rsidR="004274BB" w:rsidRPr="0006219F" w:rsidRDefault="00C34090" w:rsidP="00C34090">
      <w:r w:rsidRPr="0006219F">
        <w:t>w</w:t>
      </w:r>
      <w:r w:rsidR="004274BB" w:rsidRPr="0006219F">
        <w:t xml:space="preserve">here, </w:t>
      </w:r>
    </w:p>
    <w:p w14:paraId="04B2B8B1" w14:textId="77777777" w:rsidR="004274BB" w:rsidRPr="00BE2050" w:rsidRDefault="0006219F" w:rsidP="00C34090">
      <w:pPr>
        <w:rPr>
          <w:bCs/>
        </w:rPr>
      </w:pPr>
      <m:oMath>
        <m:r>
          <m:rPr>
            <m:sty m:val="p"/>
          </m:rPr>
          <w:rPr>
            <w:rFonts w:ascii="Cambria Math" w:hAnsi="Cambria Math"/>
          </w:rPr>
          <m:t>α=</m:t>
        </m:r>
        <m:sSub>
          <m:sSubPr>
            <m:ctrlPr>
              <w:rPr>
                <w:rFonts w:ascii="Cambria Math" w:hAnsi="Cambria Math"/>
                <w:bCs/>
              </w:rPr>
            </m:ctrlPr>
          </m:sSubPr>
          <m:e>
            <m:r>
              <m:rPr>
                <m:sty m:val="p"/>
              </m:rPr>
              <w:rPr>
                <w:rFonts w:ascii="Cambria Math" w:hAnsi="Cambria Math"/>
              </w:rPr>
              <m:t>R</m:t>
            </m:r>
          </m:e>
          <m:sub>
            <m:r>
              <m:rPr>
                <m:sty m:val="p"/>
              </m:rPr>
              <w:rPr>
                <w:rFonts w:ascii="Cambria Math" w:hAnsi="Cambria Math"/>
              </w:rPr>
              <m:t>f</m:t>
            </m:r>
          </m:sub>
        </m:sSub>
        <m:r>
          <m:rPr>
            <m:sty m:val="p"/>
          </m:rPr>
          <w:rPr>
            <w:rFonts w:ascii="Cambria Math" w:hAnsi="Cambria Math"/>
          </w:rPr>
          <m:t>/R</m:t>
        </m:r>
      </m:oMath>
      <w:r w:rsidR="004274BB">
        <w:rPr>
          <w:bCs/>
        </w:rPr>
        <w:tab/>
        <w:t>(</w:t>
      </w:r>
      <w:r w:rsidR="00C34090">
        <w:rPr>
          <w:bCs/>
        </w:rPr>
        <w:t>5-11</w:t>
      </w:r>
      <w:r w:rsidR="004274BB">
        <w:rPr>
          <w:bCs/>
        </w:rPr>
        <w:t>)</w:t>
      </w:r>
    </w:p>
    <w:p w14:paraId="576401F8" w14:textId="77777777" w:rsidR="004274BB" w:rsidRPr="008700C4" w:rsidRDefault="004274BB" w:rsidP="00C34090">
      <w:r>
        <w:t xml:space="preserve">The remaining ratio </w:t>
      </w:r>
      <w:r w:rsidRPr="008700C4">
        <w:rPr>
          <w:i/>
        </w:rPr>
        <w:t>F</w:t>
      </w:r>
      <w:r>
        <w:t xml:space="preserve"> becomes zero when </w:t>
      </w:r>
      <w:r w:rsidRPr="008700C4">
        <w:rPr>
          <w:i/>
        </w:rPr>
        <w:t>R</w:t>
      </w:r>
      <w:r w:rsidRPr="008E0B05">
        <w:rPr>
          <w:i/>
          <w:vertAlign w:val="subscript"/>
        </w:rPr>
        <w:t>f</w:t>
      </w:r>
      <w:r>
        <w:rPr>
          <w:i/>
          <w:vertAlign w:val="subscript"/>
        </w:rPr>
        <w:t xml:space="preserve"> </w:t>
      </w:r>
      <w:r>
        <w:t>&gt;=</w:t>
      </w:r>
      <w:r>
        <w:rPr>
          <w:i/>
        </w:rPr>
        <w:t>2R</w:t>
      </w:r>
      <w:r>
        <w:t>.</w:t>
      </w:r>
    </w:p>
    <w:p w14:paraId="32AC633F" w14:textId="77777777" w:rsidR="004274BB" w:rsidRDefault="004274BB" w:rsidP="004274BB">
      <w:pPr>
        <w:pStyle w:val="Para10"/>
      </w:pPr>
    </w:p>
    <w:p w14:paraId="1A68427A" w14:textId="77777777" w:rsidR="004274BB" w:rsidRDefault="004274BB" w:rsidP="00C34090">
      <w:pPr>
        <w:pStyle w:val="TableNormal1"/>
      </w:pPr>
      <w:r>
        <w:drawing>
          <wp:inline distT="0" distB="0" distL="0" distR="0" wp14:anchorId="7C5BCEAD" wp14:editId="6914CC90">
            <wp:extent cx="4822103" cy="4306327"/>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nation from Pores into Grains.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824596" cy="4308553"/>
                    </a:xfrm>
                    <a:prstGeom prst="rect">
                      <a:avLst/>
                    </a:prstGeom>
                  </pic:spPr>
                </pic:pic>
              </a:graphicData>
            </a:graphic>
          </wp:inline>
        </w:drawing>
      </w:r>
    </w:p>
    <w:p w14:paraId="2CCB0CF3" w14:textId="55F8A558" w:rsidR="004274BB" w:rsidRPr="00541084" w:rsidRDefault="004274BB" w:rsidP="00BF3F9B">
      <w:pPr>
        <w:pStyle w:val="Caption"/>
        <w:rPr>
          <w:szCs w:val="22"/>
        </w:rPr>
      </w:pPr>
      <w:bookmarkStart w:id="233" w:name="_Ref468978775"/>
      <w:bookmarkStart w:id="234" w:name="_Toc495144756"/>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7</w:t>
      </w:r>
      <w:r w:rsidR="00280FFF">
        <w:rPr>
          <w:szCs w:val="22"/>
        </w:rPr>
        <w:fldChar w:fldCharType="end"/>
      </w:r>
      <w:bookmarkEnd w:id="233"/>
      <w:r w:rsidRPr="00541084">
        <w:rPr>
          <w:szCs w:val="22"/>
        </w:rPr>
        <w:t>. Schematic cross-section view. Radon generated from radium in pore space may remain in pore space.</w:t>
      </w:r>
      <w:bookmarkEnd w:id="234"/>
      <w:r w:rsidRPr="00541084">
        <w:rPr>
          <w:szCs w:val="22"/>
        </w:rPr>
        <w:t xml:space="preserve"> </w:t>
      </w:r>
    </w:p>
    <w:p w14:paraId="04BC9CD3" w14:textId="77777777" w:rsidR="00C34090" w:rsidRDefault="00C34090" w:rsidP="00C34090"/>
    <w:p w14:paraId="52D8F643" w14:textId="77777777" w:rsidR="00C34090" w:rsidRDefault="00C34090" w:rsidP="00C34090"/>
    <w:p w14:paraId="686C373D" w14:textId="77777777" w:rsidR="00A07F10" w:rsidRDefault="00C34090" w:rsidP="004274BB">
      <w:pPr>
        <w:pStyle w:val="Heading2"/>
      </w:pPr>
      <w:bookmarkStart w:id="235" w:name="_Toc494014240"/>
      <w:r>
        <w:lastRenderedPageBreak/>
        <w:t>R</w:t>
      </w:r>
      <w:r w:rsidR="004274BB">
        <w:t>adon Transport</w:t>
      </w:r>
      <w:bookmarkEnd w:id="235"/>
    </w:p>
    <w:p w14:paraId="1A900344" w14:textId="77777777" w:rsidR="004274BB" w:rsidRPr="00E73B83" w:rsidRDefault="004274BB" w:rsidP="00C34090">
      <w:r w:rsidRPr="00E73B83">
        <w:t xml:space="preserve">Radon starts to flow with natural gas or water when the reservoir is developed. Radon partitions between water and gas if there is any two-phase condition. The partition coefficient of radon is changing with temperature </w:t>
      </w:r>
      <w:r w:rsidRPr="00E73B83">
        <w:rPr>
          <w:i/>
        </w:rPr>
        <w:t xml:space="preserve">T </w:t>
      </w:r>
      <w:r w:rsidRPr="00E73B83">
        <w:t>(</w:t>
      </w:r>
      <w:r w:rsidRPr="00E73B83">
        <w:rPr>
          <w:noProof/>
        </w:rPr>
        <w:t>Weigel 1978)</w:t>
      </w:r>
      <w:r w:rsidRPr="00E73B83">
        <w:t xml:space="preserve">: </w:t>
      </w:r>
    </w:p>
    <w:p w14:paraId="21DA14F5" w14:textId="77777777" w:rsidR="004274BB" w:rsidRPr="00E73B83" w:rsidRDefault="0006219F" w:rsidP="00C34090">
      <m:oMath>
        <m:r>
          <m:rPr>
            <m:sty m:val="p"/>
          </m:rPr>
          <w:rPr>
            <w:rFonts w:ascii="Cambria Math" w:hAnsi="Cambria Math"/>
          </w:rPr>
          <m:t>K=</m:t>
        </m:r>
        <m:f>
          <m:fPr>
            <m:ctrlPr>
              <w:rPr>
                <w:rFonts w:ascii="Cambria Math" w:hAnsi="Cambria Math"/>
              </w:rPr>
            </m:ctrlPr>
          </m:fPr>
          <m:num>
            <m:sSub>
              <m:sSubPr>
                <m:ctrlPr>
                  <w:rPr>
                    <w:rFonts w:ascii="Cambria Math" w:hAnsi="Cambria Math"/>
                  </w:rPr>
                </m:ctrlPr>
              </m:sSubPr>
              <m:e>
                <m:sPre>
                  <m:sPrePr>
                    <m:ctrlPr>
                      <w:rPr>
                        <w:rFonts w:ascii="Cambria Math" w:hAnsi="Cambria Math"/>
                      </w:rPr>
                    </m:ctrlPr>
                  </m:sPrePr>
                  <m:sub/>
                  <m:sup>
                    <m:r>
                      <m:rPr>
                        <m:sty m:val="p"/>
                      </m:rPr>
                      <w:rPr>
                        <w:rFonts w:ascii="Cambria Math" w:hAnsi="Cambria Math"/>
                      </w:rPr>
                      <m:t>222</m:t>
                    </m:r>
                  </m:sup>
                  <m:e>
                    <m:r>
                      <m:rPr>
                        <m:sty m:val="p"/>
                      </m:rPr>
                      <w:rPr>
                        <w:rFonts w:ascii="Cambria Math" w:hAnsi="Cambria Math"/>
                      </w:rPr>
                      <m:t>Rn</m:t>
                    </m:r>
                  </m:e>
                </m:sPre>
              </m:e>
              <m:sub>
                <m:r>
                  <m:rPr>
                    <m:sty m:val="p"/>
                  </m:rPr>
                  <w:rPr>
                    <w:rFonts w:ascii="Cambria Math" w:hAnsi="Cambria Math"/>
                  </w:rPr>
                  <m:t>w</m:t>
                </m:r>
              </m:sub>
            </m:sSub>
            <m:r>
              <m:rPr>
                <m:sty m:val="p"/>
              </m:rPr>
              <w:rPr>
                <w:rFonts w:ascii="Cambria Math" w:hAnsi="Cambria Math"/>
              </w:rPr>
              <m:t xml:space="preserve"> </m:t>
            </m:r>
          </m:num>
          <m:den>
            <m:sPre>
              <m:sPrePr>
                <m:ctrlPr>
                  <w:rPr>
                    <w:rFonts w:ascii="Cambria Math" w:hAnsi="Cambria Math"/>
                  </w:rPr>
                </m:ctrlPr>
              </m:sPrePr>
              <m:sub/>
              <m:sup>
                <m:r>
                  <m:rPr>
                    <m:sty m:val="p"/>
                  </m:rPr>
                  <w:rPr>
                    <w:rFonts w:ascii="Cambria Math" w:hAnsi="Cambria Math"/>
                  </w:rPr>
                  <m:t>222</m:t>
                </m:r>
              </m:sup>
              <m:e>
                <m:r>
                  <m:rPr>
                    <m:sty m:val="p"/>
                  </m:rPr>
                  <w:rPr>
                    <w:rFonts w:ascii="Cambria Math" w:hAnsi="Cambria Math"/>
                  </w:rPr>
                  <m:t>R</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g</m:t>
                    </m:r>
                  </m:sub>
                </m:sSub>
              </m:e>
            </m:sPre>
          </m:den>
        </m:f>
        <m:r>
          <m:rPr>
            <m:sty m:val="p"/>
          </m:rPr>
          <w:rPr>
            <w:rFonts w:ascii="Cambria Math" w:hAnsi="Cambria Math"/>
          </w:rPr>
          <m:t>=0.105+0.405×</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-0.5027T</m:t>
            </m:r>
          </m:sup>
        </m:sSup>
      </m:oMath>
      <w:r w:rsidR="004274BB" w:rsidRPr="00E73B83">
        <w:tab/>
        <w:t>(5</w:t>
      </w:r>
      <w:r w:rsidR="00C34090">
        <w:t>-12</w:t>
      </w:r>
      <w:r w:rsidR="004274BB" w:rsidRPr="00E73B83">
        <w:t>)</w:t>
      </w:r>
    </w:p>
    <w:p w14:paraId="4662B8E5" w14:textId="1AA12AD7" w:rsidR="004274BB" w:rsidRDefault="004274BB" w:rsidP="00C34090">
      <w:r w:rsidRPr="00E73B83">
        <w:t xml:space="preserve">Where, </w:t>
      </w:r>
      <w:r w:rsidRPr="00E73B83">
        <w:rPr>
          <w:vertAlign w:val="superscript"/>
        </w:rPr>
        <w:t>222</w:t>
      </w:r>
      <w:r w:rsidRPr="00E73B83">
        <w:t>Rn</w:t>
      </w:r>
      <w:r w:rsidRPr="00E73B83">
        <w:rPr>
          <w:vertAlign w:val="subscript"/>
        </w:rPr>
        <w:t>w</w:t>
      </w:r>
      <w:r w:rsidRPr="00E73B83">
        <w:t xml:space="preserve"> represents radon concentration in water and </w:t>
      </w:r>
      <w:r w:rsidRPr="00E73B83">
        <w:rPr>
          <w:vertAlign w:val="superscript"/>
        </w:rPr>
        <w:t>222</w:t>
      </w:r>
      <w:r w:rsidRPr="00E73B83">
        <w:t>Rn</w:t>
      </w:r>
      <w:r w:rsidRPr="00E73B83">
        <w:rPr>
          <w:vertAlign w:val="subscript"/>
        </w:rPr>
        <w:t>g</w:t>
      </w:r>
      <w:r w:rsidRPr="00E73B83">
        <w:t xml:space="preserve"> is the concentration in gas. Radon will flow into hydraulic fractures through porous media and then flow to wellbore. </w:t>
      </w:r>
      <w:r w:rsidR="00C15129">
        <w:t>The</w:t>
      </w:r>
      <w:r w:rsidRPr="00E73B83">
        <w:t xml:space="preserve"> flow of radon in porous media is </w:t>
      </w:r>
      <w:r w:rsidR="00C15129">
        <w:t xml:space="preserve">assumed to be </w:t>
      </w:r>
      <w:r w:rsidRPr="00E73B83">
        <w:t>governed by Darcy’s law, and the radon concentration at the wellhead is assumed to be the same at the bottom hole of the well since the gas transport in pipe is rapid. In other words, the radon decay inside well tubing is not simulated. Later on, radon entrained in gas will be produced to the surface and enter residential buildings through pipelines. Radon surface transport is not included in this study either. The entire radon transport process is illustrated in</w:t>
      </w:r>
      <w:r w:rsidR="00C34090">
        <w:t xml:space="preserve"> </w:t>
      </w:r>
      <w:r w:rsidR="00C34090">
        <w:fldChar w:fldCharType="begin"/>
      </w:r>
      <w:r w:rsidR="00C34090">
        <w:instrText xml:space="preserve"> REF _Ref492049309 \h </w:instrText>
      </w:r>
      <w:r w:rsidR="00C34090">
        <w:fldChar w:fldCharType="separate"/>
      </w:r>
      <w:r w:rsidR="00C34090" w:rsidRPr="00EB17E5">
        <w:t xml:space="preserve">Figure </w:t>
      </w:r>
      <w:r w:rsidR="00C34090">
        <w:rPr>
          <w:noProof/>
        </w:rPr>
        <w:t>5</w:t>
      </w:r>
      <w:r w:rsidR="00C34090">
        <w:noBreakHyphen/>
      </w:r>
      <w:r w:rsidR="00C34090">
        <w:rPr>
          <w:noProof/>
        </w:rPr>
        <w:t>8</w:t>
      </w:r>
      <w:r w:rsidR="00C34090">
        <w:fldChar w:fldCharType="end"/>
      </w:r>
      <w:r w:rsidRPr="00E73B83">
        <w:t xml:space="preserve">. </w:t>
      </w:r>
      <w:bookmarkStart w:id="236" w:name="_Ref442794402"/>
    </w:p>
    <w:p w14:paraId="545C0461" w14:textId="77777777" w:rsidR="004274BB" w:rsidRDefault="004274BB" w:rsidP="004274BB">
      <w:pPr>
        <w:pStyle w:val="para1"/>
        <w:rPr>
          <w:color w:val="000000" w:themeColor="text1"/>
        </w:rPr>
      </w:pPr>
    </w:p>
    <w:p w14:paraId="6920D93F" w14:textId="77777777" w:rsidR="004274BB" w:rsidRDefault="004274BB" w:rsidP="004274BB">
      <w:pPr>
        <w:pStyle w:val="para1"/>
        <w:rPr>
          <w:color w:val="000000" w:themeColor="text1"/>
        </w:rPr>
      </w:pPr>
    </w:p>
    <w:p w14:paraId="2C3B4830" w14:textId="77777777" w:rsidR="004274BB" w:rsidRPr="00E73B83" w:rsidRDefault="004274BB" w:rsidP="004274BB">
      <w:pPr>
        <w:pStyle w:val="TableNormal1"/>
      </w:pPr>
      <w:r>
        <w:lastRenderedPageBreak/>
        <w:drawing>
          <wp:inline distT="0" distB="0" distL="0" distR="0" wp14:anchorId="5DF8AB1E" wp14:editId="27C992F0">
            <wp:extent cx="5001370" cy="3552560"/>
            <wp:effectExtent l="0" t="0" r="889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_radon.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002720" cy="3553519"/>
                    </a:xfrm>
                    <a:prstGeom prst="rect">
                      <a:avLst/>
                    </a:prstGeom>
                  </pic:spPr>
                </pic:pic>
              </a:graphicData>
            </a:graphic>
          </wp:inline>
        </w:drawing>
      </w:r>
    </w:p>
    <w:p w14:paraId="794D2E67" w14:textId="0DE2686E" w:rsidR="004274BB" w:rsidRPr="00541084" w:rsidRDefault="004274BB" w:rsidP="00BF3F9B">
      <w:pPr>
        <w:pStyle w:val="Caption"/>
        <w:rPr>
          <w:rFonts w:ascii="Times New Roman" w:hAnsi="Times New Roman"/>
          <w:szCs w:val="22"/>
        </w:rPr>
      </w:pPr>
      <w:bookmarkStart w:id="237" w:name="_Ref492049309"/>
      <w:bookmarkStart w:id="238" w:name="_Toc495144757"/>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8</w:t>
      </w:r>
      <w:r w:rsidR="00280FFF">
        <w:rPr>
          <w:szCs w:val="22"/>
        </w:rPr>
        <w:fldChar w:fldCharType="end"/>
      </w:r>
      <w:bookmarkEnd w:id="236"/>
      <w:bookmarkEnd w:id="237"/>
      <w:r w:rsidRPr="00541084">
        <w:rPr>
          <w:szCs w:val="22"/>
        </w:rPr>
        <w:t>. Radon transport process from porous media to residential users. Green dots represent radon particles.</w:t>
      </w:r>
      <w:bookmarkEnd w:id="238"/>
    </w:p>
    <w:p w14:paraId="20FA24E0" w14:textId="77777777" w:rsidR="004274BB" w:rsidRDefault="004274BB" w:rsidP="004274BB"/>
    <w:p w14:paraId="5E13E505" w14:textId="77777777" w:rsidR="00E81B4A" w:rsidRDefault="00E81B4A" w:rsidP="00E81B4A">
      <w:pPr>
        <w:pStyle w:val="Heading2"/>
      </w:pPr>
      <w:bookmarkStart w:id="239" w:name="_Toc494014241"/>
      <w:r>
        <w:t>Model Description</w:t>
      </w:r>
      <w:bookmarkEnd w:id="239"/>
    </w:p>
    <w:p w14:paraId="3C45C782" w14:textId="77777777" w:rsidR="00E81B4A" w:rsidRPr="00E73B83" w:rsidRDefault="00E81B4A" w:rsidP="00C34090">
      <w:r w:rsidRPr="00E73B83">
        <w:t>A compositional model is constructed to capture radon generation, release and transport process. Major assumptions are:</w:t>
      </w:r>
    </w:p>
    <w:p w14:paraId="5C03A622" w14:textId="77777777" w:rsidR="00E81B4A" w:rsidRPr="00E73B83" w:rsidRDefault="00E81B4A" w:rsidP="00C34090">
      <w:pPr>
        <w:pStyle w:val="ListParagraph"/>
        <w:numPr>
          <w:ilvl w:val="0"/>
          <w:numId w:val="11"/>
        </w:numPr>
        <w:ind w:left="720"/>
      </w:pPr>
      <w:r w:rsidRPr="00E73B83">
        <w:t>Slit shaped pore.</w:t>
      </w:r>
    </w:p>
    <w:p w14:paraId="13095360" w14:textId="77777777" w:rsidR="00E81B4A" w:rsidRPr="00E73B83" w:rsidRDefault="00E81B4A" w:rsidP="00C34090">
      <w:pPr>
        <w:pStyle w:val="ListParagraph"/>
        <w:numPr>
          <w:ilvl w:val="0"/>
          <w:numId w:val="11"/>
        </w:numPr>
        <w:ind w:left="720"/>
      </w:pPr>
      <w:r w:rsidRPr="00E73B83">
        <w:t>The flow in porous media is governed by Darcy’s law.</w:t>
      </w:r>
    </w:p>
    <w:p w14:paraId="67D0485D" w14:textId="77777777" w:rsidR="00E81B4A" w:rsidRPr="00E73B83" w:rsidRDefault="00E81B4A" w:rsidP="00C34090">
      <w:pPr>
        <w:pStyle w:val="ListParagraph"/>
        <w:numPr>
          <w:ilvl w:val="0"/>
          <w:numId w:val="11"/>
        </w:numPr>
        <w:ind w:left="720"/>
      </w:pPr>
      <w:r w:rsidRPr="00E73B83">
        <w:t>Two phases: liquid and vapor. The liquid phase is water, and the vapor phase is methane.</w:t>
      </w:r>
    </w:p>
    <w:p w14:paraId="3C75045B" w14:textId="77777777" w:rsidR="00E81B4A" w:rsidRPr="00E73B83" w:rsidRDefault="00E81B4A" w:rsidP="00C34090">
      <w:pPr>
        <w:pStyle w:val="ListParagraph"/>
        <w:numPr>
          <w:ilvl w:val="0"/>
          <w:numId w:val="11"/>
        </w:numPr>
        <w:ind w:left="720"/>
      </w:pPr>
      <w:r w:rsidRPr="00E73B83">
        <w:t xml:space="preserve">Homogeneous distributed radioactive atoms in the reservoir. Uranium and radium are uniformly distributed in grains. Radium is also uniformly distributed in liquid phase. Radon has homogeneous concentration throughout the formation. </w:t>
      </w:r>
    </w:p>
    <w:p w14:paraId="7034F876" w14:textId="609F5F2E" w:rsidR="00E81B4A" w:rsidRPr="00E73B83" w:rsidRDefault="00E81B4A" w:rsidP="00C34090">
      <w:pPr>
        <w:pStyle w:val="ListParagraph"/>
        <w:numPr>
          <w:ilvl w:val="0"/>
          <w:numId w:val="11"/>
        </w:numPr>
        <w:ind w:left="720"/>
      </w:pPr>
      <w:r w:rsidRPr="00E73B83">
        <w:lastRenderedPageBreak/>
        <w:t>Radon is in secular equilibrium with radium. Radon half-life is much shorter than radium half-life</w:t>
      </w:r>
      <w:r w:rsidR="00CB5CF3">
        <w:t>. As a consequence,</w:t>
      </w:r>
      <w:r w:rsidRPr="00E73B83">
        <w:t xml:space="preserve"> it will achieve secular equilibrium.</w:t>
      </w:r>
    </w:p>
    <w:p w14:paraId="3B2CCC2A" w14:textId="3A02D8D8" w:rsidR="00E81B4A" w:rsidRDefault="00E81B4A" w:rsidP="00C34090">
      <w:r w:rsidRPr="00E73B83">
        <w:t xml:space="preserve">Above discussion about radon emanation mechanism gives the estimation of radon in-situ concentration. In order to maintain secular equilibrium, a solid source of radium is designed in the model to simulate the radon generation from grains that contains radium before shale development. Proppant is the man-made solid material used to keep induced hydraulic fracture open. Thus, there is no natural solid radium attached on proppant and, for hydraulic fracture grids, the solid radium concentration is therefore slightly lower than matrix. The decay rates of both radon and radium are dependent on their own concentrations. </w:t>
      </w:r>
      <w:r w:rsidR="00C15129">
        <w:t>R</w:t>
      </w:r>
      <w:r w:rsidRPr="00E73B83">
        <w:t xml:space="preserve">adioactive decay </w:t>
      </w:r>
      <w:r w:rsidR="00C15129">
        <w:t xml:space="preserve">is simulated </w:t>
      </w:r>
      <w:r w:rsidRPr="00E73B83">
        <w:t>as a first order chemical reaction by assigning corresponding decay constant as the reaction frequency factor (CMG-STARS user’s guide, 2012). The reaction frequency factor is also known as the reaction rate constant. Hydraulic fracture is implemented with conductivity of 200</w:t>
      </w:r>
      <w:r>
        <w:t xml:space="preserve"> </w:t>
      </w:r>
      <w:r w:rsidRPr="00E73B83">
        <w:rPr>
          <w:i/>
        </w:rPr>
        <w:t>md•ft</w:t>
      </w:r>
      <w:r w:rsidR="00C15129">
        <w:t>. This work</w:t>
      </w:r>
      <w:r w:rsidRPr="00E73B83">
        <w:t xml:space="preserve"> only simulate</w:t>
      </w:r>
      <w:r w:rsidR="00C15129">
        <w:t>s</w:t>
      </w:r>
      <w:r w:rsidRPr="00E73B83">
        <w:t xml:space="preserve"> one fracture and a quadrant of the stimulated reservoir as shown in </w:t>
      </w:r>
      <w:r w:rsidR="00C34090">
        <w:fldChar w:fldCharType="begin"/>
      </w:r>
      <w:r w:rsidR="00C34090">
        <w:instrText xml:space="preserve"> REF _Ref442866502 \h </w:instrText>
      </w:r>
      <w:r w:rsidR="00C34090">
        <w:fldChar w:fldCharType="separate"/>
      </w:r>
      <w:r w:rsidR="00C34090" w:rsidRPr="00EB17E5">
        <w:t xml:space="preserve">Figure </w:t>
      </w:r>
      <w:r w:rsidR="00C34090">
        <w:rPr>
          <w:noProof/>
        </w:rPr>
        <w:t>5</w:t>
      </w:r>
      <w:r w:rsidR="00C34090">
        <w:noBreakHyphen/>
      </w:r>
      <w:r w:rsidR="00C34090">
        <w:rPr>
          <w:noProof/>
        </w:rPr>
        <w:t>9</w:t>
      </w:r>
      <w:r w:rsidR="00C34090">
        <w:fldChar w:fldCharType="end"/>
      </w:r>
      <w:r w:rsidRPr="00E73B83">
        <w:t>(a). The horizontal well only perforates at the left upper corner grid. Local grid refinement is applied nearby the fracture in order to accurately simulate pressure and fluid transport between fracture and matrix (Cippola et al. 2010).</w:t>
      </w:r>
    </w:p>
    <w:p w14:paraId="40A1467E" w14:textId="77777777" w:rsidR="00E81B4A" w:rsidRPr="00E73B83" w:rsidRDefault="00E81B4A" w:rsidP="00E81B4A">
      <w:pPr>
        <w:pStyle w:val="para1"/>
        <w:rPr>
          <w:color w:val="000000" w:themeColor="text1"/>
        </w:rPr>
      </w:pPr>
    </w:p>
    <w:p w14:paraId="061A2472" w14:textId="77777777" w:rsidR="00E81B4A" w:rsidRPr="00E73B83" w:rsidRDefault="00E81B4A" w:rsidP="00E81B4A">
      <w:pPr>
        <w:pStyle w:val="TableNormal1"/>
      </w:pPr>
      <w:r>
        <w:lastRenderedPageBreak/>
        <w:drawing>
          <wp:inline distT="0" distB="0" distL="0" distR="0" wp14:anchorId="7B16D062" wp14:editId="35453F94">
            <wp:extent cx="5311471" cy="3530969"/>
            <wp:effectExtent l="0" t="0" r="381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326256" cy="3540798"/>
                    </a:xfrm>
                    <a:prstGeom prst="rect">
                      <a:avLst/>
                    </a:prstGeom>
                  </pic:spPr>
                </pic:pic>
              </a:graphicData>
            </a:graphic>
          </wp:inline>
        </w:drawing>
      </w:r>
    </w:p>
    <w:p w14:paraId="33F4E6A2" w14:textId="4DA28AEE" w:rsidR="00E81B4A" w:rsidRPr="00541084" w:rsidRDefault="00E81B4A" w:rsidP="00BF3F9B">
      <w:pPr>
        <w:pStyle w:val="Caption"/>
        <w:rPr>
          <w:rFonts w:ascii="Times New Roman" w:hAnsi="Times New Roman"/>
          <w:szCs w:val="22"/>
        </w:rPr>
      </w:pPr>
      <w:bookmarkStart w:id="240" w:name="_Ref442866502"/>
      <w:bookmarkStart w:id="241" w:name="_Toc495144758"/>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9</w:t>
      </w:r>
      <w:r w:rsidR="00280FFF">
        <w:rPr>
          <w:szCs w:val="22"/>
        </w:rPr>
        <w:fldChar w:fldCharType="end"/>
      </w:r>
      <w:bookmarkEnd w:id="240"/>
      <w:r w:rsidRPr="00541084">
        <w:rPr>
          <w:szCs w:val="22"/>
        </w:rPr>
        <w:t>. Model configuration. (a) is for the base case. (b) is the case with manually created natural fractures. The black color represents hydraulic fracture and natural fractures. The gray color represents the wellbore.</w:t>
      </w:r>
      <w:bookmarkEnd w:id="241"/>
    </w:p>
    <w:p w14:paraId="554097B0" w14:textId="77777777" w:rsidR="00E81B4A" w:rsidRDefault="00E81B4A" w:rsidP="00E81B4A">
      <w:pPr>
        <w:pStyle w:val="para1"/>
        <w:rPr>
          <w:color w:val="000000" w:themeColor="text1"/>
        </w:rPr>
      </w:pPr>
    </w:p>
    <w:p w14:paraId="2A0815AD" w14:textId="77777777" w:rsidR="00C34090" w:rsidRDefault="00C34090" w:rsidP="00C34090"/>
    <w:p w14:paraId="1334666A" w14:textId="77777777" w:rsidR="00E81B4A" w:rsidRDefault="00E81B4A" w:rsidP="00C34090">
      <w:r w:rsidRPr="00E73B83">
        <w:t xml:space="preserve">To better visually understand how natural fractures influence radon wellhead concentration, natural fractures are manually created, intersecting the hydraulic fracture as shown in </w:t>
      </w:r>
      <w:r w:rsidR="00C34090">
        <w:fldChar w:fldCharType="begin"/>
      </w:r>
      <w:r w:rsidR="00C34090">
        <w:instrText xml:space="preserve"> REF _Ref442866502 \h </w:instrText>
      </w:r>
      <w:r w:rsidR="00C34090">
        <w:fldChar w:fldCharType="separate"/>
      </w:r>
      <w:r w:rsidR="00C34090" w:rsidRPr="00EB17E5">
        <w:t xml:space="preserve">Figure </w:t>
      </w:r>
      <w:r w:rsidR="00C34090">
        <w:rPr>
          <w:noProof/>
        </w:rPr>
        <w:t>5</w:t>
      </w:r>
      <w:r w:rsidR="00C34090">
        <w:noBreakHyphen/>
      </w:r>
      <w:r w:rsidR="00C34090">
        <w:rPr>
          <w:noProof/>
        </w:rPr>
        <w:t>9</w:t>
      </w:r>
      <w:r w:rsidR="00C34090">
        <w:fldChar w:fldCharType="end"/>
      </w:r>
      <w:r w:rsidRPr="00E73B83">
        <w:t xml:space="preserve">(b). Anisotropic permeability of natural fracture is determined through Sakhaee-Pour and Wheeler (2015). In their work, three different types of interactions are considered: matrix-matrix, matrix-fracture and fracture-fracture. This algorithm enables us to use uniform grid system to investigate the natural fracture’s impact on fluid flow in such a system. </w:t>
      </w:r>
      <w:bookmarkStart w:id="242" w:name="_Ref442865703"/>
      <w:r w:rsidRPr="00E73B83">
        <w:t xml:space="preserve"> </w:t>
      </w:r>
    </w:p>
    <w:p w14:paraId="5C49BECE" w14:textId="77777777" w:rsidR="00E81B4A" w:rsidRPr="00C34090" w:rsidRDefault="00E81B4A" w:rsidP="00C34090">
      <w:pPr>
        <w:rPr>
          <w:color w:val="000000" w:themeColor="text1"/>
        </w:rPr>
      </w:pPr>
      <w:r w:rsidRPr="00C34090">
        <w:rPr>
          <w:color w:val="000000" w:themeColor="text1"/>
        </w:rPr>
        <w:t xml:space="preserve">In the base case, water based fracking fluid is injected create hydraulic fractures for 0.5 </w:t>
      </w:r>
      <w:r w:rsidRPr="00C34090">
        <w:rPr>
          <w:i/>
          <w:color w:val="000000" w:themeColor="text1"/>
        </w:rPr>
        <w:t>day</w:t>
      </w:r>
      <w:r w:rsidRPr="00C34090">
        <w:rPr>
          <w:color w:val="000000" w:themeColor="text1"/>
        </w:rPr>
        <w:t xml:space="preserve"> followed b</w:t>
      </w:r>
      <w:r w:rsidR="00C34090">
        <w:rPr>
          <w:color w:val="000000" w:themeColor="text1"/>
        </w:rPr>
        <w:t>y a shut-</w:t>
      </w:r>
      <w:r w:rsidRPr="00C34090">
        <w:rPr>
          <w:color w:val="000000" w:themeColor="text1"/>
        </w:rPr>
        <w:t xml:space="preserve">in period for 0.5 </w:t>
      </w:r>
      <w:r w:rsidRPr="00C34090">
        <w:rPr>
          <w:i/>
          <w:color w:val="000000" w:themeColor="text1"/>
        </w:rPr>
        <w:t>day</w:t>
      </w:r>
      <w:r w:rsidRPr="00C34090">
        <w:rPr>
          <w:color w:val="000000" w:themeColor="text1"/>
        </w:rPr>
        <w:t>. The injected fracking fluid does not contain any radon or radium. The well will start to produce back at a constant bottom-</w:t>
      </w:r>
      <w:r w:rsidRPr="00C34090">
        <w:rPr>
          <w:color w:val="000000" w:themeColor="text1"/>
        </w:rPr>
        <w:lastRenderedPageBreak/>
        <w:t xml:space="preserve">hole pressure (BHP) after shut in. Essential input parameters for shale reservoirs and wells are listed in </w:t>
      </w:r>
      <w:r w:rsidR="00C34090">
        <w:rPr>
          <w:color w:val="000000" w:themeColor="text1"/>
        </w:rPr>
        <w:fldChar w:fldCharType="begin"/>
      </w:r>
      <w:r w:rsidR="00C34090">
        <w:rPr>
          <w:color w:val="000000" w:themeColor="text1"/>
        </w:rPr>
        <w:instrText xml:space="preserve"> REF _Ref492049448 \h </w:instrText>
      </w:r>
      <w:r w:rsidR="00C34090">
        <w:rPr>
          <w:color w:val="000000" w:themeColor="text1"/>
        </w:rPr>
      </w:r>
      <w:r w:rsidR="00C34090">
        <w:rPr>
          <w:color w:val="000000" w:themeColor="text1"/>
        </w:rPr>
        <w:fldChar w:fldCharType="separate"/>
      </w:r>
      <w:r w:rsidR="00C34090" w:rsidRPr="00E73B83">
        <w:rPr>
          <w:color w:val="000000" w:themeColor="text1"/>
        </w:rPr>
        <w:t xml:space="preserve">Table </w:t>
      </w:r>
      <w:r w:rsidR="00C34090">
        <w:rPr>
          <w:noProof/>
          <w:color w:val="000000" w:themeColor="text1"/>
        </w:rPr>
        <w:t>5</w:t>
      </w:r>
      <w:r w:rsidR="00C34090">
        <w:rPr>
          <w:color w:val="000000" w:themeColor="text1"/>
        </w:rPr>
        <w:noBreakHyphen/>
      </w:r>
      <w:r w:rsidR="00C34090">
        <w:rPr>
          <w:noProof/>
          <w:color w:val="000000" w:themeColor="text1"/>
        </w:rPr>
        <w:t>2</w:t>
      </w:r>
      <w:r w:rsidR="00C34090">
        <w:rPr>
          <w:color w:val="000000" w:themeColor="text1"/>
        </w:rPr>
        <w:fldChar w:fldCharType="end"/>
      </w:r>
      <w:r w:rsidRPr="00C34090">
        <w:rPr>
          <w:color w:val="000000" w:themeColor="text1"/>
        </w:rPr>
        <w:t>.</w:t>
      </w:r>
    </w:p>
    <w:p w14:paraId="1429DDEC" w14:textId="77777777" w:rsidR="00E81B4A" w:rsidRDefault="00E81B4A" w:rsidP="00E81B4A">
      <w:pPr>
        <w:pStyle w:val="para1"/>
        <w:rPr>
          <w:color w:val="000000" w:themeColor="text1"/>
        </w:rPr>
      </w:pPr>
    </w:p>
    <w:p w14:paraId="25336E98" w14:textId="77777777" w:rsidR="00E81B4A" w:rsidRPr="00E73B83" w:rsidRDefault="00E81B4A" w:rsidP="00E81B4A">
      <w:pPr>
        <w:pStyle w:val="para1"/>
        <w:rPr>
          <w:color w:val="000000" w:themeColor="text1"/>
        </w:rPr>
      </w:pPr>
    </w:p>
    <w:bookmarkEnd w:id="242"/>
    <w:p w14:paraId="4126781D" w14:textId="77777777" w:rsidR="00E81B4A" w:rsidRPr="00541084" w:rsidRDefault="00E81B4A" w:rsidP="00BF3F9B">
      <w:pPr>
        <w:pStyle w:val="Caption"/>
        <w:rPr>
          <w:szCs w:val="22"/>
        </w:rPr>
      </w:pPr>
    </w:p>
    <w:tbl>
      <w:tblPr>
        <w:tblStyle w:val="LightShading"/>
        <w:tblW w:w="0" w:type="auto"/>
        <w:jc w:val="center"/>
        <w:tblLook w:val="04A0" w:firstRow="1" w:lastRow="0" w:firstColumn="1" w:lastColumn="0" w:noHBand="0" w:noVBand="1"/>
      </w:tblPr>
      <w:tblGrid>
        <w:gridCol w:w="4135"/>
        <w:gridCol w:w="1890"/>
        <w:gridCol w:w="2461"/>
      </w:tblGrid>
      <w:tr w:rsidR="00C34090" w:rsidRPr="00E73B83" w14:paraId="123F65CF" w14:textId="77777777" w:rsidTr="00C34090">
        <w:trPr>
          <w:cnfStyle w:val="100000000000" w:firstRow="1" w:lastRow="0" w:firstColumn="0" w:lastColumn="0" w:oddVBand="0" w:evenVBand="0" w:oddHBand="0"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84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DAC188" w14:textId="77777777" w:rsidR="00C34090" w:rsidRPr="00541084" w:rsidRDefault="00C34090" w:rsidP="00541084">
            <w:pPr>
              <w:pStyle w:val="Caption"/>
              <w:rPr>
                <w:rFonts w:ascii="Times New Roman" w:hAnsi="Times New Roman"/>
                <w:b/>
                <w:szCs w:val="22"/>
              </w:rPr>
            </w:pPr>
            <w:bookmarkStart w:id="243" w:name="_Ref492049448"/>
            <w:bookmarkStart w:id="244" w:name="_Ref492049443"/>
            <w:bookmarkStart w:id="245" w:name="_Toc494014269"/>
            <w:r w:rsidRPr="00541084">
              <w:rPr>
                <w:b/>
                <w:szCs w:val="22"/>
              </w:rPr>
              <w:t xml:space="preserve">Table </w:t>
            </w:r>
            <w:r w:rsidR="00A67B82" w:rsidRPr="00541084">
              <w:rPr>
                <w:szCs w:val="22"/>
              </w:rPr>
              <w:fldChar w:fldCharType="begin"/>
            </w:r>
            <w:r w:rsidR="00A67B82" w:rsidRPr="00541084">
              <w:rPr>
                <w:b/>
                <w:szCs w:val="22"/>
              </w:rPr>
              <w:instrText xml:space="preserve"> STYLEREF 1 \s </w:instrText>
            </w:r>
            <w:r w:rsidR="00A67B82" w:rsidRPr="00541084">
              <w:rPr>
                <w:szCs w:val="22"/>
              </w:rPr>
              <w:fldChar w:fldCharType="separate"/>
            </w:r>
            <w:r w:rsidR="00A67B82" w:rsidRPr="00541084">
              <w:rPr>
                <w:b/>
                <w:noProof/>
                <w:szCs w:val="22"/>
              </w:rPr>
              <w:t>5</w:t>
            </w:r>
            <w:r w:rsidR="00A67B82" w:rsidRPr="00541084">
              <w:rPr>
                <w:szCs w:val="22"/>
              </w:rPr>
              <w:fldChar w:fldCharType="end"/>
            </w:r>
            <w:r w:rsidR="00A67B82" w:rsidRPr="00541084">
              <w:rPr>
                <w:b/>
                <w:szCs w:val="22"/>
              </w:rPr>
              <w:noBreakHyphen/>
            </w:r>
            <w:r w:rsidR="00A67B82" w:rsidRPr="00541084">
              <w:rPr>
                <w:szCs w:val="22"/>
              </w:rPr>
              <w:fldChar w:fldCharType="begin"/>
            </w:r>
            <w:r w:rsidR="00A67B82" w:rsidRPr="00541084">
              <w:rPr>
                <w:b/>
                <w:szCs w:val="22"/>
              </w:rPr>
              <w:instrText xml:space="preserve"> SEQ Table \* ARABIC \s 1 </w:instrText>
            </w:r>
            <w:r w:rsidR="00A67B82" w:rsidRPr="00541084">
              <w:rPr>
                <w:szCs w:val="22"/>
              </w:rPr>
              <w:fldChar w:fldCharType="separate"/>
            </w:r>
            <w:r w:rsidR="00A67B82" w:rsidRPr="00541084">
              <w:rPr>
                <w:b/>
                <w:noProof/>
                <w:szCs w:val="22"/>
              </w:rPr>
              <w:t>2</w:t>
            </w:r>
            <w:r w:rsidR="00A67B82" w:rsidRPr="00541084">
              <w:rPr>
                <w:szCs w:val="22"/>
              </w:rPr>
              <w:fldChar w:fldCharType="end"/>
            </w:r>
            <w:bookmarkEnd w:id="243"/>
            <w:r w:rsidRPr="00541084">
              <w:rPr>
                <w:b/>
                <w:szCs w:val="22"/>
              </w:rPr>
              <w:t>. Simulation input parameters of base case</w:t>
            </w:r>
            <w:bookmarkEnd w:id="244"/>
            <w:bookmarkEnd w:id="245"/>
          </w:p>
        </w:tc>
      </w:tr>
      <w:tr w:rsidR="00C34090" w:rsidRPr="00C34090" w14:paraId="41A4F8FF" w14:textId="77777777" w:rsidTr="008F2A9C">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4135" w:type="dxa"/>
            <w:tcBorders>
              <w:top w:val="single" w:sz="4" w:space="0" w:color="auto"/>
              <w:left w:val="single" w:sz="4" w:space="0" w:color="auto"/>
              <w:bottom w:val="single" w:sz="4" w:space="0" w:color="auto"/>
            </w:tcBorders>
            <w:shd w:val="clear" w:color="auto" w:fill="auto"/>
            <w:vAlign w:val="center"/>
          </w:tcPr>
          <w:p w14:paraId="25318327" w14:textId="77777777" w:rsidR="00C34090" w:rsidRPr="00C34090" w:rsidRDefault="00C34090" w:rsidP="00C34090">
            <w:pPr>
              <w:pStyle w:val="TableNormal1"/>
            </w:pPr>
            <w:r w:rsidRPr="00C34090">
              <w:t>Parameter</w:t>
            </w:r>
          </w:p>
        </w:tc>
        <w:tc>
          <w:tcPr>
            <w:tcW w:w="1890" w:type="dxa"/>
            <w:tcBorders>
              <w:top w:val="single" w:sz="4" w:space="0" w:color="auto"/>
              <w:bottom w:val="single" w:sz="4" w:space="0" w:color="auto"/>
            </w:tcBorders>
            <w:shd w:val="clear" w:color="auto" w:fill="auto"/>
            <w:vAlign w:val="center"/>
          </w:tcPr>
          <w:p w14:paraId="7781378C" w14:textId="77777777" w:rsidR="00C34090" w:rsidRPr="00C34090" w:rsidRDefault="00C34090" w:rsidP="00C34090">
            <w:pPr>
              <w:pStyle w:val="TableNormal1"/>
              <w:cnfStyle w:val="000000100000" w:firstRow="0" w:lastRow="0" w:firstColumn="0" w:lastColumn="0" w:oddVBand="0" w:evenVBand="0" w:oddHBand="1" w:evenHBand="0" w:firstRowFirstColumn="0" w:firstRowLastColumn="0" w:lastRowFirstColumn="0" w:lastRowLastColumn="0"/>
              <w:rPr>
                <w:b/>
              </w:rPr>
            </w:pPr>
            <w:r w:rsidRPr="00C34090">
              <w:rPr>
                <w:b/>
              </w:rPr>
              <w:t>Value</w:t>
            </w:r>
          </w:p>
        </w:tc>
        <w:tc>
          <w:tcPr>
            <w:tcW w:w="2461" w:type="dxa"/>
            <w:tcBorders>
              <w:top w:val="single" w:sz="4" w:space="0" w:color="auto"/>
              <w:bottom w:val="single" w:sz="4" w:space="0" w:color="auto"/>
              <w:right w:val="single" w:sz="4" w:space="0" w:color="auto"/>
            </w:tcBorders>
            <w:shd w:val="clear" w:color="auto" w:fill="auto"/>
            <w:vAlign w:val="center"/>
          </w:tcPr>
          <w:p w14:paraId="333CE188" w14:textId="77777777" w:rsidR="00C34090" w:rsidRPr="00C34090" w:rsidRDefault="00C34090" w:rsidP="00C34090">
            <w:pPr>
              <w:pStyle w:val="TableNormal1"/>
              <w:cnfStyle w:val="000000100000" w:firstRow="0" w:lastRow="0" w:firstColumn="0" w:lastColumn="0" w:oddVBand="0" w:evenVBand="0" w:oddHBand="1" w:evenHBand="0" w:firstRowFirstColumn="0" w:firstRowLastColumn="0" w:lastRowFirstColumn="0" w:lastRowLastColumn="0"/>
              <w:rPr>
                <w:b/>
              </w:rPr>
            </w:pPr>
            <w:r w:rsidRPr="00C34090">
              <w:rPr>
                <w:b/>
              </w:rPr>
              <w:t>Source</w:t>
            </w:r>
          </w:p>
        </w:tc>
      </w:tr>
      <w:tr w:rsidR="00C34090" w:rsidRPr="00E73B83" w14:paraId="698F9CC4" w14:textId="77777777" w:rsidTr="008F2A9C">
        <w:trPr>
          <w:trHeight w:val="222"/>
          <w:jc w:val="center"/>
        </w:trPr>
        <w:tc>
          <w:tcPr>
            <w:cnfStyle w:val="001000000000" w:firstRow="0" w:lastRow="0" w:firstColumn="1" w:lastColumn="0" w:oddVBand="0" w:evenVBand="0" w:oddHBand="0" w:evenHBand="0" w:firstRowFirstColumn="0" w:firstRowLastColumn="0" w:lastRowFirstColumn="0" w:lastRowLastColumn="0"/>
            <w:tcW w:w="4135" w:type="dxa"/>
            <w:tcBorders>
              <w:top w:val="single" w:sz="4" w:space="0" w:color="auto"/>
              <w:left w:val="single" w:sz="4" w:space="0" w:color="auto"/>
              <w:bottom w:val="nil"/>
            </w:tcBorders>
            <w:shd w:val="clear" w:color="auto" w:fill="auto"/>
            <w:vAlign w:val="center"/>
          </w:tcPr>
          <w:p w14:paraId="70F11943" w14:textId="77777777" w:rsidR="00C34090" w:rsidRPr="00083FC7" w:rsidRDefault="00C34090" w:rsidP="00C34090">
            <w:pPr>
              <w:pStyle w:val="TableNormal1"/>
              <w:rPr>
                <w:b w:val="0"/>
              </w:rPr>
            </w:pPr>
            <w:r w:rsidRPr="00083FC7">
              <w:rPr>
                <w:b w:val="0"/>
              </w:rPr>
              <w:t xml:space="preserve">Uranium Concentration, </w:t>
            </w:r>
            <w:r w:rsidRPr="00083FC7">
              <w:rPr>
                <w:rFonts w:eastAsiaTheme="minorEastAsia"/>
                <w:b w:val="0"/>
                <w:i/>
              </w:rPr>
              <w:t>pCi/L</w:t>
            </w:r>
          </w:p>
        </w:tc>
        <w:tc>
          <w:tcPr>
            <w:tcW w:w="1890" w:type="dxa"/>
            <w:tcBorders>
              <w:top w:val="single" w:sz="4" w:space="0" w:color="auto"/>
              <w:bottom w:val="nil"/>
            </w:tcBorders>
            <w:shd w:val="clear" w:color="auto" w:fill="auto"/>
            <w:vAlign w:val="center"/>
          </w:tcPr>
          <w:p w14:paraId="6C631C3E" w14:textId="77777777" w:rsidR="00C34090" w:rsidRPr="00E73B83" w:rsidRDefault="00C34090" w:rsidP="00C34090">
            <w:pPr>
              <w:pStyle w:val="TableNormal1"/>
              <w:cnfStyle w:val="000000000000" w:firstRow="0" w:lastRow="0" w:firstColumn="0" w:lastColumn="0" w:oddVBand="0" w:evenVBand="0" w:oddHBand="0" w:evenHBand="0" w:firstRowFirstColumn="0" w:firstRowLastColumn="0" w:lastRowFirstColumn="0" w:lastRowLastColumn="0"/>
            </w:pPr>
            <w:r w:rsidRPr="00E73B83">
              <w:rPr>
                <w:rFonts w:eastAsiaTheme="minorEastAsia"/>
              </w:rPr>
              <w:t>1.7×10</w:t>
            </w:r>
            <w:r w:rsidRPr="00E73B83">
              <w:rPr>
                <w:rFonts w:eastAsiaTheme="minorEastAsia"/>
                <w:vertAlign w:val="superscript"/>
              </w:rPr>
              <w:t>4</w:t>
            </w:r>
          </w:p>
        </w:tc>
        <w:tc>
          <w:tcPr>
            <w:tcW w:w="2461" w:type="dxa"/>
            <w:tcBorders>
              <w:top w:val="single" w:sz="4" w:space="0" w:color="auto"/>
              <w:bottom w:val="nil"/>
              <w:right w:val="single" w:sz="4" w:space="0" w:color="auto"/>
            </w:tcBorders>
            <w:shd w:val="clear" w:color="auto" w:fill="auto"/>
            <w:vAlign w:val="center"/>
          </w:tcPr>
          <w:p w14:paraId="313F6EEF" w14:textId="77777777" w:rsidR="00C34090" w:rsidRPr="00E73B83" w:rsidRDefault="00C34090" w:rsidP="00C34090">
            <w:pPr>
              <w:pStyle w:val="TableNormal1"/>
              <w:cnfStyle w:val="000000000000" w:firstRow="0" w:lastRow="0" w:firstColumn="0" w:lastColumn="0" w:oddVBand="0" w:evenVBand="0" w:oddHBand="0" w:evenHBand="0" w:firstRowFirstColumn="0" w:firstRowLastColumn="0" w:lastRowFirstColumn="0" w:lastRowLastColumn="0"/>
            </w:pPr>
            <w:r w:rsidRPr="00E73B83">
              <w:rPr>
                <w:rFonts w:eastAsiaTheme="minorEastAsia"/>
              </w:rPr>
              <w:t>(Resnikoff 2011)</w:t>
            </w:r>
            <w:r w:rsidRPr="00E73B83">
              <w:t xml:space="preserve"> </w:t>
            </w:r>
          </w:p>
        </w:tc>
      </w:tr>
      <w:tr w:rsidR="00C34090" w:rsidRPr="00E73B83" w14:paraId="19CF204D" w14:textId="77777777" w:rsidTr="008F2A9C">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4135" w:type="dxa"/>
            <w:tcBorders>
              <w:top w:val="nil"/>
              <w:left w:val="single" w:sz="4" w:space="0" w:color="auto"/>
              <w:bottom w:val="nil"/>
            </w:tcBorders>
            <w:shd w:val="clear" w:color="auto" w:fill="auto"/>
            <w:vAlign w:val="center"/>
          </w:tcPr>
          <w:p w14:paraId="457DF228" w14:textId="77777777" w:rsidR="00C34090" w:rsidRPr="00083FC7" w:rsidRDefault="00C34090" w:rsidP="00C34090">
            <w:pPr>
              <w:pStyle w:val="TableNormal1"/>
              <w:rPr>
                <w:b w:val="0"/>
              </w:rPr>
            </w:pPr>
            <w:r w:rsidRPr="00083FC7">
              <w:rPr>
                <w:b w:val="0"/>
              </w:rPr>
              <w:t xml:space="preserve">Radium Concentration in Water, </w:t>
            </w:r>
            <w:r w:rsidRPr="00083FC7">
              <w:rPr>
                <w:rFonts w:eastAsiaTheme="minorEastAsia"/>
                <w:b w:val="0"/>
                <w:i/>
              </w:rPr>
              <w:t>pCi/L</w:t>
            </w:r>
          </w:p>
        </w:tc>
        <w:tc>
          <w:tcPr>
            <w:tcW w:w="1890" w:type="dxa"/>
            <w:tcBorders>
              <w:top w:val="nil"/>
              <w:bottom w:val="nil"/>
            </w:tcBorders>
            <w:shd w:val="clear" w:color="auto" w:fill="auto"/>
            <w:vAlign w:val="center"/>
          </w:tcPr>
          <w:p w14:paraId="0BBFB20A" w14:textId="77777777" w:rsidR="00C34090" w:rsidRPr="00E73B83" w:rsidRDefault="00C34090" w:rsidP="00C34090">
            <w:pPr>
              <w:pStyle w:val="TableNormal1"/>
              <w:cnfStyle w:val="000000100000" w:firstRow="0" w:lastRow="0" w:firstColumn="0" w:lastColumn="0" w:oddVBand="0" w:evenVBand="0" w:oddHBand="1" w:evenHBand="0" w:firstRowFirstColumn="0" w:firstRowLastColumn="0" w:lastRowFirstColumn="0" w:lastRowLastColumn="0"/>
            </w:pPr>
            <w:r w:rsidRPr="00E73B83">
              <w:t>1.73</w:t>
            </w:r>
            <w:r w:rsidRPr="00E73B83">
              <w:rPr>
                <w:rFonts w:eastAsiaTheme="minorEastAsia"/>
              </w:rPr>
              <w:t>×10</w:t>
            </w:r>
            <w:r w:rsidRPr="00E73B83">
              <w:rPr>
                <w:rFonts w:eastAsiaTheme="minorEastAsia"/>
                <w:vertAlign w:val="superscript"/>
              </w:rPr>
              <w:t>4</w:t>
            </w:r>
          </w:p>
        </w:tc>
        <w:tc>
          <w:tcPr>
            <w:tcW w:w="2461" w:type="dxa"/>
            <w:tcBorders>
              <w:top w:val="nil"/>
              <w:bottom w:val="nil"/>
              <w:right w:val="single" w:sz="4" w:space="0" w:color="auto"/>
            </w:tcBorders>
            <w:shd w:val="clear" w:color="auto" w:fill="auto"/>
            <w:vAlign w:val="center"/>
          </w:tcPr>
          <w:p w14:paraId="541DE460" w14:textId="77777777" w:rsidR="00C34090" w:rsidRPr="00E73B83" w:rsidRDefault="00C34090" w:rsidP="00C34090">
            <w:pPr>
              <w:pStyle w:val="TableNormal1"/>
              <w:cnfStyle w:val="000000100000" w:firstRow="0" w:lastRow="0" w:firstColumn="0" w:lastColumn="0" w:oddVBand="0" w:evenVBand="0" w:oddHBand="1" w:evenHBand="0" w:firstRowFirstColumn="0" w:firstRowLastColumn="0" w:lastRowFirstColumn="0" w:lastRowLastColumn="0"/>
            </w:pPr>
            <w:r w:rsidRPr="00E73B83">
              <w:t xml:space="preserve">(Nelson et al. 2014) </w:t>
            </w:r>
          </w:p>
        </w:tc>
      </w:tr>
      <w:tr w:rsidR="00C34090" w:rsidRPr="00E73B83" w14:paraId="7F2991D9" w14:textId="77777777" w:rsidTr="008F2A9C">
        <w:trPr>
          <w:trHeight w:val="215"/>
          <w:jc w:val="center"/>
        </w:trPr>
        <w:tc>
          <w:tcPr>
            <w:cnfStyle w:val="001000000000" w:firstRow="0" w:lastRow="0" w:firstColumn="1" w:lastColumn="0" w:oddVBand="0" w:evenVBand="0" w:oddHBand="0" w:evenHBand="0" w:firstRowFirstColumn="0" w:firstRowLastColumn="0" w:lastRowFirstColumn="0" w:lastRowLastColumn="0"/>
            <w:tcW w:w="4135" w:type="dxa"/>
            <w:tcBorders>
              <w:top w:val="nil"/>
              <w:left w:val="single" w:sz="4" w:space="0" w:color="auto"/>
              <w:bottom w:val="nil"/>
            </w:tcBorders>
            <w:shd w:val="clear" w:color="auto" w:fill="auto"/>
            <w:vAlign w:val="center"/>
          </w:tcPr>
          <w:p w14:paraId="3A16F341" w14:textId="77777777" w:rsidR="00C34090" w:rsidRPr="00083FC7" w:rsidRDefault="00C34090" w:rsidP="00C34090">
            <w:pPr>
              <w:pStyle w:val="TableNormal1"/>
              <w:rPr>
                <w:b w:val="0"/>
              </w:rPr>
            </w:pPr>
            <w:r w:rsidRPr="00083FC7">
              <w:rPr>
                <w:b w:val="0"/>
              </w:rPr>
              <w:t xml:space="preserve">Radon Concentration, </w:t>
            </w:r>
            <w:r w:rsidRPr="00083FC7">
              <w:rPr>
                <w:rFonts w:eastAsiaTheme="minorEastAsia"/>
                <w:b w:val="0"/>
                <w:i/>
              </w:rPr>
              <w:t>pCi/L</w:t>
            </w:r>
          </w:p>
        </w:tc>
        <w:tc>
          <w:tcPr>
            <w:tcW w:w="1890" w:type="dxa"/>
            <w:tcBorders>
              <w:top w:val="nil"/>
              <w:bottom w:val="nil"/>
            </w:tcBorders>
            <w:shd w:val="clear" w:color="auto" w:fill="auto"/>
            <w:vAlign w:val="center"/>
          </w:tcPr>
          <w:p w14:paraId="1D7ED0D1" w14:textId="77777777" w:rsidR="00C34090" w:rsidRPr="00E73B83" w:rsidRDefault="00C34090" w:rsidP="00C34090">
            <w:pPr>
              <w:pStyle w:val="TableNormal1"/>
              <w:cnfStyle w:val="000000000000" w:firstRow="0" w:lastRow="0" w:firstColumn="0" w:lastColumn="0" w:oddVBand="0" w:evenVBand="0" w:oddHBand="0" w:evenHBand="0" w:firstRowFirstColumn="0" w:firstRowLastColumn="0" w:lastRowFirstColumn="0" w:lastRowLastColumn="0"/>
              <w:rPr>
                <w:rFonts w:eastAsiaTheme="minorEastAsia"/>
                <w:vertAlign w:val="superscript"/>
              </w:rPr>
            </w:pPr>
            <w:r w:rsidRPr="00E73B83">
              <w:rPr>
                <w:rFonts w:eastAsiaTheme="minorEastAsia"/>
              </w:rPr>
              <w:t>1.22×10</w:t>
            </w:r>
            <w:r w:rsidRPr="00E73B83">
              <w:rPr>
                <w:rFonts w:eastAsiaTheme="minorEastAsia"/>
                <w:vertAlign w:val="superscript"/>
              </w:rPr>
              <w:t>4</w:t>
            </w:r>
          </w:p>
        </w:tc>
        <w:tc>
          <w:tcPr>
            <w:tcW w:w="2461" w:type="dxa"/>
            <w:tcBorders>
              <w:top w:val="nil"/>
              <w:bottom w:val="nil"/>
              <w:right w:val="single" w:sz="4" w:space="0" w:color="auto"/>
            </w:tcBorders>
            <w:shd w:val="clear" w:color="auto" w:fill="auto"/>
            <w:vAlign w:val="center"/>
          </w:tcPr>
          <w:p w14:paraId="251DB15A" w14:textId="77777777" w:rsidR="00C34090" w:rsidRPr="00E73B83" w:rsidRDefault="00C34090" w:rsidP="00C34090">
            <w:pPr>
              <w:pStyle w:val="TableNormal1"/>
              <w:cnfStyle w:val="000000000000" w:firstRow="0" w:lastRow="0" w:firstColumn="0" w:lastColumn="0" w:oddVBand="0" w:evenVBand="0" w:oddHBand="0" w:evenHBand="0" w:firstRowFirstColumn="0" w:firstRowLastColumn="0" w:lastRowFirstColumn="0" w:lastRowLastColumn="0"/>
              <w:rPr>
                <w:rFonts w:eastAsiaTheme="minorEastAsia"/>
                <w:vertAlign w:val="superscript"/>
              </w:rPr>
            </w:pPr>
            <w:r w:rsidRPr="00E73B83">
              <w:rPr>
                <w:rFonts w:eastAsiaTheme="minorEastAsia"/>
              </w:rPr>
              <w:t>From Calculation</w:t>
            </w:r>
          </w:p>
        </w:tc>
      </w:tr>
      <w:tr w:rsidR="00C34090" w:rsidRPr="00E73B83" w14:paraId="00081932" w14:textId="77777777" w:rsidTr="008F2A9C">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4135" w:type="dxa"/>
            <w:tcBorders>
              <w:top w:val="nil"/>
              <w:left w:val="single" w:sz="4" w:space="0" w:color="auto"/>
              <w:bottom w:val="nil"/>
            </w:tcBorders>
            <w:shd w:val="clear" w:color="auto" w:fill="auto"/>
            <w:vAlign w:val="center"/>
          </w:tcPr>
          <w:p w14:paraId="78CD2EF6" w14:textId="77777777" w:rsidR="00C34090" w:rsidRPr="00083FC7" w:rsidRDefault="00C34090" w:rsidP="00C34090">
            <w:pPr>
              <w:pStyle w:val="TableNormal1"/>
              <w:rPr>
                <w:b w:val="0"/>
              </w:rPr>
            </w:pPr>
            <w:r w:rsidRPr="00083FC7">
              <w:rPr>
                <w:b w:val="0"/>
              </w:rPr>
              <w:t xml:space="preserve">Pore Diameter, </w:t>
            </w:r>
            <w:r w:rsidRPr="00083FC7">
              <w:rPr>
                <w:b w:val="0"/>
                <w:i/>
              </w:rPr>
              <w:t>nm</w:t>
            </w:r>
          </w:p>
        </w:tc>
        <w:tc>
          <w:tcPr>
            <w:tcW w:w="1890" w:type="dxa"/>
            <w:tcBorders>
              <w:top w:val="nil"/>
              <w:bottom w:val="nil"/>
            </w:tcBorders>
            <w:shd w:val="clear" w:color="auto" w:fill="auto"/>
            <w:vAlign w:val="center"/>
          </w:tcPr>
          <w:p w14:paraId="728F7A64" w14:textId="77777777" w:rsidR="00C34090" w:rsidRPr="00E73B83" w:rsidRDefault="00C34090" w:rsidP="00C34090">
            <w:pPr>
              <w:pStyle w:val="TableNormal1"/>
              <w:cnfStyle w:val="000000100000" w:firstRow="0" w:lastRow="0" w:firstColumn="0" w:lastColumn="0" w:oddVBand="0" w:evenVBand="0" w:oddHBand="1" w:evenHBand="0" w:firstRowFirstColumn="0" w:firstRowLastColumn="0" w:lastRowFirstColumn="0" w:lastRowLastColumn="0"/>
            </w:pPr>
            <w:r w:rsidRPr="00E73B83">
              <w:t>20</w:t>
            </w:r>
          </w:p>
        </w:tc>
        <w:tc>
          <w:tcPr>
            <w:tcW w:w="2461" w:type="dxa"/>
            <w:tcBorders>
              <w:top w:val="nil"/>
              <w:bottom w:val="nil"/>
              <w:right w:val="single" w:sz="4" w:space="0" w:color="auto"/>
            </w:tcBorders>
            <w:shd w:val="clear" w:color="auto" w:fill="auto"/>
            <w:vAlign w:val="center"/>
          </w:tcPr>
          <w:p w14:paraId="0557453E" w14:textId="77777777" w:rsidR="00C34090" w:rsidRPr="00E73B83" w:rsidRDefault="00C34090" w:rsidP="00C34090">
            <w:pPr>
              <w:pStyle w:val="TableNormal1"/>
              <w:cnfStyle w:val="000000100000" w:firstRow="0" w:lastRow="0" w:firstColumn="0" w:lastColumn="0" w:oddVBand="0" w:evenVBand="0" w:oddHBand="1" w:evenHBand="0" w:firstRowFirstColumn="0" w:firstRowLastColumn="0" w:lastRowFirstColumn="0" w:lastRowLastColumn="0"/>
            </w:pPr>
            <w:r w:rsidRPr="00E73B83">
              <w:t xml:space="preserve">(Mosher et al. 2013) </w:t>
            </w:r>
          </w:p>
        </w:tc>
      </w:tr>
      <w:tr w:rsidR="00C34090" w:rsidRPr="00E73B83" w14:paraId="4C6F2058" w14:textId="77777777" w:rsidTr="008F2A9C">
        <w:trPr>
          <w:trHeight w:val="222"/>
          <w:jc w:val="center"/>
        </w:trPr>
        <w:tc>
          <w:tcPr>
            <w:cnfStyle w:val="001000000000" w:firstRow="0" w:lastRow="0" w:firstColumn="1" w:lastColumn="0" w:oddVBand="0" w:evenVBand="0" w:oddHBand="0" w:evenHBand="0" w:firstRowFirstColumn="0" w:firstRowLastColumn="0" w:lastRowFirstColumn="0" w:lastRowLastColumn="0"/>
            <w:tcW w:w="4135" w:type="dxa"/>
            <w:tcBorders>
              <w:top w:val="nil"/>
              <w:left w:val="single" w:sz="4" w:space="0" w:color="auto"/>
              <w:bottom w:val="nil"/>
            </w:tcBorders>
            <w:shd w:val="clear" w:color="auto" w:fill="auto"/>
            <w:vAlign w:val="center"/>
          </w:tcPr>
          <w:p w14:paraId="51BB3315" w14:textId="77777777" w:rsidR="00C34090" w:rsidRPr="00083FC7" w:rsidRDefault="008F2A9C" w:rsidP="00C34090">
            <w:pPr>
              <w:pStyle w:val="TableNormal1"/>
              <w:rPr>
                <w:b w:val="0"/>
              </w:rPr>
            </w:pPr>
            <w:r>
              <w:rPr>
                <w:b w:val="0"/>
              </w:rPr>
              <w:t xml:space="preserve">Natural Fracture Width, </w:t>
            </w:r>
            <w:r w:rsidRPr="008F2A9C">
              <w:rPr>
                <w:b w:val="0"/>
                <w:i/>
              </w:rPr>
              <w:t>nm</w:t>
            </w:r>
          </w:p>
        </w:tc>
        <w:tc>
          <w:tcPr>
            <w:tcW w:w="1890" w:type="dxa"/>
            <w:tcBorders>
              <w:top w:val="nil"/>
              <w:bottom w:val="nil"/>
            </w:tcBorders>
            <w:shd w:val="clear" w:color="auto" w:fill="auto"/>
            <w:vAlign w:val="center"/>
          </w:tcPr>
          <w:p w14:paraId="15A39502" w14:textId="77777777" w:rsidR="00C34090" w:rsidRPr="00E73B83" w:rsidRDefault="00C34090" w:rsidP="00C34090">
            <w:pPr>
              <w:pStyle w:val="TableNormal1"/>
              <w:cnfStyle w:val="000000000000" w:firstRow="0" w:lastRow="0" w:firstColumn="0" w:lastColumn="0" w:oddVBand="0" w:evenVBand="0" w:oddHBand="0" w:evenHBand="0" w:firstRowFirstColumn="0" w:firstRowLastColumn="0" w:lastRowFirstColumn="0" w:lastRowLastColumn="0"/>
            </w:pPr>
            <w:r w:rsidRPr="00E73B83">
              <w:t>50</w:t>
            </w:r>
          </w:p>
        </w:tc>
        <w:tc>
          <w:tcPr>
            <w:tcW w:w="2461" w:type="dxa"/>
            <w:tcBorders>
              <w:top w:val="nil"/>
              <w:bottom w:val="nil"/>
              <w:right w:val="single" w:sz="4" w:space="0" w:color="auto"/>
            </w:tcBorders>
            <w:shd w:val="clear" w:color="auto" w:fill="auto"/>
            <w:vAlign w:val="center"/>
          </w:tcPr>
          <w:p w14:paraId="3F982FD0" w14:textId="77777777" w:rsidR="00C34090" w:rsidRPr="00E73B83" w:rsidRDefault="00C34090" w:rsidP="00C34090">
            <w:pPr>
              <w:pStyle w:val="TableNormal1"/>
              <w:cnfStyle w:val="000000000000" w:firstRow="0" w:lastRow="0" w:firstColumn="0" w:lastColumn="0" w:oddVBand="0" w:evenVBand="0" w:oddHBand="0" w:evenHBand="0" w:firstRowFirstColumn="0" w:firstRowLastColumn="0" w:lastRowFirstColumn="0" w:lastRowLastColumn="0"/>
            </w:pPr>
            <w:r w:rsidRPr="00E73B83">
              <w:t xml:space="preserve">(Gale et al. 2014) </w:t>
            </w:r>
          </w:p>
        </w:tc>
      </w:tr>
      <w:tr w:rsidR="00C34090" w:rsidRPr="00E73B83" w14:paraId="60D1D8E6" w14:textId="77777777" w:rsidTr="008F2A9C">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4135" w:type="dxa"/>
            <w:tcBorders>
              <w:top w:val="nil"/>
              <w:left w:val="single" w:sz="4" w:space="0" w:color="auto"/>
              <w:bottom w:val="nil"/>
            </w:tcBorders>
            <w:shd w:val="clear" w:color="auto" w:fill="auto"/>
            <w:vAlign w:val="center"/>
          </w:tcPr>
          <w:p w14:paraId="5E38AB61" w14:textId="77777777" w:rsidR="00C34090" w:rsidRPr="00083FC7" w:rsidRDefault="00C34090" w:rsidP="00C34090">
            <w:pPr>
              <w:pStyle w:val="TableNormal1"/>
              <w:rPr>
                <w:b w:val="0"/>
              </w:rPr>
            </w:pPr>
            <w:r w:rsidRPr="00083FC7">
              <w:rPr>
                <w:b w:val="0"/>
              </w:rPr>
              <w:t xml:space="preserve">Hydraulic Fracture Conductivity, </w:t>
            </w:r>
            <w:r w:rsidRPr="00083FC7">
              <w:rPr>
                <w:b w:val="0"/>
                <w:i/>
              </w:rPr>
              <w:t>md • ft</w:t>
            </w:r>
          </w:p>
        </w:tc>
        <w:tc>
          <w:tcPr>
            <w:tcW w:w="1890" w:type="dxa"/>
            <w:tcBorders>
              <w:top w:val="nil"/>
              <w:bottom w:val="nil"/>
            </w:tcBorders>
            <w:shd w:val="clear" w:color="auto" w:fill="auto"/>
            <w:vAlign w:val="center"/>
          </w:tcPr>
          <w:p w14:paraId="3F139928" w14:textId="77777777" w:rsidR="00C34090" w:rsidRPr="00E73B83" w:rsidRDefault="00C34090" w:rsidP="00C34090">
            <w:pPr>
              <w:pStyle w:val="TableNormal1"/>
              <w:cnfStyle w:val="000000100000" w:firstRow="0" w:lastRow="0" w:firstColumn="0" w:lastColumn="0" w:oddVBand="0" w:evenVBand="0" w:oddHBand="1" w:evenHBand="0" w:firstRowFirstColumn="0" w:firstRowLastColumn="0" w:lastRowFirstColumn="0" w:lastRowLastColumn="0"/>
            </w:pPr>
            <w:r w:rsidRPr="00E73B83">
              <w:t>200</w:t>
            </w:r>
          </w:p>
        </w:tc>
        <w:tc>
          <w:tcPr>
            <w:tcW w:w="2461" w:type="dxa"/>
            <w:tcBorders>
              <w:top w:val="nil"/>
              <w:bottom w:val="nil"/>
              <w:right w:val="single" w:sz="4" w:space="0" w:color="auto"/>
            </w:tcBorders>
            <w:shd w:val="clear" w:color="auto" w:fill="auto"/>
            <w:vAlign w:val="center"/>
          </w:tcPr>
          <w:p w14:paraId="6DE7631A" w14:textId="77777777" w:rsidR="00C34090" w:rsidRPr="00E73B83" w:rsidRDefault="00C34090" w:rsidP="00C34090">
            <w:pPr>
              <w:pStyle w:val="TableNormal1"/>
              <w:cnfStyle w:val="000000100000" w:firstRow="0" w:lastRow="0" w:firstColumn="0" w:lastColumn="0" w:oddVBand="0" w:evenVBand="0" w:oddHBand="1" w:evenHBand="0" w:firstRowFirstColumn="0" w:firstRowLastColumn="0" w:lastRowFirstColumn="0" w:lastRowLastColumn="0"/>
            </w:pPr>
            <w:r w:rsidRPr="00E73B83">
              <w:t xml:space="preserve">(Medeiros et al.2008) </w:t>
            </w:r>
          </w:p>
        </w:tc>
      </w:tr>
      <w:tr w:rsidR="00C34090" w:rsidRPr="00E73B83" w14:paraId="4B127BF9" w14:textId="77777777" w:rsidTr="008F2A9C">
        <w:trPr>
          <w:trHeight w:val="215"/>
          <w:jc w:val="center"/>
        </w:trPr>
        <w:tc>
          <w:tcPr>
            <w:cnfStyle w:val="001000000000" w:firstRow="0" w:lastRow="0" w:firstColumn="1" w:lastColumn="0" w:oddVBand="0" w:evenVBand="0" w:oddHBand="0" w:evenHBand="0" w:firstRowFirstColumn="0" w:firstRowLastColumn="0" w:lastRowFirstColumn="0" w:lastRowLastColumn="0"/>
            <w:tcW w:w="4135" w:type="dxa"/>
            <w:tcBorders>
              <w:top w:val="nil"/>
              <w:left w:val="single" w:sz="4" w:space="0" w:color="auto"/>
              <w:bottom w:val="nil"/>
            </w:tcBorders>
            <w:shd w:val="clear" w:color="auto" w:fill="auto"/>
            <w:vAlign w:val="center"/>
          </w:tcPr>
          <w:p w14:paraId="6D7AE484" w14:textId="77777777" w:rsidR="00C34090" w:rsidRPr="00083FC7" w:rsidRDefault="00C34090" w:rsidP="00C34090">
            <w:pPr>
              <w:pStyle w:val="TableNormal1"/>
              <w:rPr>
                <w:b w:val="0"/>
              </w:rPr>
            </w:pPr>
            <w:r w:rsidRPr="00083FC7">
              <w:rPr>
                <w:b w:val="0"/>
              </w:rPr>
              <w:t xml:space="preserve">Matrix Permeability, </w:t>
            </w:r>
            <w:r w:rsidRPr="00083FC7">
              <w:rPr>
                <w:b w:val="0"/>
                <w:i/>
              </w:rPr>
              <w:t>md</w:t>
            </w:r>
          </w:p>
        </w:tc>
        <w:tc>
          <w:tcPr>
            <w:tcW w:w="1890" w:type="dxa"/>
            <w:tcBorders>
              <w:top w:val="nil"/>
              <w:bottom w:val="nil"/>
            </w:tcBorders>
            <w:shd w:val="clear" w:color="auto" w:fill="auto"/>
            <w:vAlign w:val="center"/>
          </w:tcPr>
          <w:p w14:paraId="1E9D8A8D" w14:textId="77777777" w:rsidR="00C34090" w:rsidRPr="00E73B83" w:rsidRDefault="00C34090" w:rsidP="00C34090">
            <w:pPr>
              <w:pStyle w:val="TableNormal1"/>
              <w:cnfStyle w:val="000000000000" w:firstRow="0" w:lastRow="0" w:firstColumn="0" w:lastColumn="0" w:oddVBand="0" w:evenVBand="0" w:oddHBand="0" w:evenHBand="0" w:firstRowFirstColumn="0" w:firstRowLastColumn="0" w:lastRowFirstColumn="0" w:lastRowLastColumn="0"/>
            </w:pPr>
            <w:r w:rsidRPr="00E73B83">
              <w:t>5</w:t>
            </w:r>
            <w:r w:rsidRPr="00E73B83">
              <w:rPr>
                <w:rFonts w:eastAsiaTheme="minorEastAsia"/>
              </w:rPr>
              <w:t>×10</w:t>
            </w:r>
            <w:r w:rsidRPr="00E73B83">
              <w:rPr>
                <w:rFonts w:eastAsiaTheme="minorEastAsia"/>
                <w:vertAlign w:val="superscript"/>
              </w:rPr>
              <w:t>-4</w:t>
            </w:r>
          </w:p>
        </w:tc>
        <w:tc>
          <w:tcPr>
            <w:tcW w:w="2461" w:type="dxa"/>
            <w:tcBorders>
              <w:top w:val="nil"/>
              <w:bottom w:val="nil"/>
              <w:right w:val="single" w:sz="4" w:space="0" w:color="auto"/>
            </w:tcBorders>
            <w:shd w:val="clear" w:color="auto" w:fill="auto"/>
            <w:vAlign w:val="center"/>
          </w:tcPr>
          <w:p w14:paraId="1CD8FA99" w14:textId="77777777" w:rsidR="00C34090" w:rsidRPr="00E73B83" w:rsidRDefault="00C34090" w:rsidP="00C34090">
            <w:pPr>
              <w:pStyle w:val="TableNormal1"/>
              <w:cnfStyle w:val="000000000000" w:firstRow="0" w:lastRow="0" w:firstColumn="0" w:lastColumn="0" w:oddVBand="0" w:evenVBand="0" w:oddHBand="0" w:evenHBand="0" w:firstRowFirstColumn="0" w:firstRowLastColumn="0" w:lastRowFirstColumn="0" w:lastRowLastColumn="0"/>
            </w:pPr>
            <w:r w:rsidRPr="00E73B83">
              <w:t xml:space="preserve">(DOE, US 2009) </w:t>
            </w:r>
          </w:p>
        </w:tc>
      </w:tr>
      <w:tr w:rsidR="00C34090" w:rsidRPr="00E73B83" w14:paraId="3CD363DB" w14:textId="77777777" w:rsidTr="008F2A9C">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4135" w:type="dxa"/>
            <w:tcBorders>
              <w:top w:val="nil"/>
              <w:left w:val="single" w:sz="4" w:space="0" w:color="auto"/>
              <w:bottom w:val="nil"/>
            </w:tcBorders>
            <w:shd w:val="clear" w:color="auto" w:fill="auto"/>
            <w:vAlign w:val="center"/>
          </w:tcPr>
          <w:p w14:paraId="1F2AE8BC" w14:textId="77777777" w:rsidR="00C34090" w:rsidRPr="00083FC7" w:rsidRDefault="00C34090" w:rsidP="00C34090">
            <w:pPr>
              <w:pStyle w:val="TableNormal1"/>
              <w:rPr>
                <w:b w:val="0"/>
              </w:rPr>
            </w:pPr>
            <w:r w:rsidRPr="00083FC7">
              <w:rPr>
                <w:b w:val="0"/>
              </w:rPr>
              <w:t xml:space="preserve">Temperature, </w:t>
            </w:r>
            <w:r w:rsidRPr="00083FC7">
              <w:rPr>
                <w:b w:val="0"/>
                <w:i/>
              </w:rPr>
              <w:t>K</w:t>
            </w:r>
          </w:p>
        </w:tc>
        <w:tc>
          <w:tcPr>
            <w:tcW w:w="1890" w:type="dxa"/>
            <w:tcBorders>
              <w:top w:val="nil"/>
              <w:bottom w:val="nil"/>
            </w:tcBorders>
            <w:shd w:val="clear" w:color="auto" w:fill="auto"/>
            <w:vAlign w:val="center"/>
          </w:tcPr>
          <w:p w14:paraId="4C2F2FA4" w14:textId="77777777" w:rsidR="00C34090" w:rsidRPr="00E73B83" w:rsidRDefault="00C34090" w:rsidP="00C34090">
            <w:pPr>
              <w:pStyle w:val="TableNormal1"/>
              <w:cnfStyle w:val="000000100000" w:firstRow="0" w:lastRow="0" w:firstColumn="0" w:lastColumn="0" w:oddVBand="0" w:evenVBand="0" w:oddHBand="1" w:evenHBand="0" w:firstRowFirstColumn="0" w:firstRowLastColumn="0" w:lastRowFirstColumn="0" w:lastRowLastColumn="0"/>
            </w:pPr>
            <w:r w:rsidRPr="00E73B83">
              <w:t>377</w:t>
            </w:r>
          </w:p>
        </w:tc>
        <w:tc>
          <w:tcPr>
            <w:tcW w:w="2461" w:type="dxa"/>
            <w:tcBorders>
              <w:top w:val="nil"/>
              <w:bottom w:val="nil"/>
              <w:right w:val="single" w:sz="4" w:space="0" w:color="auto"/>
            </w:tcBorders>
            <w:shd w:val="clear" w:color="auto" w:fill="auto"/>
            <w:vAlign w:val="center"/>
          </w:tcPr>
          <w:p w14:paraId="49437B06" w14:textId="77777777" w:rsidR="00C34090" w:rsidRPr="00E73B83" w:rsidRDefault="00C34090" w:rsidP="00C34090">
            <w:pPr>
              <w:pStyle w:val="TableNormal1"/>
              <w:cnfStyle w:val="000000100000" w:firstRow="0" w:lastRow="0" w:firstColumn="0" w:lastColumn="0" w:oddVBand="0" w:evenVBand="0" w:oddHBand="1" w:evenHBand="0" w:firstRowFirstColumn="0" w:firstRowLastColumn="0" w:lastRowFirstColumn="0" w:lastRowLastColumn="0"/>
            </w:pPr>
            <w:r w:rsidRPr="00E73B83">
              <w:t>(DOE, US 2009)</w:t>
            </w:r>
          </w:p>
        </w:tc>
      </w:tr>
      <w:tr w:rsidR="00C34090" w:rsidRPr="00E73B83" w14:paraId="5A1F9AE0" w14:textId="77777777" w:rsidTr="008F2A9C">
        <w:trPr>
          <w:trHeight w:val="215"/>
          <w:jc w:val="center"/>
        </w:trPr>
        <w:tc>
          <w:tcPr>
            <w:cnfStyle w:val="001000000000" w:firstRow="0" w:lastRow="0" w:firstColumn="1" w:lastColumn="0" w:oddVBand="0" w:evenVBand="0" w:oddHBand="0" w:evenHBand="0" w:firstRowFirstColumn="0" w:firstRowLastColumn="0" w:lastRowFirstColumn="0" w:lastRowLastColumn="0"/>
            <w:tcW w:w="4135" w:type="dxa"/>
            <w:tcBorders>
              <w:top w:val="nil"/>
              <w:left w:val="single" w:sz="4" w:space="0" w:color="auto"/>
              <w:bottom w:val="nil"/>
            </w:tcBorders>
            <w:shd w:val="clear" w:color="auto" w:fill="auto"/>
            <w:vAlign w:val="center"/>
          </w:tcPr>
          <w:p w14:paraId="14AA97C3" w14:textId="77777777" w:rsidR="00C34090" w:rsidRPr="00083FC7" w:rsidRDefault="00C34090" w:rsidP="00C34090">
            <w:pPr>
              <w:pStyle w:val="TableNormal1"/>
              <w:rPr>
                <w:rFonts w:ascii="Times New Roman" w:hAnsi="Times New Roman"/>
                <w:b w:val="0"/>
                <w:color w:val="000000" w:themeColor="text1"/>
              </w:rPr>
            </w:pPr>
            <w:r w:rsidRPr="00083FC7">
              <w:rPr>
                <w:rFonts w:ascii="Times New Roman" w:hAnsi="Times New Roman"/>
                <w:b w:val="0"/>
                <w:color w:val="000000" w:themeColor="text1"/>
              </w:rPr>
              <w:t>Initial/Residual Water Saturation, %</w:t>
            </w:r>
          </w:p>
        </w:tc>
        <w:tc>
          <w:tcPr>
            <w:tcW w:w="1890" w:type="dxa"/>
            <w:tcBorders>
              <w:top w:val="nil"/>
              <w:bottom w:val="nil"/>
            </w:tcBorders>
            <w:shd w:val="clear" w:color="auto" w:fill="auto"/>
            <w:vAlign w:val="center"/>
          </w:tcPr>
          <w:p w14:paraId="6F8CC717" w14:textId="77777777" w:rsidR="00C34090" w:rsidRPr="00E73B83" w:rsidRDefault="00C34090" w:rsidP="00C34090">
            <w:pPr>
              <w:pStyle w:val="TableNormal1"/>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E73B83">
              <w:rPr>
                <w:rFonts w:ascii="Times New Roman" w:hAnsi="Times New Roman"/>
                <w:color w:val="000000" w:themeColor="text1"/>
              </w:rPr>
              <w:t>25</w:t>
            </w:r>
          </w:p>
        </w:tc>
        <w:tc>
          <w:tcPr>
            <w:tcW w:w="2461" w:type="dxa"/>
            <w:tcBorders>
              <w:top w:val="nil"/>
              <w:bottom w:val="nil"/>
              <w:right w:val="single" w:sz="4" w:space="0" w:color="auto"/>
            </w:tcBorders>
            <w:shd w:val="clear" w:color="auto" w:fill="auto"/>
            <w:vAlign w:val="center"/>
          </w:tcPr>
          <w:p w14:paraId="06BEA07D" w14:textId="77777777" w:rsidR="00C34090" w:rsidRPr="00E73B83" w:rsidRDefault="00C34090" w:rsidP="00C34090">
            <w:pPr>
              <w:pStyle w:val="TableNormal1"/>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E73B83">
              <w:rPr>
                <w:rFonts w:ascii="Times New Roman" w:hAnsi="Times New Roman"/>
                <w:color w:val="000000" w:themeColor="text1"/>
              </w:rPr>
              <w:t>(DOE, US 2009)</w:t>
            </w:r>
          </w:p>
        </w:tc>
      </w:tr>
      <w:tr w:rsidR="00C34090" w:rsidRPr="00E73B83" w14:paraId="20FBE610" w14:textId="77777777" w:rsidTr="008F2A9C">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4135" w:type="dxa"/>
            <w:tcBorders>
              <w:top w:val="nil"/>
              <w:left w:val="single" w:sz="4" w:space="0" w:color="auto"/>
              <w:bottom w:val="nil"/>
            </w:tcBorders>
            <w:shd w:val="clear" w:color="auto" w:fill="auto"/>
            <w:vAlign w:val="center"/>
          </w:tcPr>
          <w:p w14:paraId="09855773" w14:textId="77777777" w:rsidR="00C34090" w:rsidRPr="00083FC7" w:rsidRDefault="00C34090" w:rsidP="00C34090">
            <w:pPr>
              <w:pStyle w:val="TableNormal1"/>
              <w:rPr>
                <w:rFonts w:ascii="Times New Roman" w:hAnsi="Times New Roman"/>
                <w:b w:val="0"/>
                <w:color w:val="000000" w:themeColor="text1"/>
              </w:rPr>
            </w:pPr>
            <w:r w:rsidRPr="00083FC7">
              <w:rPr>
                <w:rFonts w:ascii="Times New Roman" w:hAnsi="Times New Roman"/>
                <w:b w:val="0"/>
                <w:color w:val="000000" w:themeColor="text1"/>
              </w:rPr>
              <w:t>Porosity, %</w:t>
            </w:r>
          </w:p>
        </w:tc>
        <w:tc>
          <w:tcPr>
            <w:tcW w:w="1890" w:type="dxa"/>
            <w:tcBorders>
              <w:top w:val="nil"/>
              <w:bottom w:val="nil"/>
            </w:tcBorders>
            <w:shd w:val="clear" w:color="auto" w:fill="auto"/>
            <w:vAlign w:val="center"/>
          </w:tcPr>
          <w:p w14:paraId="5B78829C" w14:textId="77777777" w:rsidR="00C34090" w:rsidRPr="00E73B83" w:rsidRDefault="00C34090" w:rsidP="00C34090">
            <w:pPr>
              <w:pStyle w:val="TableNormal1"/>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E73B83">
              <w:rPr>
                <w:rFonts w:ascii="Times New Roman" w:hAnsi="Times New Roman"/>
                <w:color w:val="000000" w:themeColor="text1"/>
              </w:rPr>
              <w:t>5</w:t>
            </w:r>
          </w:p>
        </w:tc>
        <w:tc>
          <w:tcPr>
            <w:tcW w:w="2461" w:type="dxa"/>
            <w:tcBorders>
              <w:top w:val="nil"/>
              <w:bottom w:val="nil"/>
              <w:right w:val="single" w:sz="4" w:space="0" w:color="auto"/>
            </w:tcBorders>
            <w:shd w:val="clear" w:color="auto" w:fill="auto"/>
            <w:vAlign w:val="center"/>
          </w:tcPr>
          <w:p w14:paraId="39377E7A" w14:textId="77777777" w:rsidR="00C34090" w:rsidRPr="00E73B83" w:rsidRDefault="00C34090" w:rsidP="00C34090">
            <w:pPr>
              <w:pStyle w:val="TableNormal1"/>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E73B83">
              <w:rPr>
                <w:rFonts w:ascii="Times New Roman" w:hAnsi="Times New Roman"/>
                <w:color w:val="000000" w:themeColor="text1"/>
              </w:rPr>
              <w:t>(DOE, US 2009)</w:t>
            </w:r>
          </w:p>
        </w:tc>
      </w:tr>
      <w:tr w:rsidR="00C34090" w:rsidRPr="00E73B83" w14:paraId="2070A8B6" w14:textId="77777777" w:rsidTr="008F2A9C">
        <w:trPr>
          <w:trHeight w:val="215"/>
          <w:jc w:val="center"/>
        </w:trPr>
        <w:tc>
          <w:tcPr>
            <w:cnfStyle w:val="001000000000" w:firstRow="0" w:lastRow="0" w:firstColumn="1" w:lastColumn="0" w:oddVBand="0" w:evenVBand="0" w:oddHBand="0" w:evenHBand="0" w:firstRowFirstColumn="0" w:firstRowLastColumn="0" w:lastRowFirstColumn="0" w:lastRowLastColumn="0"/>
            <w:tcW w:w="4135" w:type="dxa"/>
            <w:tcBorders>
              <w:top w:val="nil"/>
              <w:left w:val="single" w:sz="4" w:space="0" w:color="auto"/>
              <w:bottom w:val="nil"/>
            </w:tcBorders>
            <w:shd w:val="clear" w:color="auto" w:fill="auto"/>
            <w:vAlign w:val="center"/>
          </w:tcPr>
          <w:p w14:paraId="7AB5C22F" w14:textId="77777777" w:rsidR="00C34090" w:rsidRPr="00083FC7" w:rsidRDefault="00C34090" w:rsidP="00C34090">
            <w:pPr>
              <w:pStyle w:val="TableNormal1"/>
              <w:rPr>
                <w:rFonts w:ascii="Times New Roman" w:eastAsiaTheme="minorEastAsia" w:hAnsi="Times New Roman"/>
                <w:b w:val="0"/>
                <w:color w:val="000000" w:themeColor="text1"/>
              </w:rPr>
            </w:pPr>
            <w:r w:rsidRPr="00083FC7">
              <w:rPr>
                <w:rFonts w:ascii="Times New Roman" w:hAnsi="Times New Roman"/>
                <w:b w:val="0"/>
                <w:color w:val="000000" w:themeColor="text1"/>
              </w:rPr>
              <w:t xml:space="preserve">Reservoir Pressure, </w:t>
            </w:r>
            <w:r w:rsidRPr="00083FC7">
              <w:rPr>
                <w:rFonts w:ascii="Times New Roman" w:hAnsi="Times New Roman"/>
                <w:b w:val="0"/>
                <w:i/>
                <w:color w:val="000000" w:themeColor="text1"/>
              </w:rPr>
              <w:t>psi</w:t>
            </w:r>
          </w:p>
        </w:tc>
        <w:tc>
          <w:tcPr>
            <w:tcW w:w="1890" w:type="dxa"/>
            <w:tcBorders>
              <w:top w:val="nil"/>
              <w:bottom w:val="nil"/>
            </w:tcBorders>
            <w:shd w:val="clear" w:color="auto" w:fill="auto"/>
            <w:vAlign w:val="center"/>
          </w:tcPr>
          <w:p w14:paraId="29E78521" w14:textId="77777777" w:rsidR="00C34090" w:rsidRPr="00E73B83" w:rsidRDefault="00C34090" w:rsidP="00C34090">
            <w:pPr>
              <w:pStyle w:val="TableNormal1"/>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E73B83">
              <w:rPr>
                <w:rFonts w:ascii="Times New Roman" w:hAnsi="Times New Roman"/>
                <w:color w:val="000000" w:themeColor="text1"/>
              </w:rPr>
              <w:t>3925</w:t>
            </w:r>
          </w:p>
        </w:tc>
        <w:tc>
          <w:tcPr>
            <w:tcW w:w="2461" w:type="dxa"/>
            <w:tcBorders>
              <w:top w:val="nil"/>
              <w:bottom w:val="nil"/>
              <w:right w:val="single" w:sz="4" w:space="0" w:color="auto"/>
            </w:tcBorders>
            <w:shd w:val="clear" w:color="auto" w:fill="auto"/>
            <w:vAlign w:val="center"/>
          </w:tcPr>
          <w:p w14:paraId="31EB06CD" w14:textId="77777777" w:rsidR="00C34090" w:rsidRPr="00E73B83" w:rsidRDefault="00C34090" w:rsidP="00C34090">
            <w:pPr>
              <w:pStyle w:val="TableNormal1"/>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E73B83">
              <w:rPr>
                <w:rFonts w:ascii="Times New Roman" w:hAnsi="Times New Roman"/>
                <w:color w:val="000000" w:themeColor="text1"/>
              </w:rPr>
              <w:t xml:space="preserve">(Medeiros et al. 2008) </w:t>
            </w:r>
          </w:p>
        </w:tc>
      </w:tr>
      <w:tr w:rsidR="00C34090" w:rsidRPr="00E73B83" w14:paraId="03D87EC8" w14:textId="77777777" w:rsidTr="008F2A9C">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4135" w:type="dxa"/>
            <w:tcBorders>
              <w:top w:val="nil"/>
              <w:left w:val="single" w:sz="4" w:space="0" w:color="auto"/>
              <w:bottom w:val="nil"/>
            </w:tcBorders>
            <w:shd w:val="clear" w:color="auto" w:fill="auto"/>
            <w:vAlign w:val="center"/>
          </w:tcPr>
          <w:p w14:paraId="1D051779" w14:textId="77777777" w:rsidR="00C34090" w:rsidRPr="00083FC7" w:rsidRDefault="00C34090" w:rsidP="00C34090">
            <w:pPr>
              <w:pStyle w:val="TableNormal1"/>
              <w:rPr>
                <w:rFonts w:ascii="Times New Roman" w:hAnsi="Times New Roman"/>
                <w:b w:val="0"/>
                <w:i/>
                <w:color w:val="000000" w:themeColor="text1"/>
              </w:rPr>
            </w:pPr>
            <w:r w:rsidRPr="00083FC7">
              <w:rPr>
                <w:rFonts w:ascii="Times New Roman" w:hAnsi="Times New Roman"/>
                <w:b w:val="0"/>
                <w:color w:val="000000" w:themeColor="text1"/>
              </w:rPr>
              <w:t xml:space="preserve">BHP, </w:t>
            </w:r>
            <w:r w:rsidRPr="00083FC7">
              <w:rPr>
                <w:rFonts w:ascii="Times New Roman" w:hAnsi="Times New Roman"/>
                <w:b w:val="0"/>
                <w:i/>
                <w:color w:val="000000" w:themeColor="text1"/>
              </w:rPr>
              <w:t>psi</w:t>
            </w:r>
          </w:p>
        </w:tc>
        <w:tc>
          <w:tcPr>
            <w:tcW w:w="1890" w:type="dxa"/>
            <w:tcBorders>
              <w:top w:val="nil"/>
              <w:bottom w:val="nil"/>
            </w:tcBorders>
            <w:shd w:val="clear" w:color="auto" w:fill="auto"/>
            <w:vAlign w:val="center"/>
          </w:tcPr>
          <w:p w14:paraId="67625020" w14:textId="77777777" w:rsidR="00C34090" w:rsidRPr="00E73B83" w:rsidRDefault="00C34090" w:rsidP="00C34090">
            <w:pPr>
              <w:pStyle w:val="TableNormal1"/>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E73B83">
              <w:rPr>
                <w:rFonts w:ascii="Times New Roman" w:hAnsi="Times New Roman"/>
                <w:color w:val="000000" w:themeColor="text1"/>
              </w:rPr>
              <w:t>2000</w:t>
            </w:r>
          </w:p>
        </w:tc>
        <w:tc>
          <w:tcPr>
            <w:tcW w:w="2461" w:type="dxa"/>
            <w:tcBorders>
              <w:top w:val="nil"/>
              <w:bottom w:val="nil"/>
              <w:right w:val="single" w:sz="4" w:space="0" w:color="auto"/>
            </w:tcBorders>
            <w:shd w:val="clear" w:color="auto" w:fill="auto"/>
            <w:vAlign w:val="center"/>
          </w:tcPr>
          <w:p w14:paraId="41A8CD4B" w14:textId="77777777" w:rsidR="00C34090" w:rsidRPr="00E73B83" w:rsidRDefault="00C34090" w:rsidP="00C34090">
            <w:pPr>
              <w:pStyle w:val="TableNormal1"/>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E73B83">
              <w:rPr>
                <w:rFonts w:ascii="Times New Roman" w:hAnsi="Times New Roman"/>
                <w:color w:val="000000" w:themeColor="text1"/>
              </w:rPr>
              <w:t xml:space="preserve">(Cipolla et al. 2010) </w:t>
            </w:r>
          </w:p>
        </w:tc>
      </w:tr>
      <w:tr w:rsidR="00C34090" w:rsidRPr="00E73B83" w14:paraId="08B8746D" w14:textId="77777777" w:rsidTr="008F2A9C">
        <w:trPr>
          <w:trHeight w:val="215"/>
          <w:jc w:val="center"/>
        </w:trPr>
        <w:tc>
          <w:tcPr>
            <w:cnfStyle w:val="001000000000" w:firstRow="0" w:lastRow="0" w:firstColumn="1" w:lastColumn="0" w:oddVBand="0" w:evenVBand="0" w:oddHBand="0" w:evenHBand="0" w:firstRowFirstColumn="0" w:firstRowLastColumn="0" w:lastRowFirstColumn="0" w:lastRowLastColumn="0"/>
            <w:tcW w:w="4135" w:type="dxa"/>
            <w:tcBorders>
              <w:top w:val="nil"/>
              <w:left w:val="single" w:sz="4" w:space="0" w:color="auto"/>
              <w:bottom w:val="nil"/>
            </w:tcBorders>
            <w:shd w:val="clear" w:color="auto" w:fill="auto"/>
            <w:vAlign w:val="center"/>
          </w:tcPr>
          <w:p w14:paraId="23846B8A" w14:textId="77777777" w:rsidR="00C34090" w:rsidRPr="00083FC7" w:rsidRDefault="00C34090" w:rsidP="00C34090">
            <w:pPr>
              <w:pStyle w:val="TableNormal1"/>
              <w:rPr>
                <w:rFonts w:ascii="Times New Roman" w:hAnsi="Times New Roman"/>
                <w:b w:val="0"/>
                <w:color w:val="000000" w:themeColor="text1"/>
              </w:rPr>
            </w:pPr>
            <w:r w:rsidRPr="00083FC7">
              <w:rPr>
                <w:rFonts w:ascii="Times New Roman" w:hAnsi="Times New Roman"/>
                <w:b w:val="0"/>
                <w:color w:val="000000" w:themeColor="text1"/>
              </w:rPr>
              <w:t xml:space="preserve">Radon Diffusivity in Water, </w:t>
            </w:r>
            <w:r w:rsidRPr="00083FC7">
              <w:rPr>
                <w:rFonts w:ascii="Times New Roman" w:hAnsi="Times New Roman"/>
                <w:b w:val="0"/>
                <w:i/>
                <w:color w:val="000000" w:themeColor="text1"/>
              </w:rPr>
              <w:t>m</w:t>
            </w:r>
            <w:r w:rsidRPr="00083FC7">
              <w:rPr>
                <w:rFonts w:ascii="Times New Roman" w:hAnsi="Times New Roman"/>
                <w:b w:val="0"/>
                <w:i/>
                <w:color w:val="000000" w:themeColor="text1"/>
                <w:vertAlign w:val="superscript"/>
              </w:rPr>
              <w:t>2</w:t>
            </w:r>
            <w:r w:rsidRPr="00083FC7">
              <w:rPr>
                <w:rFonts w:ascii="Times New Roman" w:hAnsi="Times New Roman"/>
                <w:b w:val="0"/>
                <w:i/>
                <w:color w:val="000000" w:themeColor="text1"/>
              </w:rPr>
              <w:t>/s</w:t>
            </w:r>
          </w:p>
        </w:tc>
        <w:tc>
          <w:tcPr>
            <w:tcW w:w="1890" w:type="dxa"/>
            <w:tcBorders>
              <w:top w:val="nil"/>
              <w:bottom w:val="nil"/>
            </w:tcBorders>
            <w:shd w:val="clear" w:color="auto" w:fill="auto"/>
            <w:vAlign w:val="center"/>
          </w:tcPr>
          <w:p w14:paraId="2A1E5F68" w14:textId="77777777" w:rsidR="00C34090" w:rsidRPr="00E73B83" w:rsidRDefault="00C34090" w:rsidP="00C34090">
            <w:pPr>
              <w:pStyle w:val="TableNormal1"/>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E73B83">
              <w:rPr>
                <w:rFonts w:ascii="Times New Roman" w:hAnsi="Times New Roman"/>
                <w:color w:val="000000" w:themeColor="text1"/>
              </w:rPr>
              <w:t>1.13</w:t>
            </w:r>
            <w:r w:rsidRPr="00E73B83">
              <w:rPr>
                <w:rFonts w:ascii="Times New Roman" w:eastAsiaTheme="minorEastAsia" w:hAnsi="Times New Roman"/>
                <w:color w:val="000000" w:themeColor="text1"/>
              </w:rPr>
              <w:t>×10</w:t>
            </w:r>
            <w:r w:rsidRPr="00E73B83">
              <w:rPr>
                <w:rFonts w:ascii="Times New Roman" w:eastAsiaTheme="minorEastAsia" w:hAnsi="Times New Roman"/>
                <w:color w:val="000000" w:themeColor="text1"/>
                <w:vertAlign w:val="superscript"/>
              </w:rPr>
              <w:t>-9</w:t>
            </w:r>
          </w:p>
        </w:tc>
        <w:tc>
          <w:tcPr>
            <w:tcW w:w="2461" w:type="dxa"/>
            <w:tcBorders>
              <w:top w:val="nil"/>
              <w:bottom w:val="nil"/>
              <w:right w:val="single" w:sz="4" w:space="0" w:color="auto"/>
            </w:tcBorders>
            <w:shd w:val="clear" w:color="auto" w:fill="auto"/>
            <w:vAlign w:val="center"/>
          </w:tcPr>
          <w:p w14:paraId="6A3EDD30" w14:textId="77777777" w:rsidR="00C34090" w:rsidRPr="00E73B83" w:rsidRDefault="00C34090" w:rsidP="00C34090">
            <w:pPr>
              <w:pStyle w:val="TableNormal1"/>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E73B83">
              <w:rPr>
                <w:rFonts w:ascii="Times New Roman" w:eastAsiaTheme="minorEastAsia" w:hAnsi="Times New Roman"/>
                <w:color w:val="000000" w:themeColor="text1"/>
              </w:rPr>
              <w:t>(Tanner 1980)</w:t>
            </w:r>
            <w:r w:rsidRPr="00E73B83">
              <w:rPr>
                <w:rFonts w:ascii="Times New Roman" w:hAnsi="Times New Roman"/>
                <w:color w:val="000000" w:themeColor="text1"/>
              </w:rPr>
              <w:t xml:space="preserve"> </w:t>
            </w:r>
          </w:p>
        </w:tc>
      </w:tr>
      <w:tr w:rsidR="00C34090" w:rsidRPr="00E73B83" w14:paraId="58A296F6" w14:textId="77777777" w:rsidTr="008F2A9C">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4135" w:type="dxa"/>
            <w:tcBorders>
              <w:top w:val="nil"/>
              <w:left w:val="single" w:sz="4" w:space="0" w:color="auto"/>
              <w:bottom w:val="single" w:sz="4" w:space="0" w:color="auto"/>
            </w:tcBorders>
            <w:shd w:val="clear" w:color="auto" w:fill="auto"/>
            <w:vAlign w:val="center"/>
          </w:tcPr>
          <w:p w14:paraId="275721FC" w14:textId="77777777" w:rsidR="00C34090" w:rsidRPr="00083FC7" w:rsidRDefault="00C34090" w:rsidP="00C34090">
            <w:pPr>
              <w:pStyle w:val="TableNormal1"/>
              <w:rPr>
                <w:rFonts w:ascii="Times New Roman" w:hAnsi="Times New Roman"/>
                <w:b w:val="0"/>
                <w:color w:val="000000" w:themeColor="text1"/>
              </w:rPr>
            </w:pPr>
            <w:r w:rsidRPr="00083FC7">
              <w:rPr>
                <w:rFonts w:ascii="Times New Roman" w:hAnsi="Times New Roman"/>
                <w:b w:val="0"/>
                <w:color w:val="000000" w:themeColor="text1"/>
              </w:rPr>
              <w:t xml:space="preserve">Radon Diffusivity in Gas, </w:t>
            </w:r>
            <w:r w:rsidRPr="00083FC7">
              <w:rPr>
                <w:rFonts w:ascii="Times New Roman" w:hAnsi="Times New Roman"/>
                <w:b w:val="0"/>
                <w:i/>
                <w:color w:val="000000" w:themeColor="text1"/>
              </w:rPr>
              <w:t>m</w:t>
            </w:r>
            <w:r w:rsidRPr="00083FC7">
              <w:rPr>
                <w:rFonts w:ascii="Times New Roman" w:hAnsi="Times New Roman"/>
                <w:b w:val="0"/>
                <w:i/>
                <w:color w:val="000000" w:themeColor="text1"/>
                <w:vertAlign w:val="superscript"/>
              </w:rPr>
              <w:t>2</w:t>
            </w:r>
            <w:r w:rsidRPr="00083FC7">
              <w:rPr>
                <w:rFonts w:ascii="Times New Roman" w:hAnsi="Times New Roman"/>
                <w:b w:val="0"/>
                <w:i/>
                <w:color w:val="000000" w:themeColor="text1"/>
              </w:rPr>
              <w:t>/s</w:t>
            </w:r>
          </w:p>
        </w:tc>
        <w:tc>
          <w:tcPr>
            <w:tcW w:w="1890" w:type="dxa"/>
            <w:tcBorders>
              <w:top w:val="nil"/>
              <w:bottom w:val="single" w:sz="4" w:space="0" w:color="auto"/>
            </w:tcBorders>
            <w:shd w:val="clear" w:color="auto" w:fill="auto"/>
            <w:vAlign w:val="center"/>
          </w:tcPr>
          <w:p w14:paraId="54BF96B7" w14:textId="77777777" w:rsidR="00C34090" w:rsidRPr="00E73B83" w:rsidRDefault="00C34090" w:rsidP="00C34090">
            <w:pPr>
              <w:pStyle w:val="TableNormal1"/>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E73B83">
              <w:rPr>
                <w:rFonts w:ascii="Times New Roman" w:eastAsiaTheme="minorEastAsia" w:hAnsi="Times New Roman"/>
                <w:color w:val="000000" w:themeColor="text1"/>
              </w:rPr>
              <w:t>10</w:t>
            </w:r>
            <w:r w:rsidRPr="00E73B83">
              <w:rPr>
                <w:rFonts w:ascii="Times New Roman" w:eastAsiaTheme="minorEastAsia" w:hAnsi="Times New Roman"/>
                <w:color w:val="000000" w:themeColor="text1"/>
                <w:vertAlign w:val="superscript"/>
              </w:rPr>
              <w:t>-5</w:t>
            </w:r>
          </w:p>
        </w:tc>
        <w:tc>
          <w:tcPr>
            <w:tcW w:w="2461" w:type="dxa"/>
            <w:tcBorders>
              <w:top w:val="nil"/>
              <w:bottom w:val="single" w:sz="4" w:space="0" w:color="auto"/>
              <w:right w:val="single" w:sz="4" w:space="0" w:color="auto"/>
            </w:tcBorders>
            <w:shd w:val="clear" w:color="auto" w:fill="auto"/>
            <w:vAlign w:val="center"/>
          </w:tcPr>
          <w:p w14:paraId="5505BFF9" w14:textId="77777777" w:rsidR="00C34090" w:rsidRPr="00E73B83" w:rsidRDefault="00C34090" w:rsidP="00C34090">
            <w:pPr>
              <w:pStyle w:val="TableNormal1"/>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E73B83">
              <w:rPr>
                <w:rFonts w:ascii="Times New Roman" w:eastAsiaTheme="minorEastAsia" w:hAnsi="Times New Roman"/>
                <w:color w:val="000000" w:themeColor="text1"/>
              </w:rPr>
              <w:t>(Tanner 1980)</w:t>
            </w:r>
            <w:r w:rsidRPr="00E73B83">
              <w:rPr>
                <w:rFonts w:ascii="Times New Roman" w:hAnsi="Times New Roman"/>
                <w:color w:val="000000" w:themeColor="text1"/>
              </w:rPr>
              <w:t xml:space="preserve"> </w:t>
            </w:r>
          </w:p>
        </w:tc>
      </w:tr>
    </w:tbl>
    <w:p w14:paraId="70863D98" w14:textId="77777777" w:rsidR="00E81B4A" w:rsidRDefault="00E81B4A" w:rsidP="00E81B4A">
      <w:pPr>
        <w:pStyle w:val="para1"/>
        <w:rPr>
          <w:color w:val="000000" w:themeColor="text1"/>
        </w:rPr>
      </w:pPr>
    </w:p>
    <w:p w14:paraId="68F5F570" w14:textId="77777777" w:rsidR="00C34090" w:rsidRDefault="00C34090" w:rsidP="00E81B4A">
      <w:pPr>
        <w:pStyle w:val="para1"/>
        <w:rPr>
          <w:color w:val="000000" w:themeColor="text1"/>
        </w:rPr>
      </w:pPr>
    </w:p>
    <w:p w14:paraId="3ED5C864" w14:textId="77777777" w:rsidR="00C34090" w:rsidRDefault="00C34090" w:rsidP="00E81B4A">
      <w:pPr>
        <w:pStyle w:val="para1"/>
        <w:rPr>
          <w:color w:val="000000" w:themeColor="text1"/>
        </w:rPr>
      </w:pPr>
    </w:p>
    <w:p w14:paraId="2A758417" w14:textId="77777777" w:rsidR="00C34090" w:rsidRDefault="00C34090" w:rsidP="00E81B4A">
      <w:pPr>
        <w:pStyle w:val="para1"/>
        <w:rPr>
          <w:color w:val="000000" w:themeColor="text1"/>
        </w:rPr>
      </w:pPr>
    </w:p>
    <w:p w14:paraId="79591F13" w14:textId="77777777" w:rsidR="00C34090" w:rsidRDefault="00C34090" w:rsidP="00E81B4A">
      <w:pPr>
        <w:pStyle w:val="para1"/>
        <w:rPr>
          <w:color w:val="000000" w:themeColor="text1"/>
        </w:rPr>
      </w:pPr>
    </w:p>
    <w:p w14:paraId="6B0A08FF" w14:textId="77777777" w:rsidR="00C34090" w:rsidRDefault="00C34090" w:rsidP="00E81B4A">
      <w:pPr>
        <w:pStyle w:val="para1"/>
        <w:rPr>
          <w:color w:val="000000" w:themeColor="text1"/>
        </w:rPr>
      </w:pPr>
    </w:p>
    <w:p w14:paraId="7B080A75" w14:textId="77777777" w:rsidR="00C34090" w:rsidRDefault="00C34090" w:rsidP="00E81B4A">
      <w:pPr>
        <w:pStyle w:val="para1"/>
        <w:rPr>
          <w:color w:val="000000" w:themeColor="text1"/>
        </w:rPr>
      </w:pPr>
    </w:p>
    <w:p w14:paraId="7E861306" w14:textId="77777777" w:rsidR="00C34090" w:rsidRDefault="00C34090" w:rsidP="00E81B4A">
      <w:pPr>
        <w:pStyle w:val="para1"/>
        <w:rPr>
          <w:color w:val="000000" w:themeColor="text1"/>
        </w:rPr>
      </w:pPr>
    </w:p>
    <w:p w14:paraId="7894DC5D" w14:textId="77777777" w:rsidR="00C34090" w:rsidRDefault="00C34090" w:rsidP="00E81B4A">
      <w:pPr>
        <w:pStyle w:val="para1"/>
        <w:rPr>
          <w:color w:val="000000" w:themeColor="text1"/>
        </w:rPr>
      </w:pPr>
    </w:p>
    <w:p w14:paraId="01D6E07D" w14:textId="77777777" w:rsidR="00E81B4A" w:rsidRDefault="00E81B4A" w:rsidP="00E81B4A">
      <w:pPr>
        <w:pStyle w:val="Heading2"/>
      </w:pPr>
      <w:bookmarkStart w:id="246" w:name="_Toc494014242"/>
      <w:r>
        <w:lastRenderedPageBreak/>
        <w:t>Result</w:t>
      </w:r>
      <w:r w:rsidR="00C34090">
        <w:t xml:space="preserve"> and Discussion</w:t>
      </w:r>
      <w:bookmarkEnd w:id="246"/>
    </w:p>
    <w:p w14:paraId="2B6EC2E6" w14:textId="77777777" w:rsidR="00E81B4A" w:rsidRDefault="00E81B4A" w:rsidP="00E81B4A">
      <w:pPr>
        <w:pStyle w:val="Heading3"/>
      </w:pPr>
      <w:bookmarkStart w:id="247" w:name="_Toc494014243"/>
      <w:r>
        <w:t>In-situ Radon Concentration</w:t>
      </w:r>
      <w:bookmarkEnd w:id="247"/>
    </w:p>
    <w:p w14:paraId="5337C0D5" w14:textId="21BEFE8D" w:rsidR="00E81B4A" w:rsidRDefault="00E81B4A" w:rsidP="008948B7">
      <w:r>
        <w:t xml:space="preserve">To investigate the impacts of pore size distribution and pore shape on </w:t>
      </w:r>
      <w:r w:rsidRPr="001004E1">
        <w:rPr>
          <w:i/>
        </w:rPr>
        <w:t>in-situ</w:t>
      </w:r>
      <w:r>
        <w:t xml:space="preserve"> radon concentration, 3000 pores</w:t>
      </w:r>
      <w:r w:rsidR="00C15129">
        <w:t xml:space="preserve"> were generated</w:t>
      </w:r>
      <w:r>
        <w:t xml:space="preserve"> following the pore size distribution for each case in </w:t>
      </w:r>
      <w:r>
        <w:fldChar w:fldCharType="begin"/>
      </w:r>
      <w:r>
        <w:instrText xml:space="preserve"> REF _Ref464721209 \h </w:instrText>
      </w:r>
      <w:r>
        <w:fldChar w:fldCharType="separate"/>
      </w:r>
      <w:r w:rsidR="008948B7">
        <w:t xml:space="preserve">Figure </w:t>
      </w:r>
      <w:r w:rsidR="008948B7">
        <w:rPr>
          <w:noProof/>
        </w:rPr>
        <w:t>5</w:t>
      </w:r>
      <w:r w:rsidR="008948B7">
        <w:noBreakHyphen/>
      </w:r>
      <w:r w:rsidR="008948B7">
        <w:rPr>
          <w:noProof/>
        </w:rPr>
        <w:t>4</w:t>
      </w:r>
      <w:r>
        <w:fldChar w:fldCharType="end"/>
      </w:r>
      <w:r>
        <w:t>. For simplification, radon recoil range in pore space is assumed as 100</w:t>
      </w:r>
      <w:r w:rsidRPr="001C0127">
        <w:rPr>
          <w:i/>
        </w:rPr>
        <w:t>nm</w:t>
      </w:r>
      <w:r>
        <w:t>. The radium concentration in a shale grain is taken to be 3.4×10</w:t>
      </w:r>
      <w:r w:rsidRPr="001C6C91">
        <w:rPr>
          <w:vertAlign w:val="superscript"/>
        </w:rPr>
        <w:t>4</w:t>
      </w:r>
      <w:r>
        <w:t xml:space="preserve"> </w:t>
      </w:r>
      <w:r>
        <w:rPr>
          <w:i/>
        </w:rPr>
        <w:t xml:space="preserve">pCi/L </w:t>
      </w:r>
      <w:r w:rsidR="002B0D7E">
        <w:t>(Resnikoff 2011)</w:t>
      </w:r>
      <w:r>
        <w:t>.The radium concentration in formation water is determined by the lab measurement of 1.7×10</w:t>
      </w:r>
      <w:r w:rsidRPr="001C6C91">
        <w:rPr>
          <w:vertAlign w:val="superscript"/>
        </w:rPr>
        <w:t>4</w:t>
      </w:r>
      <w:r>
        <w:t xml:space="preserve"> </w:t>
      </w:r>
      <w:r>
        <w:rPr>
          <w:i/>
        </w:rPr>
        <w:t>pCi/L</w:t>
      </w:r>
      <w:r w:rsidR="002B0D7E">
        <w:t xml:space="preserve"> (Nelson et al. 2014)</w:t>
      </w:r>
      <w:r>
        <w:t>.</w:t>
      </w:r>
    </w:p>
    <w:p w14:paraId="1CED7C9B" w14:textId="49890149" w:rsidR="00E81B4A" w:rsidRDefault="00E81B4A" w:rsidP="008948B7">
      <w:r>
        <w:fldChar w:fldCharType="begin"/>
      </w:r>
      <w:r>
        <w:instrText xml:space="preserve"> REF _Ref465086308 \h </w:instrText>
      </w:r>
      <w:r>
        <w:fldChar w:fldCharType="separate"/>
      </w:r>
      <w:r w:rsidR="008948B7">
        <w:t xml:space="preserve">Figure </w:t>
      </w:r>
      <w:r w:rsidR="008948B7">
        <w:rPr>
          <w:noProof/>
        </w:rPr>
        <w:t>5</w:t>
      </w:r>
      <w:r w:rsidR="008948B7">
        <w:noBreakHyphen/>
      </w:r>
      <w:r w:rsidR="008948B7">
        <w:rPr>
          <w:noProof/>
        </w:rPr>
        <w:t>10</w:t>
      </w:r>
      <w:r>
        <w:fldChar w:fldCharType="end"/>
      </w:r>
      <w:r>
        <w:t xml:space="preserve"> shows the distribution of radon </w:t>
      </w:r>
      <w:r w:rsidRPr="001004E1">
        <w:rPr>
          <w:i/>
        </w:rPr>
        <w:t>in-situ</w:t>
      </w:r>
      <w:r>
        <w:t xml:space="preserve"> concentration for all the three cases. The radon is generated from radium in rock grains as well as radium in formation water. As Case A and Case C </w:t>
      </w:r>
      <w:r w:rsidR="002B0D7E">
        <w:t xml:space="preserve">were </w:t>
      </w:r>
      <w:r w:rsidR="00C15129">
        <w:t xml:space="preserve">assumed slit pore shape, </w:t>
      </w:r>
      <w:r w:rsidR="002B0D7E">
        <w:t xml:space="preserve">the formulas in section </w:t>
      </w:r>
      <w:r w:rsidR="002B0D7E">
        <w:fldChar w:fldCharType="begin"/>
      </w:r>
      <w:r w:rsidR="002B0D7E">
        <w:instrText xml:space="preserve"> REF _Ref492209914 \n \h </w:instrText>
      </w:r>
      <w:r w:rsidR="002B0D7E">
        <w:fldChar w:fldCharType="separate"/>
      </w:r>
      <w:r w:rsidR="002B0D7E">
        <w:t>5.3.2</w:t>
      </w:r>
      <w:r w:rsidR="002B0D7E">
        <w:fldChar w:fldCharType="end"/>
      </w:r>
      <w:r w:rsidR="002B0D7E">
        <w:t xml:space="preserve"> </w:t>
      </w:r>
      <w:r w:rsidR="00C15129">
        <w:t xml:space="preserve">were employed </w:t>
      </w:r>
      <w:r>
        <w:t xml:space="preserve">to calculate radon </w:t>
      </w:r>
      <w:r w:rsidRPr="009E5542">
        <w:rPr>
          <w:i/>
        </w:rPr>
        <w:t>in-situ</w:t>
      </w:r>
      <w:r>
        <w:t xml:space="preserve"> concentration. In Case B, the equations derived in </w:t>
      </w:r>
      <w:r w:rsidR="002B0D7E">
        <w:t xml:space="preserve">section </w:t>
      </w:r>
      <w:r w:rsidR="002B0D7E">
        <w:fldChar w:fldCharType="begin"/>
      </w:r>
      <w:r w:rsidR="002B0D7E">
        <w:instrText xml:space="preserve"> REF _Ref492209937 \n \h </w:instrText>
      </w:r>
      <w:r w:rsidR="002B0D7E">
        <w:fldChar w:fldCharType="separate"/>
      </w:r>
      <w:r w:rsidR="002B0D7E">
        <w:t>5.3.3</w:t>
      </w:r>
      <w:r w:rsidR="002B0D7E">
        <w:fldChar w:fldCharType="end"/>
      </w:r>
      <w:r>
        <w:t xml:space="preserve"> for spherical pore shape were utilized. </w:t>
      </w:r>
    </w:p>
    <w:p w14:paraId="5DD1F5E3" w14:textId="40FBD085" w:rsidR="00E81B4A" w:rsidRPr="00435120" w:rsidRDefault="00E81B4A" w:rsidP="008948B7">
      <w:r>
        <w:fldChar w:fldCharType="begin"/>
      </w:r>
      <w:r>
        <w:instrText xml:space="preserve"> REF _Ref465086308 \h </w:instrText>
      </w:r>
      <w:r>
        <w:fldChar w:fldCharType="separate"/>
      </w:r>
      <w:r w:rsidR="008948B7">
        <w:t xml:space="preserve">Figure </w:t>
      </w:r>
      <w:r w:rsidR="008948B7">
        <w:rPr>
          <w:noProof/>
        </w:rPr>
        <w:t>5</w:t>
      </w:r>
      <w:r w:rsidR="008948B7">
        <w:noBreakHyphen/>
      </w:r>
      <w:r w:rsidR="008948B7">
        <w:rPr>
          <w:noProof/>
        </w:rPr>
        <w:t>10</w:t>
      </w:r>
      <w:r>
        <w:fldChar w:fldCharType="end"/>
      </w:r>
      <w:r>
        <w:t xml:space="preserve"> shows that both pore shape and pore size distribution influence the radon concentration in pore space. The distribution of radon in-situ concentration in Case A is more stretched than Case C, which is caused by the difference in pore size distribution as shown in </w:t>
      </w:r>
      <w:r>
        <w:fldChar w:fldCharType="begin"/>
      </w:r>
      <w:r>
        <w:instrText xml:space="preserve"> REF _Ref464721209 \h </w:instrText>
      </w:r>
      <w:r>
        <w:fldChar w:fldCharType="separate"/>
      </w:r>
      <w:r w:rsidR="008948B7">
        <w:t xml:space="preserve">Figure </w:t>
      </w:r>
      <w:r w:rsidR="008948B7">
        <w:rPr>
          <w:noProof/>
        </w:rPr>
        <w:t>5</w:t>
      </w:r>
      <w:r w:rsidR="008948B7">
        <w:noBreakHyphen/>
      </w:r>
      <w:r w:rsidR="008948B7">
        <w:rPr>
          <w:noProof/>
        </w:rPr>
        <w:t>4</w:t>
      </w:r>
      <w:r>
        <w:fldChar w:fldCharType="end"/>
      </w:r>
      <w:r>
        <w:t xml:space="preserve">. Nevertheless, radon </w:t>
      </w:r>
      <w:r>
        <w:rPr>
          <w:i/>
        </w:rPr>
        <w:t>in-situ</w:t>
      </w:r>
      <w:r>
        <w:t xml:space="preserve"> concentrations in these two cases are mostly concentrated at the level of 1.17 ×10</w:t>
      </w:r>
      <w:r w:rsidRPr="00D33028">
        <w:rPr>
          <w:vertAlign w:val="superscript"/>
        </w:rPr>
        <w:t>4</w:t>
      </w:r>
      <w:r>
        <w:t xml:space="preserve"> </w:t>
      </w:r>
      <w:r w:rsidRPr="00D33028">
        <w:rPr>
          <w:i/>
        </w:rPr>
        <w:t>pCi/L</w:t>
      </w:r>
      <w:r>
        <w:rPr>
          <w:i/>
        </w:rPr>
        <w:t>.</w:t>
      </w:r>
      <w:r>
        <w:t xml:space="preserve"> Such similarity is attributed to the majority of their pore sizes are both in the range of 1-10</w:t>
      </w:r>
      <w:r w:rsidRPr="003465BE">
        <w:rPr>
          <w:i/>
        </w:rPr>
        <w:t>nm</w:t>
      </w:r>
      <w:r w:rsidRPr="003465BE">
        <w:t>.</w:t>
      </w:r>
      <w:r>
        <w:t xml:space="preserve"> If the general pore size in Case C is 10 times larger than Case A, a quite different distribution of radon </w:t>
      </w:r>
      <w:r w:rsidRPr="003465BE">
        <w:rPr>
          <w:i/>
        </w:rPr>
        <w:t>in-situ</w:t>
      </w:r>
      <w:r>
        <w:t xml:space="preserve"> concentration</w:t>
      </w:r>
      <w:r w:rsidR="00C15129">
        <w:t xml:space="preserve"> should be expected</w:t>
      </w:r>
      <w:r>
        <w:t xml:space="preserve">. On the other hand, pore shape is another critical factor. The radon </w:t>
      </w:r>
      <w:r w:rsidRPr="001004E1">
        <w:rPr>
          <w:i/>
        </w:rPr>
        <w:t>in-situ</w:t>
      </w:r>
      <w:r>
        <w:t xml:space="preserve"> concentration obtained from spherical model is generally shifted to the right of the slit model. The mode value of radon concentration </w:t>
      </w:r>
      <w:r>
        <w:lastRenderedPageBreak/>
        <w:t>for Case B is 1.22×10</w:t>
      </w:r>
      <w:r w:rsidRPr="00D33028">
        <w:rPr>
          <w:vertAlign w:val="superscript"/>
        </w:rPr>
        <w:t>4</w:t>
      </w:r>
      <w:r>
        <w:t xml:space="preserve"> </w:t>
      </w:r>
      <w:r w:rsidRPr="00D33028">
        <w:rPr>
          <w:i/>
        </w:rPr>
        <w:t>pCi/L</w:t>
      </w:r>
      <w:r>
        <w:t xml:space="preserve">, larger than the mode value of Case A. This observation indicates that pore shape will influence the pore size distribution and it will further affect the radon </w:t>
      </w:r>
      <w:r>
        <w:rPr>
          <w:i/>
        </w:rPr>
        <w:t>in</w:t>
      </w:r>
      <w:r w:rsidRPr="00DA2411">
        <w:rPr>
          <w:i/>
        </w:rPr>
        <w:t>-situ</w:t>
      </w:r>
      <w:r>
        <w:t xml:space="preserve"> concentration. Therefore, an accurate description of the pore size distribution as well as pore shape is essential to evaluate the radon </w:t>
      </w:r>
      <w:r w:rsidRPr="00246497">
        <w:rPr>
          <w:i/>
        </w:rPr>
        <w:t>in-situ</w:t>
      </w:r>
      <w:r>
        <w:t xml:space="preserve"> concentration. </w:t>
      </w:r>
    </w:p>
    <w:p w14:paraId="5AD2EC6A" w14:textId="77777777" w:rsidR="00E81B4A" w:rsidRDefault="00E81B4A" w:rsidP="00E81B4A">
      <w:pPr>
        <w:pStyle w:val="Para0"/>
      </w:pPr>
    </w:p>
    <w:p w14:paraId="68C48E60" w14:textId="77777777" w:rsidR="00E81B4A" w:rsidRDefault="002B0D7E" w:rsidP="008948B7">
      <w:pPr>
        <w:pStyle w:val="TableNormal1"/>
      </w:pPr>
      <w:r>
        <mc:AlternateContent>
          <mc:Choice Requires="wps">
            <w:drawing>
              <wp:anchor distT="0" distB="0" distL="114300" distR="114300" simplePos="0" relativeHeight="251651072" behindDoc="0" locked="0" layoutInCell="1" allowOverlap="1" wp14:anchorId="3CA4F3E5" wp14:editId="1F2D7DF2">
                <wp:simplePos x="0" y="0"/>
                <wp:positionH relativeFrom="column">
                  <wp:posOffset>4532243</wp:posOffset>
                </wp:positionH>
                <wp:positionV relativeFrom="paragraph">
                  <wp:posOffset>1054376</wp:posOffset>
                </wp:positionV>
                <wp:extent cx="262394" cy="198783"/>
                <wp:effectExtent l="0" t="0" r="23495" b="10795"/>
                <wp:wrapNone/>
                <wp:docPr id="230" name="Rectangle 230"/>
                <wp:cNvGraphicFramePr/>
                <a:graphic xmlns:a="http://schemas.openxmlformats.org/drawingml/2006/main">
                  <a:graphicData uri="http://schemas.microsoft.com/office/word/2010/wordprocessingShape">
                    <wps:wsp>
                      <wps:cNvSpPr/>
                      <wps:spPr>
                        <a:xfrm>
                          <a:off x="0" y="0"/>
                          <a:ext cx="262394" cy="19878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A5AB26" id="Rectangle 230" o:spid="_x0000_s1026" style="position:absolute;margin-left:356.85pt;margin-top:83pt;width:20.65pt;height:15.6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" fillcolor="white [3212]" strokecolor="white [3212]" strokeweight="2pt"/>
            </w:pict>
          </mc:Fallback>
        </mc:AlternateContent>
      </w:r>
      <w:r w:rsidR="00E81B4A">
        <w:drawing>
          <wp:inline distT="0" distB="0" distL="0" distR="0" wp14:anchorId="2F457A04" wp14:editId="1766C1C6">
            <wp:extent cx="5486400" cy="3419282"/>
            <wp:effectExtent l="0" t="0" r="0" b="0"/>
            <wp:docPr id="244" name="Chart 2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796D9FB" w14:textId="7D2B76FA" w:rsidR="00E81B4A" w:rsidRPr="00541084" w:rsidRDefault="00E81B4A" w:rsidP="00BF3F9B">
      <w:pPr>
        <w:pStyle w:val="Caption"/>
        <w:rPr>
          <w:szCs w:val="22"/>
        </w:rPr>
      </w:pPr>
      <w:bookmarkStart w:id="248" w:name="_Ref465086308"/>
      <w:bookmarkStart w:id="249" w:name="_Toc495144759"/>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10</w:t>
      </w:r>
      <w:r w:rsidR="00280FFF">
        <w:rPr>
          <w:szCs w:val="22"/>
        </w:rPr>
        <w:fldChar w:fldCharType="end"/>
      </w:r>
      <w:bookmarkEnd w:id="248"/>
      <w:r w:rsidRPr="00541084">
        <w:rPr>
          <w:szCs w:val="22"/>
        </w:rPr>
        <w:t xml:space="preserve">. Radon total </w:t>
      </w:r>
      <w:r w:rsidRPr="00541084">
        <w:rPr>
          <w:i/>
          <w:szCs w:val="22"/>
        </w:rPr>
        <w:t>in-situ</w:t>
      </w:r>
      <w:r w:rsidRPr="00541084">
        <w:rPr>
          <w:szCs w:val="22"/>
        </w:rPr>
        <w:t xml:space="preserve"> concentration for the three cases.</w:t>
      </w:r>
      <w:bookmarkEnd w:id="249"/>
      <w:r w:rsidRPr="00541084">
        <w:rPr>
          <w:szCs w:val="22"/>
        </w:rPr>
        <w:t xml:space="preserve"> </w:t>
      </w:r>
    </w:p>
    <w:p w14:paraId="51355B9B" w14:textId="77777777" w:rsidR="00E81B4A" w:rsidRPr="00E81B4A" w:rsidRDefault="00E81B4A" w:rsidP="00E81B4A"/>
    <w:p w14:paraId="070838F5" w14:textId="77777777" w:rsidR="00E81B4A" w:rsidRDefault="00E81B4A" w:rsidP="00E81B4A">
      <w:pPr>
        <w:pStyle w:val="Heading3"/>
      </w:pPr>
      <w:bookmarkStart w:id="250" w:name="_Toc494014244"/>
      <w:r>
        <w:t>Wellhead Radon Concentration</w:t>
      </w:r>
      <w:bookmarkEnd w:id="250"/>
    </w:p>
    <w:p w14:paraId="617DB4D7" w14:textId="386E10FC" w:rsidR="00E81B4A" w:rsidRPr="00ED099E" w:rsidRDefault="00C15129" w:rsidP="008948B7">
      <w:r>
        <w:t>THe</w:t>
      </w:r>
      <w:r w:rsidR="00E81B4A">
        <w:t xml:space="preserve"> simulation assumed the initial water saturation was 25%. As previously assumed blocked configuration of saturation</w:t>
      </w:r>
      <w:r w:rsidR="008948B7">
        <w:t xml:space="preserve"> in section </w:t>
      </w:r>
      <w:r w:rsidR="008948B7">
        <w:fldChar w:fldCharType="begin"/>
      </w:r>
      <w:r w:rsidR="008948B7">
        <w:instrText xml:space="preserve"> REF _Ref492050027 \r \h </w:instrText>
      </w:r>
      <w:r w:rsidR="008948B7">
        <w:fldChar w:fldCharType="separate"/>
      </w:r>
      <w:r w:rsidR="008948B7">
        <w:t>5.2.1</w:t>
      </w:r>
      <w:r w:rsidR="008948B7">
        <w:fldChar w:fldCharType="end"/>
      </w:r>
      <w:r w:rsidR="00E81B4A">
        <w:t xml:space="preserve">, water saturated the small pores first. Larger pores were filled with gas. </w:t>
      </w:r>
      <w:r>
        <w:t>The average pore size  was used</w:t>
      </w:r>
      <w:r w:rsidR="00E81B4A">
        <w:t xml:space="preserve"> to represent water filled pores and gas filled pores</w:t>
      </w:r>
      <w:r w:rsidR="00E81B4A" w:rsidRPr="00F50CB9">
        <w:t xml:space="preserve"> </w:t>
      </w:r>
      <w:r w:rsidR="00E81B4A">
        <w:t xml:space="preserve">for simplification. Average pore size for each case and their corresponding radon </w:t>
      </w:r>
      <w:r w:rsidR="00E81B4A" w:rsidRPr="001004E1">
        <w:rPr>
          <w:i/>
        </w:rPr>
        <w:t>in-situ</w:t>
      </w:r>
      <w:r w:rsidR="00E81B4A">
        <w:t xml:space="preserve"> concentration in pores are shown in </w:t>
      </w:r>
      <w:r w:rsidR="00E81B4A">
        <w:lastRenderedPageBreak/>
        <w:fldChar w:fldCharType="begin"/>
      </w:r>
      <w:r w:rsidR="00E81B4A">
        <w:instrText xml:space="preserve"> REF _Ref465156404 \h </w:instrText>
      </w:r>
      <w:r w:rsidR="00E81B4A">
        <w:fldChar w:fldCharType="separate"/>
      </w:r>
      <w:r w:rsidR="008948B7">
        <w:t xml:space="preserve">Table </w:t>
      </w:r>
      <w:r w:rsidR="008948B7">
        <w:rPr>
          <w:noProof/>
        </w:rPr>
        <w:t>5</w:t>
      </w:r>
      <w:r w:rsidR="008948B7">
        <w:noBreakHyphen/>
      </w:r>
      <w:r w:rsidR="008948B7">
        <w:rPr>
          <w:noProof/>
        </w:rPr>
        <w:t>3</w:t>
      </w:r>
      <w:r w:rsidR="00E81B4A">
        <w:fldChar w:fldCharType="end"/>
      </w:r>
      <w:r w:rsidR="00E81B4A">
        <w:t>. As pore size in Case A and Case C is concentrated at the magnitude of 1-10</w:t>
      </w:r>
      <w:r w:rsidR="00E81B4A" w:rsidRPr="00ED099E">
        <w:rPr>
          <w:i/>
        </w:rPr>
        <w:t>nm</w:t>
      </w:r>
      <w:r w:rsidR="00E81B4A">
        <w:t>, their calculated average pore size of water filled pores is close to each other.</w:t>
      </w:r>
    </w:p>
    <w:p w14:paraId="2E8F91E5" w14:textId="77777777" w:rsidR="00E81B4A" w:rsidRDefault="00E81B4A" w:rsidP="00E81B4A">
      <w:pPr>
        <w:pStyle w:val="Para0"/>
      </w:pPr>
    </w:p>
    <w:p w14:paraId="54DCC659" w14:textId="77777777" w:rsidR="00E81B4A" w:rsidRPr="00541084" w:rsidRDefault="00E81B4A" w:rsidP="00BF3F9B">
      <w:pPr>
        <w:pStyle w:val="Caption"/>
        <w:rPr>
          <w:szCs w:val="22"/>
        </w:rPr>
      </w:pPr>
    </w:p>
    <w:tbl>
      <w:tblPr>
        <w:tblStyle w:val="TableGrid"/>
        <w:tblW w:w="0" w:type="auto"/>
        <w:tblLook w:val="04A0" w:firstRow="1" w:lastRow="0" w:firstColumn="1" w:lastColumn="0" w:noHBand="0" w:noVBand="1"/>
      </w:tblPr>
      <w:tblGrid>
        <w:gridCol w:w="943"/>
        <w:gridCol w:w="1506"/>
        <w:gridCol w:w="2302"/>
        <w:gridCol w:w="1391"/>
        <w:gridCol w:w="2344"/>
      </w:tblGrid>
      <w:tr w:rsidR="008948B7" w14:paraId="2FC674F6" w14:textId="77777777" w:rsidTr="008948B7">
        <w:tc>
          <w:tcPr>
            <w:tcW w:w="8486" w:type="dxa"/>
            <w:gridSpan w:val="5"/>
            <w:vAlign w:val="center"/>
          </w:tcPr>
          <w:p w14:paraId="34B21B1A" w14:textId="77777777" w:rsidR="008948B7" w:rsidRPr="007C7A22" w:rsidRDefault="008948B7" w:rsidP="007C7A22">
            <w:pPr>
              <w:pStyle w:val="Caption"/>
            </w:pPr>
            <w:bookmarkStart w:id="251" w:name="_Ref465156404"/>
            <w:bookmarkStart w:id="252" w:name="_Toc494014270"/>
            <w:r w:rsidRPr="007C7A22">
              <w:t xml:space="preserve">Table </w:t>
            </w:r>
            <w:fldSimple w:instr=" STYLEREF 1 \s ">
              <w:r w:rsidR="00A67B82" w:rsidRPr="007C7A22">
                <w:t>5</w:t>
              </w:r>
            </w:fldSimple>
            <w:r w:rsidR="00A67B82" w:rsidRPr="007C7A22">
              <w:noBreakHyphen/>
            </w:r>
            <w:fldSimple w:instr=" SEQ Table \* ARABIC \s 1 ">
              <w:r w:rsidR="00A67B82" w:rsidRPr="007C7A22">
                <w:t>3</w:t>
              </w:r>
            </w:fldSimple>
            <w:bookmarkEnd w:id="251"/>
            <w:r w:rsidRPr="007C7A22">
              <w:t>. Radon in-situ concentration</w:t>
            </w:r>
            <w:bookmarkEnd w:id="252"/>
          </w:p>
        </w:tc>
      </w:tr>
      <w:tr w:rsidR="00E81B4A" w14:paraId="09F45C86" w14:textId="77777777" w:rsidTr="008948B7">
        <w:tc>
          <w:tcPr>
            <w:tcW w:w="943" w:type="dxa"/>
            <w:vMerge w:val="restart"/>
            <w:vAlign w:val="center"/>
          </w:tcPr>
          <w:p w14:paraId="6B81C3E7" w14:textId="77777777" w:rsidR="00E81B4A" w:rsidRDefault="00E81B4A" w:rsidP="008948B7">
            <w:pPr>
              <w:pStyle w:val="TableNormal1"/>
            </w:pPr>
          </w:p>
        </w:tc>
        <w:tc>
          <w:tcPr>
            <w:tcW w:w="3808" w:type="dxa"/>
            <w:gridSpan w:val="2"/>
            <w:vAlign w:val="center"/>
          </w:tcPr>
          <w:p w14:paraId="6C455A25" w14:textId="77777777" w:rsidR="00E81B4A" w:rsidRDefault="00E81B4A" w:rsidP="008948B7">
            <w:pPr>
              <w:pStyle w:val="TableNormal1"/>
            </w:pPr>
            <w:r>
              <w:t>Water Filled Pores</w:t>
            </w:r>
          </w:p>
        </w:tc>
        <w:tc>
          <w:tcPr>
            <w:tcW w:w="3735" w:type="dxa"/>
            <w:gridSpan w:val="2"/>
            <w:vAlign w:val="center"/>
          </w:tcPr>
          <w:p w14:paraId="3BA02691" w14:textId="77777777" w:rsidR="00E81B4A" w:rsidRDefault="00E81B4A" w:rsidP="008948B7">
            <w:pPr>
              <w:pStyle w:val="TableNormal1"/>
            </w:pPr>
            <w:r>
              <w:t>Gas Filled Pores</w:t>
            </w:r>
          </w:p>
        </w:tc>
      </w:tr>
      <w:tr w:rsidR="00E81B4A" w14:paraId="20202B0F" w14:textId="77777777" w:rsidTr="008948B7">
        <w:tc>
          <w:tcPr>
            <w:tcW w:w="943" w:type="dxa"/>
            <w:vMerge/>
            <w:vAlign w:val="center"/>
          </w:tcPr>
          <w:p w14:paraId="7E8E3DF8" w14:textId="77777777" w:rsidR="00E81B4A" w:rsidRDefault="00E81B4A" w:rsidP="008948B7">
            <w:pPr>
              <w:pStyle w:val="TableNormal1"/>
            </w:pPr>
          </w:p>
        </w:tc>
        <w:tc>
          <w:tcPr>
            <w:tcW w:w="1506" w:type="dxa"/>
            <w:vAlign w:val="center"/>
          </w:tcPr>
          <w:p w14:paraId="31EC4343" w14:textId="77777777" w:rsidR="00E81B4A" w:rsidRDefault="00E81B4A" w:rsidP="008948B7">
            <w:pPr>
              <w:pStyle w:val="TableNormal1"/>
            </w:pPr>
            <w:r>
              <w:t xml:space="preserve">Avg. Size, </w:t>
            </w:r>
            <w:r w:rsidRPr="007D3931">
              <w:rPr>
                <w:i/>
              </w:rPr>
              <w:t>nm</w:t>
            </w:r>
          </w:p>
        </w:tc>
        <w:tc>
          <w:tcPr>
            <w:tcW w:w="2302" w:type="dxa"/>
            <w:vAlign w:val="center"/>
          </w:tcPr>
          <w:p w14:paraId="4FDD3808" w14:textId="77777777" w:rsidR="00E81B4A" w:rsidRDefault="00E81B4A" w:rsidP="008948B7">
            <w:pPr>
              <w:pStyle w:val="TableNormal1"/>
            </w:pPr>
            <w:r>
              <w:t xml:space="preserve">Radon </w:t>
            </w:r>
            <w:r w:rsidRPr="007D3931">
              <w:rPr>
                <w:i/>
              </w:rPr>
              <w:t>in-situ</w:t>
            </w:r>
            <w:r>
              <w:t xml:space="preserve"> Conc. </w:t>
            </w:r>
            <w:r w:rsidRPr="007D3931">
              <w:rPr>
                <w:i/>
              </w:rPr>
              <w:t>pCi/L</w:t>
            </w:r>
          </w:p>
        </w:tc>
        <w:tc>
          <w:tcPr>
            <w:tcW w:w="1391" w:type="dxa"/>
            <w:vAlign w:val="center"/>
          </w:tcPr>
          <w:p w14:paraId="74BB6AD0" w14:textId="77777777" w:rsidR="00E81B4A" w:rsidRDefault="00E81B4A" w:rsidP="008948B7">
            <w:pPr>
              <w:pStyle w:val="TableNormal1"/>
            </w:pPr>
            <w:r>
              <w:t xml:space="preserve">Avg. Size, </w:t>
            </w:r>
            <w:r w:rsidRPr="007D3931">
              <w:rPr>
                <w:i/>
              </w:rPr>
              <w:t>nm</w:t>
            </w:r>
          </w:p>
        </w:tc>
        <w:tc>
          <w:tcPr>
            <w:tcW w:w="2344" w:type="dxa"/>
            <w:vAlign w:val="center"/>
          </w:tcPr>
          <w:p w14:paraId="54FD9A95" w14:textId="77777777" w:rsidR="00E81B4A" w:rsidRDefault="00E81B4A" w:rsidP="008948B7">
            <w:pPr>
              <w:pStyle w:val="TableNormal1"/>
            </w:pPr>
            <w:r>
              <w:t xml:space="preserve">Radon </w:t>
            </w:r>
            <w:r w:rsidRPr="007D3931">
              <w:rPr>
                <w:i/>
              </w:rPr>
              <w:t>in-situ</w:t>
            </w:r>
            <w:r>
              <w:t xml:space="preserve"> Conc. </w:t>
            </w:r>
            <w:r w:rsidRPr="007D3931">
              <w:rPr>
                <w:i/>
              </w:rPr>
              <w:t>pCi/L</w:t>
            </w:r>
          </w:p>
        </w:tc>
      </w:tr>
      <w:tr w:rsidR="00E81B4A" w14:paraId="4CC99E32" w14:textId="77777777" w:rsidTr="008948B7">
        <w:tc>
          <w:tcPr>
            <w:tcW w:w="943" w:type="dxa"/>
            <w:vAlign w:val="center"/>
          </w:tcPr>
          <w:p w14:paraId="0D20ABA1" w14:textId="77777777" w:rsidR="00E81B4A" w:rsidRDefault="00E81B4A" w:rsidP="008948B7">
            <w:pPr>
              <w:pStyle w:val="TableNormal1"/>
            </w:pPr>
            <w:r>
              <w:t>Case A</w:t>
            </w:r>
          </w:p>
        </w:tc>
        <w:tc>
          <w:tcPr>
            <w:tcW w:w="1506" w:type="dxa"/>
            <w:vAlign w:val="center"/>
          </w:tcPr>
          <w:p w14:paraId="3964F669" w14:textId="77777777" w:rsidR="00E81B4A" w:rsidRDefault="00E81B4A" w:rsidP="008948B7">
            <w:pPr>
              <w:pStyle w:val="TableNormal1"/>
            </w:pPr>
            <w:r>
              <w:t>4.0</w:t>
            </w:r>
          </w:p>
        </w:tc>
        <w:tc>
          <w:tcPr>
            <w:tcW w:w="2302" w:type="dxa"/>
            <w:vAlign w:val="center"/>
          </w:tcPr>
          <w:p w14:paraId="714DF973" w14:textId="77777777" w:rsidR="00E81B4A" w:rsidRDefault="00E81B4A" w:rsidP="008948B7">
            <w:pPr>
              <w:pStyle w:val="TableNormal1"/>
            </w:pPr>
            <w:r>
              <w:t>1.175×10</w:t>
            </w:r>
            <w:r w:rsidRPr="005332A0">
              <w:rPr>
                <w:vertAlign w:val="superscript"/>
              </w:rPr>
              <w:t>4</w:t>
            </w:r>
          </w:p>
        </w:tc>
        <w:tc>
          <w:tcPr>
            <w:tcW w:w="1391" w:type="dxa"/>
            <w:vAlign w:val="center"/>
          </w:tcPr>
          <w:p w14:paraId="5767B2C7" w14:textId="77777777" w:rsidR="00E81B4A" w:rsidRDefault="00E81B4A" w:rsidP="008948B7">
            <w:pPr>
              <w:pStyle w:val="TableNormal1"/>
            </w:pPr>
            <w:r>
              <w:t>26</w:t>
            </w:r>
          </w:p>
        </w:tc>
        <w:tc>
          <w:tcPr>
            <w:tcW w:w="2344" w:type="dxa"/>
            <w:vAlign w:val="center"/>
          </w:tcPr>
          <w:p w14:paraId="40425BD4" w14:textId="77777777" w:rsidR="00E81B4A" w:rsidRDefault="00E81B4A" w:rsidP="008948B7">
            <w:pPr>
              <w:pStyle w:val="TableNormal1"/>
            </w:pPr>
            <w:r>
              <w:t>23</w:t>
            </w:r>
          </w:p>
        </w:tc>
      </w:tr>
      <w:tr w:rsidR="00E81B4A" w14:paraId="51E37C3E" w14:textId="77777777" w:rsidTr="008948B7">
        <w:trPr>
          <w:trHeight w:val="56"/>
        </w:trPr>
        <w:tc>
          <w:tcPr>
            <w:tcW w:w="943" w:type="dxa"/>
            <w:vAlign w:val="center"/>
          </w:tcPr>
          <w:p w14:paraId="6DC6B742" w14:textId="77777777" w:rsidR="00E81B4A" w:rsidRDefault="00E81B4A" w:rsidP="008948B7">
            <w:pPr>
              <w:pStyle w:val="TableNormal1"/>
            </w:pPr>
            <w:r>
              <w:t>Case B</w:t>
            </w:r>
          </w:p>
        </w:tc>
        <w:tc>
          <w:tcPr>
            <w:tcW w:w="1506" w:type="dxa"/>
            <w:vAlign w:val="center"/>
          </w:tcPr>
          <w:p w14:paraId="7B7149AC" w14:textId="77777777" w:rsidR="00E81B4A" w:rsidRDefault="00E81B4A" w:rsidP="008948B7">
            <w:pPr>
              <w:pStyle w:val="TableNormal1"/>
            </w:pPr>
            <w:r>
              <w:t>5.5</w:t>
            </w:r>
          </w:p>
        </w:tc>
        <w:tc>
          <w:tcPr>
            <w:tcW w:w="2302" w:type="dxa"/>
            <w:vAlign w:val="center"/>
          </w:tcPr>
          <w:p w14:paraId="44243E80" w14:textId="77777777" w:rsidR="00E81B4A" w:rsidRDefault="00E81B4A" w:rsidP="008948B7">
            <w:pPr>
              <w:pStyle w:val="TableNormal1"/>
            </w:pPr>
            <w:r>
              <w:t>1.220×10</w:t>
            </w:r>
            <w:r w:rsidRPr="005332A0">
              <w:rPr>
                <w:vertAlign w:val="superscript"/>
              </w:rPr>
              <w:t>4</w:t>
            </w:r>
          </w:p>
        </w:tc>
        <w:tc>
          <w:tcPr>
            <w:tcW w:w="1391" w:type="dxa"/>
            <w:vAlign w:val="center"/>
          </w:tcPr>
          <w:p w14:paraId="3D7E8772" w14:textId="77777777" w:rsidR="00E81B4A" w:rsidRDefault="00E81B4A" w:rsidP="008948B7">
            <w:pPr>
              <w:pStyle w:val="TableNormal1"/>
            </w:pPr>
            <w:r>
              <w:t>40</w:t>
            </w:r>
          </w:p>
        </w:tc>
        <w:tc>
          <w:tcPr>
            <w:tcW w:w="2344" w:type="dxa"/>
            <w:vAlign w:val="center"/>
          </w:tcPr>
          <w:p w14:paraId="3A1EFD2D" w14:textId="77777777" w:rsidR="00E81B4A" w:rsidRDefault="00E81B4A" w:rsidP="008948B7">
            <w:pPr>
              <w:pStyle w:val="TableNormal1"/>
            </w:pPr>
            <w:r>
              <w:t>85</w:t>
            </w:r>
          </w:p>
        </w:tc>
      </w:tr>
      <w:tr w:rsidR="00E81B4A" w14:paraId="0324EF86" w14:textId="77777777" w:rsidTr="008948B7">
        <w:tc>
          <w:tcPr>
            <w:tcW w:w="943" w:type="dxa"/>
            <w:vAlign w:val="center"/>
          </w:tcPr>
          <w:p w14:paraId="1F2228A6" w14:textId="77777777" w:rsidR="00E81B4A" w:rsidRDefault="00E81B4A" w:rsidP="008948B7">
            <w:pPr>
              <w:pStyle w:val="TableNormal1"/>
            </w:pPr>
            <w:r>
              <w:t>Case C</w:t>
            </w:r>
          </w:p>
        </w:tc>
        <w:tc>
          <w:tcPr>
            <w:tcW w:w="1506" w:type="dxa"/>
            <w:vAlign w:val="center"/>
          </w:tcPr>
          <w:p w14:paraId="7C7E1EC6" w14:textId="77777777" w:rsidR="00E81B4A" w:rsidRDefault="00E81B4A" w:rsidP="008948B7">
            <w:pPr>
              <w:pStyle w:val="TableNormal1"/>
            </w:pPr>
            <w:r>
              <w:t>3.2</w:t>
            </w:r>
          </w:p>
        </w:tc>
        <w:tc>
          <w:tcPr>
            <w:tcW w:w="2302" w:type="dxa"/>
            <w:vAlign w:val="center"/>
          </w:tcPr>
          <w:p w14:paraId="0D6F9429" w14:textId="77777777" w:rsidR="00E81B4A" w:rsidRDefault="00E81B4A" w:rsidP="008948B7">
            <w:pPr>
              <w:pStyle w:val="TableNormal1"/>
            </w:pPr>
            <w:r>
              <w:t>1.171×10</w:t>
            </w:r>
            <w:r w:rsidRPr="005332A0">
              <w:rPr>
                <w:vertAlign w:val="superscript"/>
              </w:rPr>
              <w:t>4</w:t>
            </w:r>
          </w:p>
        </w:tc>
        <w:tc>
          <w:tcPr>
            <w:tcW w:w="1391" w:type="dxa"/>
            <w:vAlign w:val="center"/>
          </w:tcPr>
          <w:p w14:paraId="0C9390AF" w14:textId="77777777" w:rsidR="00E81B4A" w:rsidRDefault="00E81B4A" w:rsidP="008948B7">
            <w:pPr>
              <w:pStyle w:val="TableNormal1"/>
            </w:pPr>
            <w:r>
              <w:t>198</w:t>
            </w:r>
          </w:p>
        </w:tc>
        <w:tc>
          <w:tcPr>
            <w:tcW w:w="2344" w:type="dxa"/>
            <w:vAlign w:val="center"/>
          </w:tcPr>
          <w:p w14:paraId="14224E5D" w14:textId="77777777" w:rsidR="00E81B4A" w:rsidRDefault="00E81B4A" w:rsidP="008948B7">
            <w:pPr>
              <w:pStyle w:val="TableNormal1"/>
            </w:pPr>
            <w:r>
              <w:t>48</w:t>
            </w:r>
          </w:p>
        </w:tc>
      </w:tr>
    </w:tbl>
    <w:p w14:paraId="3B05A1D3" w14:textId="77777777" w:rsidR="00E81B4A" w:rsidRPr="007D3931" w:rsidRDefault="00E81B4A" w:rsidP="00E81B4A"/>
    <w:p w14:paraId="621DF3B2" w14:textId="77777777" w:rsidR="00E81B4A" w:rsidRDefault="00E81B4A" w:rsidP="008948B7">
      <w:r w:rsidRPr="00E73B83">
        <w:t>Radon diffusivity in water is 1.13</w:t>
      </w:r>
      <w:r w:rsidRPr="00E73B83">
        <w:rPr>
          <w:bCs/>
        </w:rPr>
        <w:t>×</w:t>
      </w:r>
      <w:r w:rsidRPr="00E73B83">
        <w:t>10</w:t>
      </w:r>
      <w:r w:rsidRPr="00E73B83">
        <w:rPr>
          <w:vertAlign w:val="superscript"/>
        </w:rPr>
        <w:t>-9</w:t>
      </w:r>
      <w:r w:rsidRPr="00E73B83">
        <w:t xml:space="preserve"> </w:t>
      </w:r>
      <w:r w:rsidRPr="006A5434">
        <w:rPr>
          <w:i/>
        </w:rPr>
        <w:t>m</w:t>
      </w:r>
      <w:r w:rsidRPr="006A5434">
        <w:rPr>
          <w:i/>
          <w:vertAlign w:val="superscript"/>
        </w:rPr>
        <w:t>2</w:t>
      </w:r>
      <w:r w:rsidRPr="006A5434">
        <w:rPr>
          <w:i/>
        </w:rPr>
        <w:t>/s</w:t>
      </w:r>
      <w:r w:rsidRPr="00E73B83">
        <w:t xml:space="preserve"> and 10</w:t>
      </w:r>
      <w:r w:rsidRPr="00E73B83">
        <w:rPr>
          <w:vertAlign w:val="superscript"/>
        </w:rPr>
        <w:t>-5</w:t>
      </w:r>
      <w:r w:rsidRPr="00E73B83">
        <w:t xml:space="preserve"> </w:t>
      </w:r>
      <w:r w:rsidRPr="006A5434">
        <w:rPr>
          <w:i/>
        </w:rPr>
        <w:t>m</w:t>
      </w:r>
      <w:r w:rsidRPr="006A5434">
        <w:rPr>
          <w:i/>
          <w:vertAlign w:val="superscript"/>
        </w:rPr>
        <w:t>2</w:t>
      </w:r>
      <w:r w:rsidRPr="006A5434">
        <w:rPr>
          <w:i/>
        </w:rPr>
        <w:t>/</w:t>
      </w:r>
      <w:r w:rsidRPr="00FB6E75">
        <w:t>s</w:t>
      </w:r>
      <w:r>
        <w:t xml:space="preserve"> </w:t>
      </w:r>
      <w:r w:rsidR="00546792">
        <w:t>(Tanner 1978)</w:t>
      </w:r>
      <w:r>
        <w:t xml:space="preserve"> </w:t>
      </w:r>
      <w:r w:rsidRPr="00FB6E75">
        <w:t>in</w:t>
      </w:r>
      <w:r>
        <w:t xml:space="preserve"> air. Although radon concentration in water pores and gas pores right after the generation from radium are dramatically different as seen in </w:t>
      </w:r>
      <w:r>
        <w:fldChar w:fldCharType="begin"/>
      </w:r>
      <w:r>
        <w:instrText xml:space="preserve"> REF _Ref465156404 \h </w:instrText>
      </w:r>
      <w:r>
        <w:fldChar w:fldCharType="separate"/>
      </w:r>
      <w:r w:rsidR="008948B7">
        <w:t xml:space="preserve">Table </w:t>
      </w:r>
      <w:r w:rsidR="008948B7">
        <w:rPr>
          <w:noProof/>
        </w:rPr>
        <w:t>5</w:t>
      </w:r>
      <w:r w:rsidR="008948B7">
        <w:noBreakHyphen/>
      </w:r>
      <w:r w:rsidR="008948B7">
        <w:rPr>
          <w:noProof/>
        </w:rPr>
        <w:t>3</w:t>
      </w:r>
      <w:r>
        <w:fldChar w:fldCharType="end"/>
      </w:r>
      <w:r>
        <w:t xml:space="preserve">, the diffusion process could balance radon concentration in these two types of pore, especially over the long geological time. Consequently, after being buried underground for millions of years, it is safe to assume that the radon atoms are uniformly distributed. Gas pores shall eventually have the identical radon concentration with water pores. Therefore, for each case, the radon </w:t>
      </w:r>
      <w:r w:rsidRPr="00EF05B3">
        <w:rPr>
          <w:i/>
        </w:rPr>
        <w:t>in-situ</w:t>
      </w:r>
      <w:r>
        <w:t xml:space="preserve"> </w:t>
      </w:r>
      <w:r w:rsidRPr="00EF05B3">
        <w:t>concentration</w:t>
      </w:r>
      <w:r>
        <w:t xml:space="preserve"> in water pores was used as the initial radon concentration in simulation. Radium content in rock grains was designed</w:t>
      </w:r>
      <w:r w:rsidRPr="001E249A">
        <w:t xml:space="preserve"> </w:t>
      </w:r>
      <w:r>
        <w:t xml:space="preserve">correspondingly. </w:t>
      </w:r>
    </w:p>
    <w:p w14:paraId="321ACE8E" w14:textId="4A8829FC" w:rsidR="00E81B4A" w:rsidRPr="007174C2" w:rsidRDefault="00E81B4A" w:rsidP="008948B7">
      <w:r>
        <w:fldChar w:fldCharType="begin"/>
      </w:r>
      <w:r>
        <w:instrText xml:space="preserve"> REF _Ref465174960 \h </w:instrText>
      </w:r>
      <w:r>
        <w:fldChar w:fldCharType="separate"/>
      </w:r>
      <w:r w:rsidR="008948B7">
        <w:t xml:space="preserve">Figure </w:t>
      </w:r>
      <w:r w:rsidR="008948B7">
        <w:rPr>
          <w:noProof/>
        </w:rPr>
        <w:t>5</w:t>
      </w:r>
      <w:r w:rsidR="008948B7">
        <w:noBreakHyphen/>
      </w:r>
      <w:r w:rsidR="008948B7">
        <w:rPr>
          <w:noProof/>
        </w:rPr>
        <w:t>11</w:t>
      </w:r>
      <w:r>
        <w:fldChar w:fldCharType="end"/>
      </w:r>
      <w:r>
        <w:t xml:space="preserve"> shows the wellhead radon concentration for the three cases. Wellhead radon concentration in Case A gradually increases from 36 </w:t>
      </w:r>
      <w:r w:rsidRPr="00DA06AE">
        <w:rPr>
          <w:i/>
        </w:rPr>
        <w:t>pCi/L</w:t>
      </w:r>
      <w:r>
        <w:t xml:space="preserve"> to 100 </w:t>
      </w:r>
      <w:r w:rsidRPr="00DA06AE">
        <w:rPr>
          <w:i/>
        </w:rPr>
        <w:t>pCi/L</w:t>
      </w:r>
      <w:r>
        <w:t xml:space="preserve"> in 100 </w:t>
      </w:r>
      <w:r w:rsidRPr="00DA06AE">
        <w:rPr>
          <w:i/>
        </w:rPr>
        <w:t>days</w:t>
      </w:r>
      <w:r>
        <w:t xml:space="preserve">. Subsequently, it remains at 100 </w:t>
      </w:r>
      <w:r w:rsidRPr="00DA06AE">
        <w:rPr>
          <w:i/>
        </w:rPr>
        <w:t>pCi/L</w:t>
      </w:r>
      <w:r>
        <w:t xml:space="preserve"> for late production time. The </w:t>
      </w:r>
      <w:r>
        <w:lastRenderedPageBreak/>
        <w:t xml:space="preserve">injected fracking fluid pushes the radon and radium away from the wellbore. After a certain period, highly concentrated radon gas will flow back to wellbore. As a result, the wellhead radon concentration at early time is relatively low. The other two cases behave a similar pattern in radon production history with Case A. Case C has an identical radon production history with Case A because of their similar initial radon </w:t>
      </w:r>
      <w:r w:rsidRPr="00825BC6">
        <w:rPr>
          <w:i/>
        </w:rPr>
        <w:t>in-situ</w:t>
      </w:r>
      <w:r>
        <w:t xml:space="preserve"> concentration in </w:t>
      </w:r>
      <w:r>
        <w:fldChar w:fldCharType="begin"/>
      </w:r>
      <w:r>
        <w:instrText xml:space="preserve"> REF _Ref465156404 \h </w:instrText>
      </w:r>
      <w:r>
        <w:fldChar w:fldCharType="separate"/>
      </w:r>
      <w:r w:rsidR="008948B7">
        <w:t xml:space="preserve">Table </w:t>
      </w:r>
      <w:r w:rsidR="008948B7">
        <w:rPr>
          <w:noProof/>
        </w:rPr>
        <w:t>5</w:t>
      </w:r>
      <w:r w:rsidR="008948B7">
        <w:noBreakHyphen/>
      </w:r>
      <w:r w:rsidR="008948B7">
        <w:rPr>
          <w:noProof/>
        </w:rPr>
        <w:t>3</w:t>
      </w:r>
      <w:r>
        <w:fldChar w:fldCharType="end"/>
      </w:r>
      <w:r>
        <w:t xml:space="preserve">. Since Case B has a higher initial radon concentration, it produces higher wellhead radon concentration as well. This observation indicates that the wellhead radon concentration is directly related with the </w:t>
      </w:r>
      <w:r w:rsidRPr="001004E1">
        <w:rPr>
          <w:i/>
        </w:rPr>
        <w:t>in-situ</w:t>
      </w:r>
      <w:r>
        <w:t xml:space="preserve"> concentration. Furthermore, pore size distribution and pore shape will influence the radon </w:t>
      </w:r>
      <w:r>
        <w:rPr>
          <w:i/>
        </w:rPr>
        <w:t>in-situ</w:t>
      </w:r>
      <w:r>
        <w:t xml:space="preserve"> concentration, which will further determine the wellhead radon concentration.</w:t>
      </w:r>
    </w:p>
    <w:p w14:paraId="4972DDB9" w14:textId="77777777" w:rsidR="00E81B4A" w:rsidRDefault="00E81B4A" w:rsidP="008948B7">
      <w:pPr>
        <w:pStyle w:val="TableNormal1"/>
      </w:pPr>
      <w:r>
        <w:drawing>
          <wp:inline distT="0" distB="0" distL="0" distR="0" wp14:anchorId="5C2485FF" wp14:editId="003562E7">
            <wp:extent cx="5224007" cy="3444875"/>
            <wp:effectExtent l="0" t="0" r="0" b="3175"/>
            <wp:docPr id="245" name="Chart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6B0EEA1" w14:textId="4E37956F" w:rsidR="00E81B4A" w:rsidRPr="00541084" w:rsidRDefault="00E81B4A" w:rsidP="00BF3F9B">
      <w:pPr>
        <w:pStyle w:val="Caption"/>
        <w:rPr>
          <w:szCs w:val="22"/>
        </w:rPr>
      </w:pPr>
      <w:bookmarkStart w:id="253" w:name="_Ref465174960"/>
      <w:bookmarkStart w:id="254" w:name="_Ref465174944"/>
      <w:bookmarkStart w:id="255" w:name="_Toc495144760"/>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11</w:t>
      </w:r>
      <w:r w:rsidR="00280FFF">
        <w:rPr>
          <w:szCs w:val="22"/>
        </w:rPr>
        <w:fldChar w:fldCharType="end"/>
      </w:r>
      <w:bookmarkEnd w:id="253"/>
      <w:r w:rsidRPr="00541084">
        <w:rPr>
          <w:szCs w:val="22"/>
        </w:rPr>
        <w:t xml:space="preserve">. Wellhead radon concentration with multiple initial radon </w:t>
      </w:r>
      <w:r w:rsidRPr="00541084">
        <w:rPr>
          <w:i/>
          <w:szCs w:val="22"/>
        </w:rPr>
        <w:t>in-situ</w:t>
      </w:r>
      <w:r w:rsidRPr="00541084">
        <w:rPr>
          <w:szCs w:val="22"/>
        </w:rPr>
        <w:t xml:space="preserve"> concentrations</w:t>
      </w:r>
      <w:bookmarkEnd w:id="254"/>
      <w:r w:rsidRPr="00541084">
        <w:rPr>
          <w:szCs w:val="22"/>
        </w:rPr>
        <w:t xml:space="preserve">. Wellhead radon concentration is directly related with the </w:t>
      </w:r>
      <w:r w:rsidRPr="00541084">
        <w:rPr>
          <w:i/>
          <w:szCs w:val="22"/>
        </w:rPr>
        <w:t>in-situ</w:t>
      </w:r>
      <w:r w:rsidRPr="00541084">
        <w:rPr>
          <w:szCs w:val="22"/>
        </w:rPr>
        <w:t xml:space="preserve"> concentration</w:t>
      </w:r>
      <w:bookmarkEnd w:id="255"/>
    </w:p>
    <w:p w14:paraId="5CBF69F5" w14:textId="77777777" w:rsidR="00E81B4A" w:rsidRDefault="00E81B4A" w:rsidP="00E81B4A"/>
    <w:p w14:paraId="3650C32E" w14:textId="77777777" w:rsidR="008948B7" w:rsidRPr="00E81B4A" w:rsidRDefault="008948B7" w:rsidP="00E81B4A"/>
    <w:p w14:paraId="535C9A1F" w14:textId="77777777" w:rsidR="00E81B4A" w:rsidRDefault="00E81B4A" w:rsidP="00E81B4A">
      <w:pPr>
        <w:pStyle w:val="Heading3"/>
      </w:pPr>
      <w:bookmarkStart w:id="256" w:name="_Toc494014245"/>
      <w:r>
        <w:lastRenderedPageBreak/>
        <w:t>Impact of Spatial Distribution of Pore Size</w:t>
      </w:r>
      <w:bookmarkEnd w:id="256"/>
    </w:p>
    <w:p w14:paraId="22916C02" w14:textId="5231BC1D" w:rsidR="00E81B4A" w:rsidRDefault="00E81B4A" w:rsidP="008948B7">
      <w:r>
        <w:t xml:space="preserve">Shale formations are highly heterogeneous. The pore shape and pore size could vary dramatically from location to location within a same formation, leading to heterogeneous radon </w:t>
      </w:r>
      <w:r w:rsidRPr="00E124E3">
        <w:rPr>
          <w:i/>
        </w:rPr>
        <w:t>in-situ</w:t>
      </w:r>
      <w:r>
        <w:t xml:space="preserve"> concentration. This section studies the impact of heterogeneity. </w:t>
      </w:r>
      <w:r w:rsidR="00C15129">
        <w:t>T</w:t>
      </w:r>
      <w:r>
        <w:t xml:space="preserve">he stimulated reservoir </w:t>
      </w:r>
      <w:r w:rsidR="00C15129">
        <w:t xml:space="preserve">was divided </w:t>
      </w:r>
      <w:r>
        <w:t>into two sections: near fracture zone and far formation zone</w:t>
      </w:r>
      <w:r w:rsidR="008948B7">
        <w:t xml:space="preserve"> (</w:t>
      </w:r>
      <w:r w:rsidR="008948B7">
        <w:fldChar w:fldCharType="begin"/>
      </w:r>
      <w:r w:rsidR="008948B7">
        <w:instrText xml:space="preserve"> REF _Ref492050166 \h </w:instrText>
      </w:r>
      <w:r w:rsidR="008948B7">
        <w:fldChar w:fldCharType="separate"/>
      </w:r>
      <w:r w:rsidR="008948B7">
        <w:t xml:space="preserve">Figure </w:t>
      </w:r>
      <w:r w:rsidR="008948B7">
        <w:rPr>
          <w:noProof/>
        </w:rPr>
        <w:t>5</w:t>
      </w:r>
      <w:r w:rsidR="008948B7">
        <w:noBreakHyphen/>
      </w:r>
      <w:r w:rsidR="008948B7">
        <w:rPr>
          <w:noProof/>
        </w:rPr>
        <w:t>12</w:t>
      </w:r>
      <w:r w:rsidR="008948B7">
        <w:fldChar w:fldCharType="end"/>
      </w:r>
      <w:r w:rsidR="008948B7">
        <w:t>)</w:t>
      </w:r>
      <w:r>
        <w:t xml:space="preserve">. By doing this, </w:t>
      </w:r>
      <w:r w:rsidR="00C15129">
        <w:t>people can</w:t>
      </w:r>
      <w:r>
        <w:t xml:space="preserve"> understand how heterogeneously distributed radon could affect wellhead radon concentration. </w:t>
      </w:r>
    </w:p>
    <w:p w14:paraId="3FE94CE9" w14:textId="77777777" w:rsidR="008948B7" w:rsidRDefault="008948B7" w:rsidP="008948B7">
      <w:pPr>
        <w:pStyle w:val="TableNormal1"/>
      </w:pPr>
      <w:r>
        <w:drawing>
          <wp:inline distT="0" distB="0" distL="0" distR="0" wp14:anchorId="1B1FF48A" wp14:editId="33F50397">
            <wp:extent cx="5943600" cy="445770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 Configuration.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4386BB8" w14:textId="4FB75422" w:rsidR="008948B7" w:rsidRPr="00541084" w:rsidRDefault="008948B7" w:rsidP="00BF3F9B">
      <w:pPr>
        <w:pStyle w:val="Caption"/>
        <w:rPr>
          <w:szCs w:val="22"/>
        </w:rPr>
      </w:pPr>
      <w:bookmarkStart w:id="257" w:name="_Ref492050166"/>
      <w:bookmarkStart w:id="258" w:name="_Ref492050160"/>
      <w:bookmarkStart w:id="259" w:name="_Toc495144761"/>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12</w:t>
      </w:r>
      <w:r w:rsidR="00280FFF">
        <w:rPr>
          <w:szCs w:val="22"/>
        </w:rPr>
        <w:fldChar w:fldCharType="end"/>
      </w:r>
      <w:bookmarkEnd w:id="257"/>
      <w:r w:rsidRPr="00541084">
        <w:rPr>
          <w:szCs w:val="22"/>
        </w:rPr>
        <w:t>.</w:t>
      </w:r>
      <w:r w:rsidRPr="00541084">
        <w:rPr>
          <w:noProof/>
          <w:szCs w:val="22"/>
        </w:rPr>
        <w:t xml:space="preserve"> Synthetic model configuration. The horizontal well is located at the top. It is perforated at hydraulic fracture at the left side. The stimulate reservoir is devided into two sections: near fracture zone and far formation zone.</w:t>
      </w:r>
      <w:bookmarkEnd w:id="258"/>
      <w:bookmarkEnd w:id="259"/>
    </w:p>
    <w:p w14:paraId="33897352" w14:textId="77777777" w:rsidR="008948B7" w:rsidRDefault="008948B7" w:rsidP="008948B7"/>
    <w:p w14:paraId="3B19E5D5" w14:textId="5B5F0D41" w:rsidR="00E81B4A" w:rsidRDefault="00E81B4A" w:rsidP="00E81B4A">
      <w:pPr>
        <w:pStyle w:val="Para10"/>
      </w:pPr>
      <w:r>
        <w:t xml:space="preserve">The Case A and Case B in </w:t>
      </w:r>
      <w:r>
        <w:fldChar w:fldCharType="begin"/>
      </w:r>
      <w:r>
        <w:instrText xml:space="preserve"> REF _Ref465174960 \h </w:instrText>
      </w:r>
      <w:r>
        <w:fldChar w:fldCharType="separate"/>
      </w:r>
      <w:r w:rsidR="008948B7">
        <w:t xml:space="preserve">Figure </w:t>
      </w:r>
      <w:r w:rsidR="008948B7">
        <w:rPr>
          <w:noProof/>
        </w:rPr>
        <w:t>5</w:t>
      </w:r>
      <w:r w:rsidR="008948B7">
        <w:noBreakHyphen/>
      </w:r>
      <w:r w:rsidR="008948B7">
        <w:rPr>
          <w:noProof/>
        </w:rPr>
        <w:t>11</w:t>
      </w:r>
      <w:r>
        <w:fldChar w:fldCharType="end"/>
      </w:r>
      <w:r>
        <w:t xml:space="preserve"> were used as the lower and upper bounds. </w:t>
      </w:r>
      <w:r w:rsidR="00C15129">
        <w:lastRenderedPageBreak/>
        <w:t>A</w:t>
      </w:r>
      <w:r>
        <w:t>nother two scenarios</w:t>
      </w:r>
      <w:r w:rsidR="00C15129">
        <w:t xml:space="preserve"> were designed</w:t>
      </w:r>
      <w:r>
        <w:t xml:space="preserve">, whose initial radon </w:t>
      </w:r>
      <w:r w:rsidRPr="00E124E3">
        <w:rPr>
          <w:i/>
        </w:rPr>
        <w:t>in-situ</w:t>
      </w:r>
      <w:r>
        <w:t xml:space="preserve"> concentrations are listed in </w:t>
      </w:r>
      <w:r>
        <w:fldChar w:fldCharType="begin"/>
      </w:r>
      <w:r>
        <w:instrText xml:space="preserve"> REF _Ref465256169 \h </w:instrText>
      </w:r>
      <w:r>
        <w:fldChar w:fldCharType="separate"/>
      </w:r>
      <w:r w:rsidR="008948B7">
        <w:t xml:space="preserve">Table </w:t>
      </w:r>
      <w:r w:rsidR="008948B7">
        <w:rPr>
          <w:noProof/>
        </w:rPr>
        <w:t>5</w:t>
      </w:r>
      <w:r w:rsidR="008948B7">
        <w:noBreakHyphen/>
      </w:r>
      <w:r w:rsidR="008948B7">
        <w:rPr>
          <w:noProof/>
        </w:rPr>
        <w:t>4</w:t>
      </w:r>
      <w:r>
        <w:fldChar w:fldCharType="end"/>
      </w:r>
      <w:r>
        <w:t xml:space="preserve">. Their results are plotted in </w:t>
      </w:r>
      <w:r>
        <w:fldChar w:fldCharType="begin"/>
      </w:r>
      <w:r>
        <w:instrText xml:space="preserve"> REF _Ref465256212 \h </w:instrText>
      </w:r>
      <w:r>
        <w:fldChar w:fldCharType="separate"/>
      </w:r>
      <w:r w:rsidR="008948B7">
        <w:t xml:space="preserve">Figure </w:t>
      </w:r>
      <w:r w:rsidR="008948B7">
        <w:rPr>
          <w:noProof/>
        </w:rPr>
        <w:t>5</w:t>
      </w:r>
      <w:r w:rsidR="008948B7">
        <w:noBreakHyphen/>
      </w:r>
      <w:r w:rsidR="008948B7">
        <w:rPr>
          <w:noProof/>
        </w:rPr>
        <w:t>13</w:t>
      </w:r>
      <w:r>
        <w:fldChar w:fldCharType="end"/>
      </w:r>
      <w:r>
        <w:t xml:space="preserve">. </w:t>
      </w:r>
    </w:p>
    <w:p w14:paraId="6B92FC6F" w14:textId="2563E1B7" w:rsidR="00E81B4A" w:rsidRDefault="00E81B4A" w:rsidP="00E81B4A">
      <w:pPr>
        <w:pStyle w:val="Para10"/>
      </w:pPr>
      <w:r>
        <w:t>Simulation results show wellhead radon concentrations in both cases are constrained by the upper and lower bounds. This can be explained by material balance. Since the overall radon mass will not be higher than Case B or lower than Case A, the produced radon mass will not exceed the limit as well. Anoth</w:t>
      </w:r>
      <w:r w:rsidR="00C15129">
        <w:t xml:space="preserve">er trend </w:t>
      </w:r>
      <w:r w:rsidR="008948B7">
        <w:t>observe</w:t>
      </w:r>
      <w:r w:rsidR="00C15129">
        <w:t>d</w:t>
      </w:r>
      <w:r w:rsidR="008948B7">
        <w:t xml:space="preserve"> </w:t>
      </w:r>
      <w:r>
        <w:t xml:space="preserve">from </w:t>
      </w:r>
      <w:r>
        <w:fldChar w:fldCharType="begin"/>
      </w:r>
      <w:r>
        <w:instrText xml:space="preserve"> REF _Ref465256212 \h </w:instrText>
      </w:r>
      <w:r>
        <w:fldChar w:fldCharType="separate"/>
      </w:r>
      <w:r w:rsidR="008948B7">
        <w:t xml:space="preserve">Figure </w:t>
      </w:r>
      <w:r w:rsidR="008948B7">
        <w:rPr>
          <w:noProof/>
        </w:rPr>
        <w:t>5</w:t>
      </w:r>
      <w:r w:rsidR="008948B7">
        <w:noBreakHyphen/>
      </w:r>
      <w:r w:rsidR="008948B7">
        <w:rPr>
          <w:noProof/>
        </w:rPr>
        <w:t>13</w:t>
      </w:r>
      <w:r>
        <w:fldChar w:fldCharType="end"/>
      </w:r>
      <w:r>
        <w:t xml:space="preserve"> is that the near fracture zone determines the early radon production. If the near fracture zone has a higher radon </w:t>
      </w:r>
      <w:r w:rsidRPr="001004E1">
        <w:rPr>
          <w:i/>
        </w:rPr>
        <w:t>in-situ</w:t>
      </w:r>
      <w:r>
        <w:t xml:space="preserve"> concentration, the produced wellhead radon concentration will be higher.</w:t>
      </w:r>
      <w:r w:rsidRPr="00587085">
        <w:t xml:space="preserve"> </w:t>
      </w:r>
      <w:r>
        <w:t xml:space="preserve">On the other hand, the far formation zone influences the late time radon production. A high radon </w:t>
      </w:r>
      <w:r w:rsidRPr="001004E1">
        <w:rPr>
          <w:i/>
        </w:rPr>
        <w:t>in-situ</w:t>
      </w:r>
      <w:r>
        <w:t xml:space="preserve"> concentration in far formation zone will lead to a rapid increase of wellhead radon concentration from early to late time. </w:t>
      </w:r>
    </w:p>
    <w:p w14:paraId="00EB2949" w14:textId="77777777" w:rsidR="00E81B4A" w:rsidRDefault="00E81B4A" w:rsidP="00E81B4A">
      <w:pPr>
        <w:pStyle w:val="Para10"/>
      </w:pPr>
    </w:p>
    <w:p w14:paraId="589B8BD7" w14:textId="77777777" w:rsidR="00E81B4A" w:rsidRPr="007C7A22" w:rsidRDefault="00E81B4A" w:rsidP="00BF3F9B">
      <w:pPr>
        <w:pStyle w:val="Caption"/>
        <w:rPr>
          <w:b w:val="0"/>
          <w:szCs w:val="22"/>
        </w:rPr>
      </w:pPr>
    </w:p>
    <w:tbl>
      <w:tblPr>
        <w:tblStyle w:val="TableGrid"/>
        <w:tblW w:w="8680" w:type="dxa"/>
        <w:tblLook w:val="04A0" w:firstRow="1" w:lastRow="0" w:firstColumn="1" w:lastColumn="0" w:noHBand="0" w:noVBand="1"/>
      </w:tblPr>
      <w:tblGrid>
        <w:gridCol w:w="4405"/>
        <w:gridCol w:w="2137"/>
        <w:gridCol w:w="2138"/>
      </w:tblGrid>
      <w:tr w:rsidR="008948B7" w:rsidRPr="007C7A22" w14:paraId="4BCC2366" w14:textId="77777777" w:rsidTr="008948B7">
        <w:trPr>
          <w:trHeight w:val="497"/>
        </w:trPr>
        <w:tc>
          <w:tcPr>
            <w:tcW w:w="8680" w:type="dxa"/>
            <w:gridSpan w:val="3"/>
          </w:tcPr>
          <w:p w14:paraId="6250AB65" w14:textId="77777777" w:rsidR="008948B7" w:rsidRPr="007C7A22" w:rsidRDefault="008948B7" w:rsidP="007C7A22">
            <w:pPr>
              <w:pStyle w:val="Caption"/>
            </w:pPr>
            <w:bookmarkStart w:id="260" w:name="_Ref465256169"/>
            <w:bookmarkStart w:id="261" w:name="_Toc494014271"/>
            <w:r w:rsidRPr="007C7A22">
              <w:t xml:space="preserve">Table </w:t>
            </w:r>
            <w:fldSimple w:instr=" STYLEREF 1 \s ">
              <w:r w:rsidR="00A67B82" w:rsidRPr="007C7A22">
                <w:t>5</w:t>
              </w:r>
            </w:fldSimple>
            <w:r w:rsidR="00A67B82" w:rsidRPr="007C7A22">
              <w:noBreakHyphen/>
            </w:r>
            <w:fldSimple w:instr=" SEQ Table \* ARABIC \s 1 ">
              <w:r w:rsidR="00A67B82" w:rsidRPr="007C7A22">
                <w:t>4</w:t>
              </w:r>
            </w:fldSimple>
            <w:bookmarkEnd w:id="260"/>
            <w:r w:rsidRPr="007C7A22">
              <w:t>. Radon in-situ concentration in near fracture zone and far formation zone for Case D and Case E.</w:t>
            </w:r>
            <w:bookmarkEnd w:id="261"/>
          </w:p>
        </w:tc>
      </w:tr>
      <w:tr w:rsidR="008948B7" w14:paraId="4E08964A" w14:textId="77777777" w:rsidTr="008948B7">
        <w:trPr>
          <w:trHeight w:val="497"/>
        </w:trPr>
        <w:tc>
          <w:tcPr>
            <w:tcW w:w="4405" w:type="dxa"/>
          </w:tcPr>
          <w:p w14:paraId="7176D47F" w14:textId="77777777" w:rsidR="008948B7" w:rsidRDefault="008948B7" w:rsidP="008948B7">
            <w:pPr>
              <w:pStyle w:val="TableNormal1"/>
            </w:pPr>
          </w:p>
        </w:tc>
        <w:tc>
          <w:tcPr>
            <w:tcW w:w="2137" w:type="dxa"/>
          </w:tcPr>
          <w:p w14:paraId="76C3012C" w14:textId="77777777" w:rsidR="008948B7" w:rsidRPr="006B2975" w:rsidRDefault="008948B7" w:rsidP="008948B7">
            <w:pPr>
              <w:pStyle w:val="TableNormal1"/>
              <w:rPr>
                <w:b/>
              </w:rPr>
            </w:pPr>
            <w:r w:rsidRPr="006B2975">
              <w:rPr>
                <w:b/>
              </w:rPr>
              <w:t>Case D</w:t>
            </w:r>
          </w:p>
        </w:tc>
        <w:tc>
          <w:tcPr>
            <w:tcW w:w="2138" w:type="dxa"/>
          </w:tcPr>
          <w:p w14:paraId="3210EAB3" w14:textId="77777777" w:rsidR="008948B7" w:rsidRPr="006B2975" w:rsidRDefault="008948B7" w:rsidP="008948B7">
            <w:pPr>
              <w:pStyle w:val="TableNormal1"/>
              <w:rPr>
                <w:b/>
              </w:rPr>
            </w:pPr>
            <w:r w:rsidRPr="006B2975">
              <w:rPr>
                <w:b/>
              </w:rPr>
              <w:t>Case E</w:t>
            </w:r>
          </w:p>
        </w:tc>
      </w:tr>
      <w:tr w:rsidR="008948B7" w14:paraId="707272E8" w14:textId="77777777" w:rsidTr="008948B7">
        <w:trPr>
          <w:trHeight w:val="497"/>
        </w:trPr>
        <w:tc>
          <w:tcPr>
            <w:tcW w:w="4405" w:type="dxa"/>
          </w:tcPr>
          <w:p w14:paraId="3A7A76BD" w14:textId="77777777" w:rsidR="008948B7" w:rsidRPr="006B2975" w:rsidRDefault="008948B7" w:rsidP="008948B7">
            <w:pPr>
              <w:pStyle w:val="TableNormal1"/>
              <w:rPr>
                <w:b/>
              </w:rPr>
            </w:pPr>
            <w:r w:rsidRPr="006B2975">
              <w:rPr>
                <w:b/>
              </w:rPr>
              <w:t>Radon in Near Fracture Zone,</w:t>
            </w:r>
            <w:r w:rsidRPr="006B2975">
              <w:rPr>
                <w:b/>
                <w:i/>
              </w:rPr>
              <w:t xml:space="preserve"> pCi/L</w:t>
            </w:r>
          </w:p>
        </w:tc>
        <w:tc>
          <w:tcPr>
            <w:tcW w:w="2137" w:type="dxa"/>
          </w:tcPr>
          <w:p w14:paraId="072A130B" w14:textId="77777777" w:rsidR="008948B7" w:rsidRDefault="008948B7" w:rsidP="008948B7">
            <w:pPr>
              <w:pStyle w:val="TableNormal1"/>
            </w:pPr>
            <w:r w:rsidRPr="00EF645C">
              <w:t>1.</w:t>
            </w:r>
            <w:r>
              <w:t>220</w:t>
            </w:r>
            <w:r w:rsidRPr="00EF645C">
              <w:t>×10</w:t>
            </w:r>
            <w:r w:rsidRPr="00EF645C">
              <w:rPr>
                <w:vertAlign w:val="superscript"/>
              </w:rPr>
              <w:t xml:space="preserve">5 </w:t>
            </w:r>
          </w:p>
        </w:tc>
        <w:tc>
          <w:tcPr>
            <w:tcW w:w="2138" w:type="dxa"/>
          </w:tcPr>
          <w:p w14:paraId="7429536D" w14:textId="77777777" w:rsidR="008948B7" w:rsidRPr="00591CF1" w:rsidRDefault="008948B7" w:rsidP="008948B7">
            <w:pPr>
              <w:pStyle w:val="TableNormal1"/>
              <w:rPr>
                <w:vertAlign w:val="superscript"/>
              </w:rPr>
            </w:pPr>
            <w:r w:rsidRPr="00EF645C">
              <w:t>1.</w:t>
            </w:r>
            <w:r>
              <w:t>175</w:t>
            </w:r>
            <w:r w:rsidRPr="00EF645C">
              <w:t>×10</w:t>
            </w:r>
            <w:r>
              <w:rPr>
                <w:vertAlign w:val="superscript"/>
              </w:rPr>
              <w:t>4</w:t>
            </w:r>
          </w:p>
        </w:tc>
      </w:tr>
      <w:tr w:rsidR="008948B7" w14:paraId="3CC93A51" w14:textId="77777777" w:rsidTr="008948B7">
        <w:trPr>
          <w:trHeight w:val="485"/>
        </w:trPr>
        <w:tc>
          <w:tcPr>
            <w:tcW w:w="4405" w:type="dxa"/>
          </w:tcPr>
          <w:p w14:paraId="71AF274A" w14:textId="77777777" w:rsidR="008948B7" w:rsidRPr="006B2975" w:rsidRDefault="008948B7" w:rsidP="008948B7">
            <w:pPr>
              <w:pStyle w:val="TableNormal1"/>
              <w:rPr>
                <w:b/>
              </w:rPr>
            </w:pPr>
            <w:r w:rsidRPr="006B2975">
              <w:rPr>
                <w:b/>
              </w:rPr>
              <w:t xml:space="preserve">Radon in Far Formation Zone, </w:t>
            </w:r>
            <w:r w:rsidRPr="006B2975">
              <w:rPr>
                <w:b/>
                <w:i/>
              </w:rPr>
              <w:t>pCi/L</w:t>
            </w:r>
          </w:p>
        </w:tc>
        <w:tc>
          <w:tcPr>
            <w:tcW w:w="2137" w:type="dxa"/>
          </w:tcPr>
          <w:p w14:paraId="67832935" w14:textId="77777777" w:rsidR="008948B7" w:rsidRDefault="008948B7" w:rsidP="008948B7">
            <w:pPr>
              <w:pStyle w:val="TableNormal1"/>
            </w:pPr>
            <w:r w:rsidRPr="00EF645C">
              <w:t>1.</w:t>
            </w:r>
            <w:r>
              <w:t>175</w:t>
            </w:r>
            <w:r w:rsidRPr="00EF645C">
              <w:t>×10</w:t>
            </w:r>
            <w:r>
              <w:rPr>
                <w:vertAlign w:val="superscript"/>
              </w:rPr>
              <w:t>4</w:t>
            </w:r>
          </w:p>
        </w:tc>
        <w:tc>
          <w:tcPr>
            <w:tcW w:w="2138" w:type="dxa"/>
          </w:tcPr>
          <w:p w14:paraId="2DD0C2AD" w14:textId="77777777" w:rsidR="008948B7" w:rsidRDefault="008948B7" w:rsidP="008948B7">
            <w:pPr>
              <w:pStyle w:val="TableNormal1"/>
            </w:pPr>
            <w:r>
              <w:t>1.220</w:t>
            </w:r>
            <w:r w:rsidRPr="00EF645C">
              <w:t>×10</w:t>
            </w:r>
            <w:r w:rsidRPr="00EF645C">
              <w:rPr>
                <w:vertAlign w:val="superscript"/>
              </w:rPr>
              <w:t>5</w:t>
            </w:r>
          </w:p>
        </w:tc>
      </w:tr>
    </w:tbl>
    <w:p w14:paraId="0ECF1C9B" w14:textId="77777777" w:rsidR="00E81B4A" w:rsidRPr="00C928DC" w:rsidRDefault="00E81B4A" w:rsidP="00E81B4A">
      <w:pPr>
        <w:pStyle w:val="Para10"/>
      </w:pPr>
    </w:p>
    <w:p w14:paraId="3A891E5B" w14:textId="77777777" w:rsidR="00E81B4A" w:rsidRPr="001D0C28" w:rsidRDefault="00E81B4A" w:rsidP="00E81B4A">
      <w:pPr>
        <w:pStyle w:val="Para0"/>
      </w:pPr>
    </w:p>
    <w:p w14:paraId="395E5DCE" w14:textId="77777777" w:rsidR="00E81B4A" w:rsidRDefault="00E81B4A" w:rsidP="008948B7">
      <w:pPr>
        <w:pStyle w:val="TableNormal1"/>
      </w:pPr>
      <w:r>
        <w:lastRenderedPageBreak/>
        <w:drawing>
          <wp:inline distT="0" distB="0" distL="0" distR="0" wp14:anchorId="59977538" wp14:editId="2278DC7B">
            <wp:extent cx="5269064" cy="3951798"/>
            <wp:effectExtent l="0" t="0" r="825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e Impact.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274987" cy="3956240"/>
                    </a:xfrm>
                    <a:prstGeom prst="rect">
                      <a:avLst/>
                    </a:prstGeom>
                  </pic:spPr>
                </pic:pic>
              </a:graphicData>
            </a:graphic>
          </wp:inline>
        </w:drawing>
      </w:r>
    </w:p>
    <w:p w14:paraId="74416C05" w14:textId="59D25B82" w:rsidR="00E81B4A" w:rsidRPr="00541084" w:rsidRDefault="00E81B4A" w:rsidP="00BF3F9B">
      <w:pPr>
        <w:pStyle w:val="Caption"/>
        <w:rPr>
          <w:szCs w:val="22"/>
        </w:rPr>
      </w:pPr>
      <w:bookmarkStart w:id="262" w:name="_Ref465256212"/>
      <w:bookmarkStart w:id="263" w:name="_Toc495144762"/>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13</w:t>
      </w:r>
      <w:r w:rsidR="00280FFF">
        <w:rPr>
          <w:szCs w:val="22"/>
        </w:rPr>
        <w:fldChar w:fldCharType="end"/>
      </w:r>
      <w:bookmarkEnd w:id="262"/>
      <w:r w:rsidRPr="00541084">
        <w:rPr>
          <w:szCs w:val="22"/>
        </w:rPr>
        <w:t>. Wellhead radon concentration to investigate heterogeneity impact. Near fracture zone determines the early radon production.</w:t>
      </w:r>
      <w:bookmarkEnd w:id="263"/>
    </w:p>
    <w:p w14:paraId="0CD9E0E6" w14:textId="77777777" w:rsidR="00E81B4A" w:rsidRPr="00E81B4A" w:rsidRDefault="00E81B4A" w:rsidP="00E81B4A"/>
    <w:p w14:paraId="1D958C62" w14:textId="77777777" w:rsidR="00E81B4A" w:rsidRDefault="00E81B4A" w:rsidP="00E81B4A">
      <w:pPr>
        <w:pStyle w:val="Heading3"/>
      </w:pPr>
      <w:bookmarkStart w:id="264" w:name="_Toc494014246"/>
      <w:r>
        <w:t>Impact of Natural Fracture</w:t>
      </w:r>
      <w:bookmarkEnd w:id="264"/>
    </w:p>
    <w:p w14:paraId="0D374141" w14:textId="04AB7AC6" w:rsidR="00E81B4A" w:rsidRPr="00E73B83" w:rsidRDefault="00E81B4A" w:rsidP="008948B7">
      <w:r w:rsidRPr="00E73B83">
        <w:t xml:space="preserve">The solid line in </w:t>
      </w:r>
      <w:r w:rsidR="00BF3F9B">
        <w:fldChar w:fldCharType="begin"/>
      </w:r>
      <w:r w:rsidR="00BF3F9B">
        <w:instrText xml:space="preserve"> REF _Ref442866698 \h </w:instrText>
      </w:r>
      <w:r w:rsidR="00BF3F9B">
        <w:fldChar w:fldCharType="separate"/>
      </w:r>
      <w:r w:rsidR="00BF3F9B" w:rsidRPr="00EB17E5">
        <w:t xml:space="preserve">Figure </w:t>
      </w:r>
      <w:r w:rsidR="00BF3F9B">
        <w:rPr>
          <w:noProof/>
        </w:rPr>
        <w:t>5</w:t>
      </w:r>
      <w:r w:rsidR="00BF3F9B">
        <w:noBreakHyphen/>
      </w:r>
      <w:r w:rsidR="00BF3F9B">
        <w:rPr>
          <w:noProof/>
        </w:rPr>
        <w:t>14</w:t>
      </w:r>
      <w:r w:rsidR="00BF3F9B">
        <w:fldChar w:fldCharType="end"/>
      </w:r>
      <w:r w:rsidRPr="00E73B83">
        <w:t xml:space="preserve"> shows that, at the early stage, radon concentration at wellhead is relatively low because gas with radon was pushed away from the well during fracturing process. </w:t>
      </w:r>
      <w:r w:rsidR="000D000C">
        <w:t>R</w:t>
      </w:r>
      <w:r w:rsidRPr="00E73B83">
        <w:t>adon wellhead concentration increases and reaches a peak, which is around 105</w:t>
      </w:r>
      <w:r>
        <w:t xml:space="preserve"> </w:t>
      </w:r>
      <w:r w:rsidRPr="004615BC">
        <w:rPr>
          <w:i/>
        </w:rPr>
        <w:t>pCi/L</w:t>
      </w:r>
      <w:r w:rsidRPr="00E73B83">
        <w:t xml:space="preserve">, for the particular case study. Such increase is because the radium and radon gas are flowing back. Later on, radon concentration slowly declines to 95 </w:t>
      </w:r>
      <w:r w:rsidRPr="004615BC">
        <w:rPr>
          <w:i/>
        </w:rPr>
        <w:t>pCi/L</w:t>
      </w:r>
      <w:r>
        <w:rPr>
          <w:i/>
        </w:rPr>
        <w:t xml:space="preserve"> </w:t>
      </w:r>
      <w:r w:rsidRPr="00E73B83">
        <w:t xml:space="preserve">after 7.5 </w:t>
      </w:r>
      <w:r w:rsidRPr="00AD3CF2">
        <w:rPr>
          <w:i/>
        </w:rPr>
        <w:t>years</w:t>
      </w:r>
      <w:r w:rsidRPr="00E73B83">
        <w:t xml:space="preserve"> production, due to the loss of radium in formation. This wellhead concentration is directly related to radon in-situ concentration, which depends on pore size and emanation efficiency. </w:t>
      </w:r>
    </w:p>
    <w:p w14:paraId="1BCF1031" w14:textId="77777777" w:rsidR="00E81B4A" w:rsidRPr="00E73B83" w:rsidRDefault="00E81B4A" w:rsidP="008948B7">
      <w:r w:rsidRPr="00E73B83">
        <w:lastRenderedPageBreak/>
        <w:t xml:space="preserve">Radon wellhead concentration of the case with natural fractures can be found as the dashed line in </w:t>
      </w:r>
      <w:r w:rsidR="00BF3F9B">
        <w:fldChar w:fldCharType="begin"/>
      </w:r>
      <w:r w:rsidR="00BF3F9B">
        <w:instrText xml:space="preserve"> REF _Ref442866698 \h </w:instrText>
      </w:r>
      <w:r w:rsidR="00BF3F9B">
        <w:fldChar w:fldCharType="separate"/>
      </w:r>
      <w:r w:rsidR="008577C1" w:rsidRPr="00EB17E5">
        <w:t xml:space="preserve">Figure </w:t>
      </w:r>
      <w:r w:rsidR="008577C1">
        <w:rPr>
          <w:noProof/>
        </w:rPr>
        <w:t>5</w:t>
      </w:r>
      <w:r w:rsidR="008577C1">
        <w:noBreakHyphen/>
      </w:r>
      <w:r w:rsidR="008577C1">
        <w:rPr>
          <w:noProof/>
        </w:rPr>
        <w:t>14</w:t>
      </w:r>
      <w:r w:rsidR="00BF3F9B">
        <w:fldChar w:fldCharType="end"/>
      </w:r>
      <w:r w:rsidRPr="00E73B83">
        <w:t>. Initially, radon wellhead concentration in naturally fractured reservoir is slightly higher than the value in case without natural fractures because natural fractures will bring high concentrated radon gas to wellhead faster.  After days of production, matrix is contributing to the production and radon concentration in non-naturally fractured well becomes higher.</w:t>
      </w:r>
    </w:p>
    <w:p w14:paraId="71ACD667" w14:textId="77777777" w:rsidR="00E81B4A" w:rsidRDefault="00E81B4A" w:rsidP="00E81B4A">
      <w:pPr>
        <w:pStyle w:val="para1"/>
        <w:rPr>
          <w:color w:val="000000" w:themeColor="text1"/>
        </w:rPr>
      </w:pPr>
    </w:p>
    <w:p w14:paraId="0EAA2CE0" w14:textId="77777777" w:rsidR="00E81B4A" w:rsidRPr="00E73B83" w:rsidRDefault="00E81B4A" w:rsidP="00E81B4A">
      <w:pPr>
        <w:pStyle w:val="para1"/>
        <w:rPr>
          <w:color w:val="000000" w:themeColor="text1"/>
        </w:rPr>
      </w:pPr>
    </w:p>
    <w:p w14:paraId="31883FCE" w14:textId="77777777" w:rsidR="00E81B4A" w:rsidRPr="00E73B83" w:rsidRDefault="00BF3F9B" w:rsidP="00BF3F9B">
      <w:pPr>
        <w:pStyle w:val="TableNormal1"/>
        <w:rPr>
          <w:color w:val="000000" w:themeColor="text1"/>
        </w:rPr>
      </w:pPr>
      <w:r>
        <w:object w:dxaOrig="9525" w:dyaOrig="7350" w14:anchorId="11AF2D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55pt;height:302.25pt" o:ole="">
            <v:imagedata r:id="rId63" o:title=""/>
          </v:shape>
          <o:OLEObject Type="Embed" ProgID="SigmaPlotGraphicObject.12" ShapeID="_x0000_i1025" DrawAspect="Content" ObjectID="_1569911238" r:id="rId64"/>
        </w:object>
      </w:r>
    </w:p>
    <w:p w14:paraId="53047EAD" w14:textId="213CB987" w:rsidR="00E81B4A" w:rsidRPr="00541084" w:rsidRDefault="00E81B4A" w:rsidP="00BF3F9B">
      <w:pPr>
        <w:pStyle w:val="Caption"/>
        <w:rPr>
          <w:szCs w:val="22"/>
        </w:rPr>
      </w:pPr>
      <w:bookmarkStart w:id="265" w:name="_Ref442866698"/>
      <w:bookmarkStart w:id="266" w:name="_Toc495144763"/>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14</w:t>
      </w:r>
      <w:r w:rsidR="00280FFF">
        <w:rPr>
          <w:szCs w:val="22"/>
        </w:rPr>
        <w:fldChar w:fldCharType="end"/>
      </w:r>
      <w:bookmarkEnd w:id="265"/>
      <w:r w:rsidRPr="00541084">
        <w:rPr>
          <w:szCs w:val="22"/>
        </w:rPr>
        <w:t>. Radon wellhead concentration from simulation output</w:t>
      </w:r>
      <w:bookmarkEnd w:id="266"/>
    </w:p>
    <w:p w14:paraId="6E7C9F91" w14:textId="77777777" w:rsidR="00E81B4A" w:rsidRDefault="00E81B4A" w:rsidP="00E81B4A"/>
    <w:p w14:paraId="3E026D05" w14:textId="77777777" w:rsidR="001C08D5" w:rsidRDefault="001C08D5" w:rsidP="001C08D5">
      <w:pPr>
        <w:pStyle w:val="Heading3"/>
      </w:pPr>
      <w:bookmarkStart w:id="267" w:name="_Toc494014247"/>
      <w:r>
        <w:t>Sensitivity Analysis</w:t>
      </w:r>
      <w:bookmarkEnd w:id="267"/>
    </w:p>
    <w:p w14:paraId="7E1D2FA8" w14:textId="56D59EA9" w:rsidR="001C08D5" w:rsidRDefault="001C08D5" w:rsidP="00BF3F9B">
      <w:pPr>
        <w:rPr>
          <w:color w:val="FF0000"/>
        </w:rPr>
      </w:pPr>
      <w:r w:rsidRPr="00E73B83">
        <w:t xml:space="preserve">Shale gas development requires delicate completion and stimulation design to obtain high production rate. However, radon release has not been carefully considered. Therefore, several parameters that could possibly affect radon concentration are </w:t>
      </w:r>
      <w:r w:rsidRPr="00E73B83">
        <w:lastRenderedPageBreak/>
        <w:t>investiga</w:t>
      </w:r>
      <w:r w:rsidRPr="00BF3F9B">
        <w:rPr>
          <w:color w:val="000000" w:themeColor="text1"/>
        </w:rPr>
        <w:t xml:space="preserve">ted in this sensitivity analysis. Relative permeability data for shale matrix is obtained from Cheng (2012). According to its base water relative permeability, another two curves </w:t>
      </w:r>
      <w:r w:rsidR="00C15129">
        <w:rPr>
          <w:color w:val="000000" w:themeColor="text1"/>
        </w:rPr>
        <w:t xml:space="preserve">were created </w:t>
      </w:r>
      <w:r w:rsidRPr="00BF3F9B">
        <w:rPr>
          <w:color w:val="000000" w:themeColor="text1"/>
        </w:rPr>
        <w:t>to represent water preferred and non-preferred hydraulic fracture (</w:t>
      </w:r>
      <w:r w:rsidR="00BF3F9B">
        <w:rPr>
          <w:color w:val="000000" w:themeColor="text1"/>
        </w:rPr>
        <w:fldChar w:fldCharType="begin"/>
      </w:r>
      <w:r w:rsidR="00BF3F9B">
        <w:rPr>
          <w:color w:val="000000" w:themeColor="text1"/>
        </w:rPr>
        <w:instrText xml:space="preserve"> REF _Ref442877864 \h </w:instrText>
      </w:r>
      <w:r w:rsidR="00BF3F9B">
        <w:rPr>
          <w:color w:val="000000" w:themeColor="text1"/>
        </w:rPr>
      </w:r>
      <w:r w:rsidR="00BF3F9B">
        <w:rPr>
          <w:color w:val="000000" w:themeColor="text1"/>
        </w:rPr>
        <w:fldChar w:fldCharType="separate"/>
      </w:r>
      <w:r w:rsidR="00BF3F9B" w:rsidRPr="00BF3F9B">
        <w:t>Figure</w:t>
      </w:r>
      <w:r w:rsidR="00BF3F9B" w:rsidRPr="00EB17E5">
        <w:t xml:space="preserve"> </w:t>
      </w:r>
      <w:r w:rsidR="00BF3F9B">
        <w:rPr>
          <w:noProof/>
        </w:rPr>
        <w:t>5</w:t>
      </w:r>
      <w:r w:rsidR="00BF3F9B">
        <w:noBreakHyphen/>
      </w:r>
      <w:r w:rsidR="00BF3F9B">
        <w:rPr>
          <w:noProof/>
        </w:rPr>
        <w:t>15</w:t>
      </w:r>
      <w:r w:rsidR="00BF3F9B">
        <w:rPr>
          <w:color w:val="000000" w:themeColor="text1"/>
        </w:rPr>
        <w:fldChar w:fldCharType="end"/>
      </w:r>
      <w:r w:rsidRPr="00BF3F9B">
        <w:rPr>
          <w:color w:val="000000" w:themeColor="text1"/>
        </w:rPr>
        <w:t xml:space="preserve">). A summary of all varied parameters is given in </w:t>
      </w:r>
      <w:r w:rsidR="00BF3F9B">
        <w:rPr>
          <w:color w:val="000000" w:themeColor="text1"/>
        </w:rPr>
        <w:fldChar w:fldCharType="begin"/>
      </w:r>
      <w:r w:rsidR="00BF3F9B">
        <w:rPr>
          <w:color w:val="000000" w:themeColor="text1"/>
        </w:rPr>
        <w:instrText xml:space="preserve"> REF _Ref492050926 \h </w:instrText>
      </w:r>
      <w:r w:rsidR="00BF3F9B">
        <w:rPr>
          <w:color w:val="000000" w:themeColor="text1"/>
        </w:rPr>
      </w:r>
      <w:r w:rsidR="00BF3F9B">
        <w:rPr>
          <w:color w:val="000000" w:themeColor="text1"/>
        </w:rPr>
        <w:fldChar w:fldCharType="separate"/>
      </w:r>
      <w:r w:rsidR="00BF3F9B" w:rsidRPr="00BF3F9B">
        <w:t>Table 5</w:t>
      </w:r>
      <w:r w:rsidR="00BF3F9B" w:rsidRPr="00BF3F9B">
        <w:noBreakHyphen/>
        <w:t>5</w:t>
      </w:r>
      <w:r w:rsidR="00BF3F9B">
        <w:rPr>
          <w:color w:val="000000" w:themeColor="text1"/>
        </w:rPr>
        <w:fldChar w:fldCharType="end"/>
      </w:r>
      <w:r w:rsidRPr="00BF3F9B">
        <w:rPr>
          <w:color w:val="000000" w:themeColor="text1"/>
        </w:rPr>
        <w:t>. In this part, the base case has no natural fractures.</w:t>
      </w:r>
    </w:p>
    <w:p w14:paraId="40BA2DE0" w14:textId="77777777" w:rsidR="001C08D5" w:rsidRPr="00EB17E5" w:rsidRDefault="001C08D5" w:rsidP="001C08D5">
      <w:pPr>
        <w:pStyle w:val="para1"/>
      </w:pPr>
    </w:p>
    <w:p w14:paraId="417ECF4E" w14:textId="77777777" w:rsidR="001C08D5" w:rsidRPr="00541084" w:rsidRDefault="001C08D5" w:rsidP="00BF3F9B">
      <w:pPr>
        <w:pStyle w:val="Caption"/>
        <w:rPr>
          <w:szCs w:val="22"/>
        </w:rPr>
      </w:pPr>
    </w:p>
    <w:tbl>
      <w:tblPr>
        <w:tblStyle w:val="LightShading"/>
        <w:tblW w:w="5000" w:type="pct"/>
        <w:tblLook w:val="04A0" w:firstRow="1" w:lastRow="0" w:firstColumn="1" w:lastColumn="0" w:noHBand="0" w:noVBand="1"/>
      </w:tblPr>
      <w:tblGrid>
        <w:gridCol w:w="4980"/>
        <w:gridCol w:w="1244"/>
        <w:gridCol w:w="1244"/>
        <w:gridCol w:w="1244"/>
      </w:tblGrid>
      <w:tr w:rsidR="00BF3F9B" w:rsidRPr="00E73B83" w14:paraId="11F76EE1" w14:textId="77777777" w:rsidTr="00BF3F9B">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E3B083" w14:textId="77777777" w:rsidR="00BF3F9B" w:rsidRPr="00E73B83" w:rsidRDefault="00BF3F9B" w:rsidP="007C7A22">
            <w:pPr>
              <w:pStyle w:val="Caption"/>
            </w:pPr>
            <w:bookmarkStart w:id="268" w:name="_Ref492050926"/>
            <w:bookmarkStart w:id="269" w:name="_Toc494014272"/>
            <w:r w:rsidRPr="00BF3F9B">
              <w:t xml:space="preserve">Table </w:t>
            </w:r>
            <w:fldSimple w:instr=" STYLEREF 1 \s ">
              <w:r w:rsidR="00A67B82">
                <w:t>5</w:t>
              </w:r>
            </w:fldSimple>
            <w:r w:rsidR="00A67B82">
              <w:noBreakHyphen/>
            </w:r>
            <w:fldSimple w:instr=" SEQ Table \* ARABIC \s 1 ">
              <w:r w:rsidR="00A67B82">
                <w:t>5</w:t>
              </w:r>
            </w:fldSimple>
            <w:bookmarkEnd w:id="268"/>
            <w:r w:rsidRPr="00BF3F9B">
              <w:t>. Varied parameters for sensitivity analysis</w:t>
            </w:r>
            <w:bookmarkEnd w:id="269"/>
          </w:p>
        </w:tc>
      </w:tr>
      <w:tr w:rsidR="00BF3F9B" w:rsidRPr="00E73B83" w14:paraId="2773378A" w14:textId="77777777" w:rsidTr="00BF3F9B">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858" w:type="pct"/>
            <w:tcBorders>
              <w:top w:val="single" w:sz="4" w:space="0" w:color="auto"/>
              <w:left w:val="single" w:sz="4" w:space="0" w:color="auto"/>
              <w:bottom w:val="single" w:sz="4" w:space="0" w:color="auto"/>
            </w:tcBorders>
            <w:shd w:val="clear" w:color="auto" w:fill="auto"/>
            <w:vAlign w:val="center"/>
          </w:tcPr>
          <w:p w14:paraId="5C6566AF" w14:textId="77777777" w:rsidR="00BF3F9B" w:rsidRPr="00BF3F9B" w:rsidRDefault="00BF3F9B" w:rsidP="00BF3F9B">
            <w:pPr>
              <w:pStyle w:val="TableNormal1"/>
            </w:pPr>
            <w:r w:rsidRPr="00BF3F9B">
              <w:t>Parameter</w:t>
            </w:r>
          </w:p>
        </w:tc>
        <w:tc>
          <w:tcPr>
            <w:tcW w:w="714" w:type="pct"/>
            <w:tcBorders>
              <w:top w:val="single" w:sz="4" w:space="0" w:color="auto"/>
              <w:bottom w:val="single" w:sz="4" w:space="0" w:color="auto"/>
            </w:tcBorders>
            <w:shd w:val="clear" w:color="auto" w:fill="auto"/>
            <w:vAlign w:val="center"/>
          </w:tcPr>
          <w:p w14:paraId="39212336" w14:textId="77777777" w:rsidR="00BF3F9B" w:rsidRPr="00BF3F9B" w:rsidRDefault="00BF3F9B" w:rsidP="00BF3F9B">
            <w:pPr>
              <w:pStyle w:val="TableNormal1"/>
              <w:cnfStyle w:val="000000100000" w:firstRow="0" w:lastRow="0" w:firstColumn="0" w:lastColumn="0" w:oddVBand="0" w:evenVBand="0" w:oddHBand="1" w:evenHBand="0" w:firstRowFirstColumn="0" w:firstRowLastColumn="0" w:lastRowFirstColumn="0" w:lastRowLastColumn="0"/>
              <w:rPr>
                <w:b/>
              </w:rPr>
            </w:pPr>
            <w:r w:rsidRPr="00BF3F9B">
              <w:rPr>
                <w:b/>
              </w:rPr>
              <w:t>Low Value</w:t>
            </w:r>
          </w:p>
        </w:tc>
        <w:tc>
          <w:tcPr>
            <w:tcW w:w="714" w:type="pct"/>
            <w:tcBorders>
              <w:top w:val="single" w:sz="4" w:space="0" w:color="auto"/>
              <w:bottom w:val="single" w:sz="4" w:space="0" w:color="auto"/>
            </w:tcBorders>
            <w:shd w:val="clear" w:color="auto" w:fill="auto"/>
            <w:vAlign w:val="center"/>
          </w:tcPr>
          <w:p w14:paraId="4750AE13" w14:textId="77777777" w:rsidR="00BF3F9B" w:rsidRPr="00BF3F9B" w:rsidRDefault="00BF3F9B" w:rsidP="00BF3F9B">
            <w:pPr>
              <w:pStyle w:val="TableNormal1"/>
              <w:cnfStyle w:val="000000100000" w:firstRow="0" w:lastRow="0" w:firstColumn="0" w:lastColumn="0" w:oddVBand="0" w:evenVBand="0" w:oddHBand="1" w:evenHBand="0" w:firstRowFirstColumn="0" w:firstRowLastColumn="0" w:lastRowFirstColumn="0" w:lastRowLastColumn="0"/>
              <w:rPr>
                <w:b/>
              </w:rPr>
            </w:pPr>
            <w:r w:rsidRPr="00BF3F9B">
              <w:rPr>
                <w:b/>
              </w:rPr>
              <w:t>Base Case</w:t>
            </w:r>
          </w:p>
        </w:tc>
        <w:tc>
          <w:tcPr>
            <w:tcW w:w="714" w:type="pct"/>
            <w:tcBorders>
              <w:top w:val="single" w:sz="4" w:space="0" w:color="auto"/>
              <w:bottom w:val="single" w:sz="4" w:space="0" w:color="auto"/>
              <w:right w:val="single" w:sz="4" w:space="0" w:color="auto"/>
            </w:tcBorders>
            <w:shd w:val="clear" w:color="auto" w:fill="auto"/>
            <w:vAlign w:val="center"/>
          </w:tcPr>
          <w:p w14:paraId="7D32F879" w14:textId="77777777" w:rsidR="00BF3F9B" w:rsidRPr="00BF3F9B" w:rsidRDefault="00BF3F9B" w:rsidP="00BF3F9B">
            <w:pPr>
              <w:pStyle w:val="TableNormal1"/>
              <w:cnfStyle w:val="000000100000" w:firstRow="0" w:lastRow="0" w:firstColumn="0" w:lastColumn="0" w:oddVBand="0" w:evenVBand="0" w:oddHBand="1" w:evenHBand="0" w:firstRowFirstColumn="0" w:firstRowLastColumn="0" w:lastRowFirstColumn="0" w:lastRowLastColumn="0"/>
              <w:rPr>
                <w:b/>
              </w:rPr>
            </w:pPr>
            <w:r w:rsidRPr="00BF3F9B">
              <w:rPr>
                <w:b/>
              </w:rPr>
              <w:t>High Value</w:t>
            </w:r>
          </w:p>
        </w:tc>
      </w:tr>
      <w:tr w:rsidR="00BF3F9B" w:rsidRPr="00E73B83" w14:paraId="0CA4A31C" w14:textId="77777777" w:rsidTr="00BF3F9B">
        <w:tc>
          <w:tcPr>
            <w:cnfStyle w:val="001000000000" w:firstRow="0" w:lastRow="0" w:firstColumn="1" w:lastColumn="0" w:oddVBand="0" w:evenVBand="0" w:oddHBand="0" w:evenHBand="0" w:firstRowFirstColumn="0" w:firstRowLastColumn="0" w:lastRowFirstColumn="0" w:lastRowLastColumn="0"/>
            <w:tcW w:w="2858" w:type="pct"/>
            <w:tcBorders>
              <w:top w:val="single" w:sz="4" w:space="0" w:color="auto"/>
              <w:left w:val="single" w:sz="4" w:space="0" w:color="auto"/>
            </w:tcBorders>
            <w:shd w:val="clear" w:color="auto" w:fill="auto"/>
            <w:vAlign w:val="center"/>
          </w:tcPr>
          <w:p w14:paraId="0A266D19" w14:textId="45E9B7CC" w:rsidR="00BF3F9B" w:rsidRPr="00BF3F9B" w:rsidRDefault="0004427B" w:rsidP="00BF3F9B">
            <w:pPr>
              <w:pStyle w:val="TableNormal1"/>
            </w:pPr>
            <w:r>
              <w:t>Hydraulic Fracture Half-</w:t>
            </w:r>
            <w:r w:rsidR="00BF3F9B" w:rsidRPr="00BF3F9B">
              <w:t>Length, ft</w:t>
            </w:r>
          </w:p>
        </w:tc>
        <w:tc>
          <w:tcPr>
            <w:tcW w:w="714" w:type="pct"/>
            <w:tcBorders>
              <w:top w:val="single" w:sz="4" w:space="0" w:color="auto"/>
            </w:tcBorders>
            <w:shd w:val="clear" w:color="auto" w:fill="auto"/>
            <w:vAlign w:val="center"/>
          </w:tcPr>
          <w:p w14:paraId="7F3401E3" w14:textId="77777777" w:rsidR="00BF3F9B" w:rsidRPr="00BF3F9B" w:rsidRDefault="00BF3F9B" w:rsidP="00BF3F9B">
            <w:pPr>
              <w:pStyle w:val="TableNormal1"/>
              <w:cnfStyle w:val="000000000000" w:firstRow="0" w:lastRow="0" w:firstColumn="0" w:lastColumn="0" w:oddVBand="0" w:evenVBand="0" w:oddHBand="0" w:evenHBand="0" w:firstRowFirstColumn="0" w:firstRowLastColumn="0" w:lastRowFirstColumn="0" w:lastRowLastColumn="0"/>
            </w:pPr>
            <w:r w:rsidRPr="00BF3F9B">
              <w:t>240</w:t>
            </w:r>
          </w:p>
        </w:tc>
        <w:tc>
          <w:tcPr>
            <w:tcW w:w="714" w:type="pct"/>
            <w:tcBorders>
              <w:top w:val="single" w:sz="4" w:space="0" w:color="auto"/>
            </w:tcBorders>
            <w:shd w:val="clear" w:color="auto" w:fill="auto"/>
            <w:vAlign w:val="center"/>
          </w:tcPr>
          <w:p w14:paraId="09396F4F" w14:textId="77777777" w:rsidR="00BF3F9B" w:rsidRPr="00BF3F9B" w:rsidRDefault="00BF3F9B" w:rsidP="00BF3F9B">
            <w:pPr>
              <w:pStyle w:val="TableNormal1"/>
              <w:cnfStyle w:val="000000000000" w:firstRow="0" w:lastRow="0" w:firstColumn="0" w:lastColumn="0" w:oddVBand="0" w:evenVBand="0" w:oddHBand="0" w:evenHBand="0" w:firstRowFirstColumn="0" w:firstRowLastColumn="0" w:lastRowFirstColumn="0" w:lastRowLastColumn="0"/>
            </w:pPr>
            <w:r w:rsidRPr="00BF3F9B">
              <w:t>300</w:t>
            </w:r>
          </w:p>
        </w:tc>
        <w:tc>
          <w:tcPr>
            <w:tcW w:w="714" w:type="pct"/>
            <w:tcBorders>
              <w:top w:val="single" w:sz="4" w:space="0" w:color="auto"/>
              <w:right w:val="single" w:sz="4" w:space="0" w:color="auto"/>
            </w:tcBorders>
            <w:shd w:val="clear" w:color="auto" w:fill="auto"/>
            <w:vAlign w:val="center"/>
          </w:tcPr>
          <w:p w14:paraId="7B6FD754" w14:textId="77777777" w:rsidR="00BF3F9B" w:rsidRPr="00BF3F9B" w:rsidRDefault="00BF3F9B" w:rsidP="00BF3F9B">
            <w:pPr>
              <w:pStyle w:val="TableNormal1"/>
              <w:cnfStyle w:val="000000000000" w:firstRow="0" w:lastRow="0" w:firstColumn="0" w:lastColumn="0" w:oddVBand="0" w:evenVBand="0" w:oddHBand="0" w:evenHBand="0" w:firstRowFirstColumn="0" w:firstRowLastColumn="0" w:lastRowFirstColumn="0" w:lastRowLastColumn="0"/>
            </w:pPr>
            <w:r w:rsidRPr="00BF3F9B">
              <w:t>360</w:t>
            </w:r>
          </w:p>
        </w:tc>
      </w:tr>
      <w:tr w:rsidR="00BF3F9B" w:rsidRPr="00E73B83" w14:paraId="6182A597" w14:textId="77777777" w:rsidTr="00BF3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pct"/>
            <w:tcBorders>
              <w:left w:val="single" w:sz="4" w:space="0" w:color="auto"/>
            </w:tcBorders>
            <w:shd w:val="clear" w:color="auto" w:fill="auto"/>
            <w:vAlign w:val="center"/>
          </w:tcPr>
          <w:p w14:paraId="23122ABC" w14:textId="77777777" w:rsidR="00BF3F9B" w:rsidRPr="00BF3F9B" w:rsidRDefault="00BF3F9B" w:rsidP="00BF3F9B">
            <w:pPr>
              <w:pStyle w:val="TableNormal1"/>
            </w:pPr>
            <w:r w:rsidRPr="00BF3F9B">
              <w:t>Hydraulic Fracture Permeability, md</w:t>
            </w:r>
          </w:p>
        </w:tc>
        <w:tc>
          <w:tcPr>
            <w:tcW w:w="714" w:type="pct"/>
            <w:shd w:val="clear" w:color="auto" w:fill="auto"/>
            <w:vAlign w:val="center"/>
          </w:tcPr>
          <w:p w14:paraId="0AFE45AB" w14:textId="77777777" w:rsidR="00BF3F9B" w:rsidRPr="00BF3F9B" w:rsidRDefault="00BF3F9B" w:rsidP="00BF3F9B">
            <w:pPr>
              <w:pStyle w:val="TableNormal1"/>
              <w:cnfStyle w:val="000000100000" w:firstRow="0" w:lastRow="0" w:firstColumn="0" w:lastColumn="0" w:oddVBand="0" w:evenVBand="0" w:oddHBand="1" w:evenHBand="0" w:firstRowFirstColumn="0" w:firstRowLastColumn="0" w:lastRowFirstColumn="0" w:lastRowLastColumn="0"/>
            </w:pPr>
            <w:r w:rsidRPr="00BF3F9B">
              <w:t>500</w:t>
            </w:r>
          </w:p>
        </w:tc>
        <w:tc>
          <w:tcPr>
            <w:tcW w:w="714" w:type="pct"/>
            <w:shd w:val="clear" w:color="auto" w:fill="auto"/>
            <w:vAlign w:val="center"/>
          </w:tcPr>
          <w:p w14:paraId="57C35CA7" w14:textId="77777777" w:rsidR="00BF3F9B" w:rsidRPr="00BF3F9B" w:rsidRDefault="00BF3F9B" w:rsidP="00BF3F9B">
            <w:pPr>
              <w:pStyle w:val="TableNormal1"/>
              <w:cnfStyle w:val="000000100000" w:firstRow="0" w:lastRow="0" w:firstColumn="0" w:lastColumn="0" w:oddVBand="0" w:evenVBand="0" w:oddHBand="1" w:evenHBand="0" w:firstRowFirstColumn="0" w:firstRowLastColumn="0" w:lastRowFirstColumn="0" w:lastRowLastColumn="0"/>
            </w:pPr>
            <w:r w:rsidRPr="00BF3F9B">
              <w:t>1000</w:t>
            </w:r>
          </w:p>
        </w:tc>
        <w:tc>
          <w:tcPr>
            <w:tcW w:w="714" w:type="pct"/>
            <w:tcBorders>
              <w:right w:val="single" w:sz="4" w:space="0" w:color="auto"/>
            </w:tcBorders>
            <w:shd w:val="clear" w:color="auto" w:fill="auto"/>
            <w:vAlign w:val="center"/>
          </w:tcPr>
          <w:p w14:paraId="7CC660F6" w14:textId="77777777" w:rsidR="00BF3F9B" w:rsidRPr="00BF3F9B" w:rsidRDefault="00BF3F9B" w:rsidP="00BF3F9B">
            <w:pPr>
              <w:pStyle w:val="TableNormal1"/>
              <w:cnfStyle w:val="000000100000" w:firstRow="0" w:lastRow="0" w:firstColumn="0" w:lastColumn="0" w:oddVBand="0" w:evenVBand="0" w:oddHBand="1" w:evenHBand="0" w:firstRowFirstColumn="0" w:firstRowLastColumn="0" w:lastRowFirstColumn="0" w:lastRowLastColumn="0"/>
            </w:pPr>
            <w:r w:rsidRPr="00BF3F9B">
              <w:t>1500</w:t>
            </w:r>
          </w:p>
        </w:tc>
      </w:tr>
      <w:tr w:rsidR="00BF3F9B" w:rsidRPr="00E73B83" w14:paraId="7532B641" w14:textId="77777777" w:rsidTr="00BF3F9B">
        <w:tc>
          <w:tcPr>
            <w:cnfStyle w:val="001000000000" w:firstRow="0" w:lastRow="0" w:firstColumn="1" w:lastColumn="0" w:oddVBand="0" w:evenVBand="0" w:oddHBand="0" w:evenHBand="0" w:firstRowFirstColumn="0" w:firstRowLastColumn="0" w:lastRowFirstColumn="0" w:lastRowLastColumn="0"/>
            <w:tcW w:w="2858" w:type="pct"/>
            <w:tcBorders>
              <w:left w:val="single" w:sz="4" w:space="0" w:color="auto"/>
            </w:tcBorders>
            <w:shd w:val="clear" w:color="auto" w:fill="auto"/>
            <w:vAlign w:val="center"/>
          </w:tcPr>
          <w:p w14:paraId="6C17852B" w14:textId="77777777" w:rsidR="00BF3F9B" w:rsidRPr="00BF3F9B" w:rsidRDefault="00BF3F9B" w:rsidP="00BF3F9B">
            <w:pPr>
              <w:pStyle w:val="TableNormal1"/>
            </w:pPr>
            <w:r w:rsidRPr="00BF3F9B">
              <w:t>Matrix, md</w:t>
            </w:r>
          </w:p>
        </w:tc>
        <w:tc>
          <w:tcPr>
            <w:tcW w:w="714" w:type="pct"/>
            <w:shd w:val="clear" w:color="auto" w:fill="auto"/>
            <w:vAlign w:val="center"/>
          </w:tcPr>
          <w:p w14:paraId="5D5CB15D" w14:textId="77777777" w:rsidR="00BF3F9B" w:rsidRPr="00BF3F9B" w:rsidRDefault="00BF3F9B" w:rsidP="00BF3F9B">
            <w:pPr>
              <w:pStyle w:val="TableNormal1"/>
              <w:cnfStyle w:val="000000000000" w:firstRow="0" w:lastRow="0" w:firstColumn="0" w:lastColumn="0" w:oddVBand="0" w:evenVBand="0" w:oddHBand="0" w:evenHBand="0" w:firstRowFirstColumn="0" w:firstRowLastColumn="0" w:lastRowFirstColumn="0" w:lastRowLastColumn="0"/>
            </w:pPr>
            <w:r w:rsidRPr="00BF3F9B">
              <w:t>0.00005</w:t>
            </w:r>
          </w:p>
        </w:tc>
        <w:tc>
          <w:tcPr>
            <w:tcW w:w="714" w:type="pct"/>
            <w:shd w:val="clear" w:color="auto" w:fill="auto"/>
            <w:vAlign w:val="center"/>
          </w:tcPr>
          <w:p w14:paraId="480D289B" w14:textId="77777777" w:rsidR="00BF3F9B" w:rsidRPr="00BF3F9B" w:rsidRDefault="00BF3F9B" w:rsidP="00BF3F9B">
            <w:pPr>
              <w:pStyle w:val="TableNormal1"/>
              <w:cnfStyle w:val="000000000000" w:firstRow="0" w:lastRow="0" w:firstColumn="0" w:lastColumn="0" w:oddVBand="0" w:evenVBand="0" w:oddHBand="0" w:evenHBand="0" w:firstRowFirstColumn="0" w:firstRowLastColumn="0" w:lastRowFirstColumn="0" w:lastRowLastColumn="0"/>
            </w:pPr>
            <w:r w:rsidRPr="00BF3F9B">
              <w:t>0.0005</w:t>
            </w:r>
          </w:p>
        </w:tc>
        <w:tc>
          <w:tcPr>
            <w:tcW w:w="714" w:type="pct"/>
            <w:tcBorders>
              <w:right w:val="single" w:sz="4" w:space="0" w:color="auto"/>
            </w:tcBorders>
            <w:shd w:val="clear" w:color="auto" w:fill="auto"/>
            <w:vAlign w:val="center"/>
          </w:tcPr>
          <w:p w14:paraId="3BDBAAC2" w14:textId="77777777" w:rsidR="00BF3F9B" w:rsidRPr="00BF3F9B" w:rsidRDefault="00BF3F9B" w:rsidP="00BF3F9B">
            <w:pPr>
              <w:pStyle w:val="TableNormal1"/>
              <w:cnfStyle w:val="000000000000" w:firstRow="0" w:lastRow="0" w:firstColumn="0" w:lastColumn="0" w:oddVBand="0" w:evenVBand="0" w:oddHBand="0" w:evenHBand="0" w:firstRowFirstColumn="0" w:firstRowLastColumn="0" w:lastRowFirstColumn="0" w:lastRowLastColumn="0"/>
            </w:pPr>
            <w:r w:rsidRPr="00BF3F9B">
              <w:t>0.005</w:t>
            </w:r>
          </w:p>
        </w:tc>
      </w:tr>
      <w:tr w:rsidR="00BF3F9B" w:rsidRPr="00E73B83" w14:paraId="1BB08614" w14:textId="77777777" w:rsidTr="00BF3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pct"/>
            <w:tcBorders>
              <w:left w:val="single" w:sz="4" w:space="0" w:color="auto"/>
            </w:tcBorders>
            <w:shd w:val="clear" w:color="auto" w:fill="auto"/>
            <w:vAlign w:val="center"/>
          </w:tcPr>
          <w:p w14:paraId="3586DD64" w14:textId="77777777" w:rsidR="00BF3F9B" w:rsidRPr="00BF3F9B" w:rsidRDefault="00BF3F9B" w:rsidP="00BF3F9B">
            <w:pPr>
              <w:pStyle w:val="TableNormal1"/>
            </w:pPr>
            <w:r w:rsidRPr="00BF3F9B">
              <w:t>BHP, psi</w:t>
            </w:r>
          </w:p>
        </w:tc>
        <w:tc>
          <w:tcPr>
            <w:tcW w:w="714" w:type="pct"/>
            <w:shd w:val="clear" w:color="auto" w:fill="auto"/>
            <w:vAlign w:val="center"/>
          </w:tcPr>
          <w:p w14:paraId="11E80FE3" w14:textId="77777777" w:rsidR="00BF3F9B" w:rsidRPr="00BF3F9B" w:rsidRDefault="00BF3F9B" w:rsidP="00BF3F9B">
            <w:pPr>
              <w:pStyle w:val="TableNormal1"/>
              <w:cnfStyle w:val="000000100000" w:firstRow="0" w:lastRow="0" w:firstColumn="0" w:lastColumn="0" w:oddVBand="0" w:evenVBand="0" w:oddHBand="1" w:evenHBand="0" w:firstRowFirstColumn="0" w:firstRowLastColumn="0" w:lastRowFirstColumn="0" w:lastRowLastColumn="0"/>
            </w:pPr>
            <w:r w:rsidRPr="00BF3F9B">
              <w:t>1500</w:t>
            </w:r>
          </w:p>
        </w:tc>
        <w:tc>
          <w:tcPr>
            <w:tcW w:w="714" w:type="pct"/>
            <w:shd w:val="clear" w:color="auto" w:fill="auto"/>
            <w:vAlign w:val="center"/>
          </w:tcPr>
          <w:p w14:paraId="0EB620AE" w14:textId="77777777" w:rsidR="00BF3F9B" w:rsidRPr="00BF3F9B" w:rsidRDefault="00BF3F9B" w:rsidP="00BF3F9B">
            <w:pPr>
              <w:pStyle w:val="TableNormal1"/>
              <w:cnfStyle w:val="000000100000" w:firstRow="0" w:lastRow="0" w:firstColumn="0" w:lastColumn="0" w:oddVBand="0" w:evenVBand="0" w:oddHBand="1" w:evenHBand="0" w:firstRowFirstColumn="0" w:firstRowLastColumn="0" w:lastRowFirstColumn="0" w:lastRowLastColumn="0"/>
            </w:pPr>
            <w:r w:rsidRPr="00BF3F9B">
              <w:t>2000</w:t>
            </w:r>
          </w:p>
        </w:tc>
        <w:tc>
          <w:tcPr>
            <w:tcW w:w="714" w:type="pct"/>
            <w:tcBorders>
              <w:right w:val="single" w:sz="4" w:space="0" w:color="auto"/>
            </w:tcBorders>
            <w:shd w:val="clear" w:color="auto" w:fill="auto"/>
            <w:vAlign w:val="center"/>
          </w:tcPr>
          <w:p w14:paraId="7C1062F0" w14:textId="77777777" w:rsidR="00BF3F9B" w:rsidRPr="00BF3F9B" w:rsidRDefault="00BF3F9B" w:rsidP="00BF3F9B">
            <w:pPr>
              <w:pStyle w:val="TableNormal1"/>
              <w:cnfStyle w:val="000000100000" w:firstRow="0" w:lastRow="0" w:firstColumn="0" w:lastColumn="0" w:oddVBand="0" w:evenVBand="0" w:oddHBand="1" w:evenHBand="0" w:firstRowFirstColumn="0" w:firstRowLastColumn="0" w:lastRowFirstColumn="0" w:lastRowLastColumn="0"/>
            </w:pPr>
            <w:r w:rsidRPr="00BF3F9B">
              <w:t>2500</w:t>
            </w:r>
          </w:p>
        </w:tc>
      </w:tr>
      <w:tr w:rsidR="00BF3F9B" w:rsidRPr="00E73B83" w14:paraId="2C3E87B6" w14:textId="77777777" w:rsidTr="00BF3F9B">
        <w:tc>
          <w:tcPr>
            <w:cnfStyle w:val="001000000000" w:firstRow="0" w:lastRow="0" w:firstColumn="1" w:lastColumn="0" w:oddVBand="0" w:evenVBand="0" w:oddHBand="0" w:evenHBand="0" w:firstRowFirstColumn="0" w:firstRowLastColumn="0" w:lastRowFirstColumn="0" w:lastRowLastColumn="0"/>
            <w:tcW w:w="2858" w:type="pct"/>
            <w:tcBorders>
              <w:left w:val="single" w:sz="4" w:space="0" w:color="auto"/>
            </w:tcBorders>
            <w:shd w:val="clear" w:color="auto" w:fill="auto"/>
            <w:vAlign w:val="center"/>
          </w:tcPr>
          <w:p w14:paraId="5E146E87" w14:textId="77777777" w:rsidR="00BF3F9B" w:rsidRPr="00BF3F9B" w:rsidRDefault="00BF3F9B" w:rsidP="00BF3F9B">
            <w:pPr>
              <w:pStyle w:val="TableNormal1"/>
            </w:pPr>
            <w:r w:rsidRPr="00BF3F9B">
              <w:t>Radon Diffusivity in Gas, ×10</w:t>
            </w:r>
            <w:r w:rsidRPr="00BF3F9B">
              <w:rPr>
                <w:vertAlign w:val="superscript"/>
              </w:rPr>
              <w:t>-5</w:t>
            </w:r>
            <w:r w:rsidRPr="00BF3F9B">
              <w:t xml:space="preserve">  m</w:t>
            </w:r>
            <w:r w:rsidRPr="00BF3F9B">
              <w:rPr>
                <w:vertAlign w:val="superscript"/>
              </w:rPr>
              <w:t>2</w:t>
            </w:r>
            <w:r w:rsidRPr="00BF3F9B">
              <w:t>/s</w:t>
            </w:r>
          </w:p>
        </w:tc>
        <w:tc>
          <w:tcPr>
            <w:tcW w:w="714" w:type="pct"/>
            <w:shd w:val="clear" w:color="auto" w:fill="auto"/>
            <w:vAlign w:val="center"/>
          </w:tcPr>
          <w:p w14:paraId="50E112E6" w14:textId="77777777" w:rsidR="00BF3F9B" w:rsidRPr="00BF3F9B" w:rsidRDefault="00BF3F9B" w:rsidP="00BF3F9B">
            <w:pPr>
              <w:pStyle w:val="TableNormal1"/>
              <w:cnfStyle w:val="000000000000" w:firstRow="0" w:lastRow="0" w:firstColumn="0" w:lastColumn="0" w:oddVBand="0" w:evenVBand="0" w:oddHBand="0" w:evenHBand="0" w:firstRowFirstColumn="0" w:firstRowLastColumn="0" w:lastRowFirstColumn="0" w:lastRowLastColumn="0"/>
            </w:pPr>
            <w:r w:rsidRPr="00BF3F9B">
              <w:t>0.75</w:t>
            </w:r>
          </w:p>
        </w:tc>
        <w:tc>
          <w:tcPr>
            <w:tcW w:w="714" w:type="pct"/>
            <w:shd w:val="clear" w:color="auto" w:fill="auto"/>
            <w:vAlign w:val="center"/>
          </w:tcPr>
          <w:p w14:paraId="659EE3EF" w14:textId="77777777" w:rsidR="00BF3F9B" w:rsidRPr="00BF3F9B" w:rsidRDefault="00BF3F9B" w:rsidP="00BF3F9B">
            <w:pPr>
              <w:pStyle w:val="TableNormal1"/>
              <w:cnfStyle w:val="000000000000" w:firstRow="0" w:lastRow="0" w:firstColumn="0" w:lastColumn="0" w:oddVBand="0" w:evenVBand="0" w:oddHBand="0" w:evenHBand="0" w:firstRowFirstColumn="0" w:firstRowLastColumn="0" w:lastRowFirstColumn="0" w:lastRowLastColumn="0"/>
            </w:pPr>
            <w:r w:rsidRPr="00BF3F9B">
              <w:t>1</w:t>
            </w:r>
          </w:p>
        </w:tc>
        <w:tc>
          <w:tcPr>
            <w:tcW w:w="714" w:type="pct"/>
            <w:tcBorders>
              <w:right w:val="single" w:sz="4" w:space="0" w:color="auto"/>
            </w:tcBorders>
            <w:shd w:val="clear" w:color="auto" w:fill="auto"/>
            <w:vAlign w:val="center"/>
          </w:tcPr>
          <w:p w14:paraId="1B9B349F" w14:textId="77777777" w:rsidR="00BF3F9B" w:rsidRPr="00BF3F9B" w:rsidRDefault="00BF3F9B" w:rsidP="00BF3F9B">
            <w:pPr>
              <w:pStyle w:val="TableNormal1"/>
              <w:cnfStyle w:val="000000000000" w:firstRow="0" w:lastRow="0" w:firstColumn="0" w:lastColumn="0" w:oddVBand="0" w:evenVBand="0" w:oddHBand="0" w:evenHBand="0" w:firstRowFirstColumn="0" w:firstRowLastColumn="0" w:lastRowFirstColumn="0" w:lastRowLastColumn="0"/>
            </w:pPr>
            <w:r w:rsidRPr="00BF3F9B">
              <w:t>1.25</w:t>
            </w:r>
          </w:p>
        </w:tc>
      </w:tr>
      <w:tr w:rsidR="00BF3F9B" w:rsidRPr="00E73B83" w14:paraId="706DC2D0" w14:textId="77777777" w:rsidTr="00BF3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pct"/>
            <w:tcBorders>
              <w:left w:val="single" w:sz="4" w:space="0" w:color="auto"/>
            </w:tcBorders>
            <w:shd w:val="clear" w:color="auto" w:fill="auto"/>
            <w:vAlign w:val="center"/>
          </w:tcPr>
          <w:p w14:paraId="75E923AF" w14:textId="77777777" w:rsidR="00BF3F9B" w:rsidRPr="00BF3F9B" w:rsidRDefault="00BF3F9B" w:rsidP="00BF3F9B">
            <w:pPr>
              <w:pStyle w:val="TableNormal1"/>
            </w:pPr>
            <w:r w:rsidRPr="00BF3F9B">
              <w:t>Water Relative Permeability in Fracture</w:t>
            </w:r>
          </w:p>
        </w:tc>
        <w:tc>
          <w:tcPr>
            <w:tcW w:w="714" w:type="pct"/>
            <w:shd w:val="clear" w:color="auto" w:fill="auto"/>
            <w:vAlign w:val="center"/>
          </w:tcPr>
          <w:p w14:paraId="0C0AF739" w14:textId="77777777" w:rsidR="00BF3F9B" w:rsidRPr="00BF3F9B" w:rsidRDefault="00BF3F9B" w:rsidP="00BF3F9B">
            <w:pPr>
              <w:pStyle w:val="TableNormal1"/>
              <w:cnfStyle w:val="000000100000" w:firstRow="0" w:lastRow="0" w:firstColumn="0" w:lastColumn="0" w:oddVBand="0" w:evenVBand="0" w:oddHBand="1" w:evenHBand="0" w:firstRowFirstColumn="0" w:firstRowLastColumn="0" w:lastRowFirstColumn="0" w:lastRowLastColumn="0"/>
            </w:pPr>
            <w:r w:rsidRPr="00BF3F9B">
              <w:t>Low</w:t>
            </w:r>
          </w:p>
        </w:tc>
        <w:tc>
          <w:tcPr>
            <w:tcW w:w="714" w:type="pct"/>
            <w:shd w:val="clear" w:color="auto" w:fill="auto"/>
            <w:vAlign w:val="center"/>
          </w:tcPr>
          <w:p w14:paraId="1BBB08EC" w14:textId="77777777" w:rsidR="00BF3F9B" w:rsidRPr="00BF3F9B" w:rsidRDefault="00BF3F9B" w:rsidP="00BF3F9B">
            <w:pPr>
              <w:pStyle w:val="TableNormal1"/>
              <w:cnfStyle w:val="000000100000" w:firstRow="0" w:lastRow="0" w:firstColumn="0" w:lastColumn="0" w:oddVBand="0" w:evenVBand="0" w:oddHBand="1" w:evenHBand="0" w:firstRowFirstColumn="0" w:firstRowLastColumn="0" w:lastRowFirstColumn="0" w:lastRowLastColumn="0"/>
            </w:pPr>
            <w:r w:rsidRPr="00BF3F9B">
              <w:t>Base</w:t>
            </w:r>
          </w:p>
        </w:tc>
        <w:tc>
          <w:tcPr>
            <w:tcW w:w="714" w:type="pct"/>
            <w:tcBorders>
              <w:right w:val="single" w:sz="4" w:space="0" w:color="auto"/>
            </w:tcBorders>
            <w:shd w:val="clear" w:color="auto" w:fill="auto"/>
            <w:vAlign w:val="center"/>
          </w:tcPr>
          <w:p w14:paraId="7151F696" w14:textId="77777777" w:rsidR="00BF3F9B" w:rsidRPr="00BF3F9B" w:rsidRDefault="00BF3F9B" w:rsidP="00BF3F9B">
            <w:pPr>
              <w:pStyle w:val="TableNormal1"/>
              <w:cnfStyle w:val="000000100000" w:firstRow="0" w:lastRow="0" w:firstColumn="0" w:lastColumn="0" w:oddVBand="0" w:evenVBand="0" w:oddHBand="1" w:evenHBand="0" w:firstRowFirstColumn="0" w:firstRowLastColumn="0" w:lastRowFirstColumn="0" w:lastRowLastColumn="0"/>
            </w:pPr>
            <w:r w:rsidRPr="00BF3F9B">
              <w:t>High</w:t>
            </w:r>
          </w:p>
        </w:tc>
      </w:tr>
      <w:tr w:rsidR="00BF3F9B" w:rsidRPr="00E73B83" w14:paraId="0E7520C3" w14:textId="77777777" w:rsidTr="00BF3F9B">
        <w:tc>
          <w:tcPr>
            <w:cnfStyle w:val="001000000000" w:firstRow="0" w:lastRow="0" w:firstColumn="1" w:lastColumn="0" w:oddVBand="0" w:evenVBand="0" w:oddHBand="0" w:evenHBand="0" w:firstRowFirstColumn="0" w:firstRowLastColumn="0" w:lastRowFirstColumn="0" w:lastRowLastColumn="0"/>
            <w:tcW w:w="2858" w:type="pct"/>
            <w:tcBorders>
              <w:left w:val="single" w:sz="4" w:space="0" w:color="auto"/>
            </w:tcBorders>
            <w:shd w:val="clear" w:color="auto" w:fill="auto"/>
            <w:vAlign w:val="center"/>
          </w:tcPr>
          <w:p w14:paraId="3DD79C2D" w14:textId="77777777" w:rsidR="00BF3F9B" w:rsidRPr="00BF3F9B" w:rsidRDefault="00BF3F9B" w:rsidP="00BF3F9B">
            <w:pPr>
              <w:pStyle w:val="TableNormal1"/>
            </w:pPr>
            <w:r w:rsidRPr="00BF3F9B">
              <w:t>Radium Concentration in Water, ×10</w:t>
            </w:r>
            <w:r w:rsidRPr="00BF3F9B">
              <w:rPr>
                <w:vertAlign w:val="superscript"/>
              </w:rPr>
              <w:t>4</w:t>
            </w:r>
            <w:r w:rsidRPr="00BF3F9B">
              <w:t xml:space="preserve"> pCi/L</w:t>
            </w:r>
          </w:p>
        </w:tc>
        <w:tc>
          <w:tcPr>
            <w:tcW w:w="714" w:type="pct"/>
            <w:shd w:val="clear" w:color="auto" w:fill="auto"/>
            <w:vAlign w:val="center"/>
          </w:tcPr>
          <w:p w14:paraId="138F3282" w14:textId="77777777" w:rsidR="00BF3F9B" w:rsidRPr="00BF3F9B" w:rsidRDefault="00BF3F9B" w:rsidP="00BF3F9B">
            <w:pPr>
              <w:pStyle w:val="TableNormal1"/>
              <w:cnfStyle w:val="000000000000" w:firstRow="0" w:lastRow="0" w:firstColumn="0" w:lastColumn="0" w:oddVBand="0" w:evenVBand="0" w:oddHBand="0" w:evenHBand="0" w:firstRowFirstColumn="0" w:firstRowLastColumn="0" w:lastRowFirstColumn="0" w:lastRowLastColumn="0"/>
            </w:pPr>
            <w:r w:rsidRPr="00BF3F9B">
              <w:t>0.8</w:t>
            </w:r>
          </w:p>
        </w:tc>
        <w:tc>
          <w:tcPr>
            <w:tcW w:w="714" w:type="pct"/>
            <w:shd w:val="clear" w:color="auto" w:fill="auto"/>
            <w:vAlign w:val="center"/>
          </w:tcPr>
          <w:p w14:paraId="779155A1" w14:textId="77777777" w:rsidR="00BF3F9B" w:rsidRPr="00BF3F9B" w:rsidRDefault="00BF3F9B" w:rsidP="00BF3F9B">
            <w:pPr>
              <w:pStyle w:val="TableNormal1"/>
              <w:cnfStyle w:val="000000000000" w:firstRow="0" w:lastRow="0" w:firstColumn="0" w:lastColumn="0" w:oddVBand="0" w:evenVBand="0" w:oddHBand="0" w:evenHBand="0" w:firstRowFirstColumn="0" w:firstRowLastColumn="0" w:lastRowFirstColumn="0" w:lastRowLastColumn="0"/>
            </w:pPr>
            <w:r w:rsidRPr="00BF3F9B">
              <w:t>1.1</w:t>
            </w:r>
          </w:p>
        </w:tc>
        <w:tc>
          <w:tcPr>
            <w:tcW w:w="714" w:type="pct"/>
            <w:tcBorders>
              <w:right w:val="single" w:sz="4" w:space="0" w:color="auto"/>
            </w:tcBorders>
            <w:shd w:val="clear" w:color="auto" w:fill="auto"/>
            <w:vAlign w:val="center"/>
          </w:tcPr>
          <w:p w14:paraId="1D8EE85E" w14:textId="77777777" w:rsidR="00BF3F9B" w:rsidRPr="00BF3F9B" w:rsidRDefault="00BF3F9B" w:rsidP="00BF3F9B">
            <w:pPr>
              <w:pStyle w:val="TableNormal1"/>
              <w:cnfStyle w:val="000000000000" w:firstRow="0" w:lastRow="0" w:firstColumn="0" w:lastColumn="0" w:oddVBand="0" w:evenVBand="0" w:oddHBand="0" w:evenHBand="0" w:firstRowFirstColumn="0" w:firstRowLastColumn="0" w:lastRowFirstColumn="0" w:lastRowLastColumn="0"/>
            </w:pPr>
            <w:r w:rsidRPr="00BF3F9B">
              <w:t>1.4</w:t>
            </w:r>
          </w:p>
        </w:tc>
      </w:tr>
      <w:tr w:rsidR="00BF3F9B" w:rsidRPr="00E73B83" w14:paraId="741F913A" w14:textId="77777777" w:rsidTr="00BF3F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pct"/>
            <w:tcBorders>
              <w:left w:val="single" w:sz="4" w:space="0" w:color="auto"/>
              <w:bottom w:val="single" w:sz="4" w:space="0" w:color="auto"/>
            </w:tcBorders>
            <w:shd w:val="clear" w:color="auto" w:fill="auto"/>
            <w:vAlign w:val="center"/>
          </w:tcPr>
          <w:p w14:paraId="3E769EAC" w14:textId="77777777" w:rsidR="00BF3F9B" w:rsidRPr="00BF3F9B" w:rsidRDefault="00BF3F9B" w:rsidP="00BF3F9B">
            <w:pPr>
              <w:pStyle w:val="TableNormal1"/>
            </w:pPr>
            <w:r w:rsidRPr="00BF3F9B">
              <w:t>Shut in Time, day</w:t>
            </w:r>
          </w:p>
        </w:tc>
        <w:tc>
          <w:tcPr>
            <w:tcW w:w="714" w:type="pct"/>
            <w:tcBorders>
              <w:bottom w:val="single" w:sz="4" w:space="0" w:color="auto"/>
            </w:tcBorders>
            <w:shd w:val="clear" w:color="auto" w:fill="auto"/>
            <w:vAlign w:val="center"/>
          </w:tcPr>
          <w:p w14:paraId="67B21169" w14:textId="77777777" w:rsidR="00BF3F9B" w:rsidRPr="00BF3F9B" w:rsidRDefault="00BF3F9B" w:rsidP="00BF3F9B">
            <w:pPr>
              <w:pStyle w:val="TableNormal1"/>
              <w:cnfStyle w:val="000000100000" w:firstRow="0" w:lastRow="0" w:firstColumn="0" w:lastColumn="0" w:oddVBand="0" w:evenVBand="0" w:oddHBand="1" w:evenHBand="0" w:firstRowFirstColumn="0" w:firstRowLastColumn="0" w:lastRowFirstColumn="0" w:lastRowLastColumn="0"/>
            </w:pPr>
            <w:r w:rsidRPr="00BF3F9B">
              <w:t>0.3</w:t>
            </w:r>
          </w:p>
        </w:tc>
        <w:tc>
          <w:tcPr>
            <w:tcW w:w="714" w:type="pct"/>
            <w:tcBorders>
              <w:bottom w:val="single" w:sz="4" w:space="0" w:color="auto"/>
            </w:tcBorders>
            <w:shd w:val="clear" w:color="auto" w:fill="auto"/>
            <w:vAlign w:val="center"/>
          </w:tcPr>
          <w:p w14:paraId="3552DCAF" w14:textId="77777777" w:rsidR="00BF3F9B" w:rsidRPr="00BF3F9B" w:rsidRDefault="00BF3F9B" w:rsidP="00BF3F9B">
            <w:pPr>
              <w:pStyle w:val="TableNormal1"/>
              <w:cnfStyle w:val="000000100000" w:firstRow="0" w:lastRow="0" w:firstColumn="0" w:lastColumn="0" w:oddVBand="0" w:evenVBand="0" w:oddHBand="1" w:evenHBand="0" w:firstRowFirstColumn="0" w:firstRowLastColumn="0" w:lastRowFirstColumn="0" w:lastRowLastColumn="0"/>
            </w:pPr>
            <w:r w:rsidRPr="00BF3F9B">
              <w:t>0.5</w:t>
            </w:r>
          </w:p>
        </w:tc>
        <w:tc>
          <w:tcPr>
            <w:tcW w:w="714" w:type="pct"/>
            <w:tcBorders>
              <w:bottom w:val="single" w:sz="4" w:space="0" w:color="auto"/>
              <w:right w:val="single" w:sz="4" w:space="0" w:color="auto"/>
            </w:tcBorders>
            <w:shd w:val="clear" w:color="auto" w:fill="auto"/>
            <w:vAlign w:val="center"/>
          </w:tcPr>
          <w:p w14:paraId="46E902DC" w14:textId="77777777" w:rsidR="00BF3F9B" w:rsidRPr="00BF3F9B" w:rsidRDefault="00BF3F9B" w:rsidP="00BF3F9B">
            <w:pPr>
              <w:pStyle w:val="TableNormal1"/>
              <w:cnfStyle w:val="000000100000" w:firstRow="0" w:lastRow="0" w:firstColumn="0" w:lastColumn="0" w:oddVBand="0" w:evenVBand="0" w:oddHBand="1" w:evenHBand="0" w:firstRowFirstColumn="0" w:firstRowLastColumn="0" w:lastRowFirstColumn="0" w:lastRowLastColumn="0"/>
            </w:pPr>
            <w:r w:rsidRPr="00BF3F9B">
              <w:t>0.7</w:t>
            </w:r>
          </w:p>
        </w:tc>
      </w:tr>
    </w:tbl>
    <w:p w14:paraId="7A136011" w14:textId="77777777" w:rsidR="001C08D5" w:rsidRPr="006E2D3B" w:rsidRDefault="001C08D5" w:rsidP="001C08D5">
      <w:pPr>
        <w:pStyle w:val="para1"/>
      </w:pPr>
    </w:p>
    <w:p w14:paraId="54597212" w14:textId="77777777" w:rsidR="001C08D5" w:rsidRPr="00E73B83" w:rsidRDefault="00BF3F9B" w:rsidP="00BF3F9B">
      <w:pPr>
        <w:pStyle w:val="TableNormal1"/>
        <w:rPr>
          <w:color w:val="000000" w:themeColor="text1"/>
        </w:rPr>
      </w:pPr>
      <w:r>
        <w:object w:dxaOrig="13710" w:dyaOrig="7350" w14:anchorId="08651707">
          <v:shape id="_x0000_i1026" type="#_x0000_t75" style="width:439.45pt;height:266.25pt" o:ole="">
            <v:imagedata r:id="rId65" o:title=""/>
          </v:shape>
          <o:OLEObject Type="Embed" ProgID="SigmaPlotGraphicObject.12" ShapeID="_x0000_i1026" DrawAspect="Content" ObjectID="_1569911239" r:id="rId66"/>
        </w:object>
      </w:r>
    </w:p>
    <w:p w14:paraId="067A0D29" w14:textId="7D83FAA6" w:rsidR="001C08D5" w:rsidRPr="00541084" w:rsidRDefault="001C08D5" w:rsidP="00BF3F9B">
      <w:pPr>
        <w:pStyle w:val="Caption"/>
        <w:rPr>
          <w:rFonts w:ascii="Times New Roman" w:hAnsi="Times New Roman"/>
          <w:szCs w:val="22"/>
        </w:rPr>
      </w:pPr>
      <w:bookmarkStart w:id="270" w:name="_Ref442877864"/>
      <w:bookmarkStart w:id="271" w:name="_Toc495144764"/>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15</w:t>
      </w:r>
      <w:r w:rsidR="00280FFF">
        <w:rPr>
          <w:szCs w:val="22"/>
        </w:rPr>
        <w:fldChar w:fldCharType="end"/>
      </w:r>
      <w:bookmarkEnd w:id="270"/>
      <w:r w:rsidRPr="00541084">
        <w:rPr>
          <w:szCs w:val="22"/>
        </w:rPr>
        <w:t>. Relative permeability curves. Modified from Cheng (2012).</w:t>
      </w:r>
      <w:bookmarkEnd w:id="271"/>
      <w:r w:rsidRPr="00541084">
        <w:rPr>
          <w:szCs w:val="22"/>
        </w:rPr>
        <w:t xml:space="preserve"> </w:t>
      </w:r>
    </w:p>
    <w:p w14:paraId="13579199" w14:textId="77777777" w:rsidR="001C08D5" w:rsidRPr="00E73B83" w:rsidRDefault="001C08D5" w:rsidP="001C08D5">
      <w:pPr>
        <w:rPr>
          <w:color w:val="000000" w:themeColor="text1"/>
        </w:rPr>
      </w:pPr>
      <w:bookmarkStart w:id="272" w:name="_Ref442878655"/>
    </w:p>
    <w:bookmarkEnd w:id="272"/>
    <w:p w14:paraId="21795ACC" w14:textId="5DE0D4C3" w:rsidR="001C08D5" w:rsidRPr="00E73B83" w:rsidRDefault="001C08D5" w:rsidP="00BF3F9B">
      <w:r w:rsidRPr="00E73B83">
        <w:t xml:space="preserve">Two tornado charts are generated regarding to radon wellhead concentration after 5 </w:t>
      </w:r>
      <w:r w:rsidRPr="00D465F8">
        <w:rPr>
          <w:i/>
        </w:rPr>
        <w:t>days</w:t>
      </w:r>
      <w:r w:rsidRPr="00E73B83">
        <w:t xml:space="preserve"> production and 7.5 </w:t>
      </w:r>
      <w:r w:rsidRPr="00D465F8">
        <w:rPr>
          <w:i/>
        </w:rPr>
        <w:t>years</w:t>
      </w:r>
      <w:r w:rsidRPr="00E73B83">
        <w:t xml:space="preserve"> production, shown in</w:t>
      </w:r>
      <w:r>
        <w:t xml:space="preserve"> </w:t>
      </w:r>
      <w:r w:rsidR="008577C1">
        <w:fldChar w:fldCharType="begin"/>
      </w:r>
      <w:r w:rsidR="008577C1">
        <w:instrText xml:space="preserve"> REF _Ref442878836 \h </w:instrText>
      </w:r>
      <w:r w:rsidR="008577C1">
        <w:fldChar w:fldCharType="separate"/>
      </w:r>
      <w:r w:rsidR="008577C1" w:rsidRPr="00EB17E5">
        <w:t xml:space="preserve">Figure </w:t>
      </w:r>
      <w:r w:rsidR="008577C1">
        <w:rPr>
          <w:noProof/>
        </w:rPr>
        <w:t>5</w:t>
      </w:r>
      <w:r w:rsidR="008577C1">
        <w:noBreakHyphen/>
      </w:r>
      <w:r w:rsidR="008577C1">
        <w:rPr>
          <w:noProof/>
        </w:rPr>
        <w:t>16</w:t>
      </w:r>
      <w:r w:rsidR="008577C1">
        <w:fldChar w:fldCharType="end"/>
      </w:r>
      <w:r w:rsidR="008577C1">
        <w:t xml:space="preserve"> and </w:t>
      </w:r>
      <w:r w:rsidR="008577C1">
        <w:fldChar w:fldCharType="begin"/>
      </w:r>
      <w:r w:rsidR="008577C1">
        <w:instrText xml:space="preserve"> REF _Ref442878841 \h </w:instrText>
      </w:r>
      <w:r w:rsidR="008577C1">
        <w:fldChar w:fldCharType="separate"/>
      </w:r>
      <w:r w:rsidR="008577C1" w:rsidRPr="00EB17E5">
        <w:t xml:space="preserve">Figure </w:t>
      </w:r>
      <w:r w:rsidR="008577C1">
        <w:rPr>
          <w:noProof/>
        </w:rPr>
        <w:t>5</w:t>
      </w:r>
      <w:r w:rsidR="008577C1">
        <w:noBreakHyphen/>
      </w:r>
      <w:r w:rsidR="008577C1">
        <w:rPr>
          <w:noProof/>
        </w:rPr>
        <w:t>17</w:t>
      </w:r>
      <w:r w:rsidR="008577C1">
        <w:fldChar w:fldCharType="end"/>
      </w:r>
      <w:r w:rsidR="00C15129">
        <w:t xml:space="preserve"> respectively. It is</w:t>
      </w:r>
      <w:r w:rsidRPr="00E73B83">
        <w:t xml:space="preserve"> notice</w:t>
      </w:r>
      <w:r w:rsidR="00C15129">
        <w:t>d</w:t>
      </w:r>
      <w:r w:rsidRPr="00E73B83">
        <w:t xml:space="preserve"> that impacts of some parameters change significantly at different times.</w:t>
      </w:r>
    </w:p>
    <w:p w14:paraId="479D1123" w14:textId="77777777" w:rsidR="001C08D5" w:rsidRPr="00E73B83" w:rsidRDefault="001C08D5" w:rsidP="001C08D5">
      <w:pPr>
        <w:pStyle w:val="para1"/>
        <w:rPr>
          <w:color w:val="000000" w:themeColor="text1"/>
        </w:rPr>
      </w:pPr>
    </w:p>
    <w:p w14:paraId="6FA73B10" w14:textId="77777777" w:rsidR="001C08D5" w:rsidRPr="00E73B83" w:rsidRDefault="001C08D5" w:rsidP="008577C1">
      <w:pPr>
        <w:pStyle w:val="TableNormal1"/>
        <w:rPr>
          <w:color w:val="000000" w:themeColor="text1"/>
        </w:rPr>
      </w:pPr>
      <w:r>
        <w:lastRenderedPageBreak/>
        <w:drawing>
          <wp:inline distT="0" distB="0" distL="0" distR="0" wp14:anchorId="29312ECD" wp14:editId="5EDD3E58">
            <wp:extent cx="5281488" cy="3313706"/>
            <wp:effectExtent l="0" t="0" r="0" b="1270"/>
            <wp:docPr id="247" name="Chart 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D91BC5C" w14:textId="3CE3EF59" w:rsidR="001C08D5" w:rsidRPr="00541084" w:rsidRDefault="001C08D5" w:rsidP="008577C1">
      <w:pPr>
        <w:pStyle w:val="Caption"/>
        <w:rPr>
          <w:szCs w:val="22"/>
        </w:rPr>
      </w:pPr>
      <w:bookmarkStart w:id="273" w:name="_Ref442878836"/>
      <w:bookmarkStart w:id="274" w:name="_Toc495144765"/>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16</w:t>
      </w:r>
      <w:r w:rsidR="00280FFF">
        <w:rPr>
          <w:szCs w:val="22"/>
        </w:rPr>
        <w:fldChar w:fldCharType="end"/>
      </w:r>
      <w:bookmarkEnd w:id="273"/>
      <w:r w:rsidRPr="00541084">
        <w:rPr>
          <w:szCs w:val="22"/>
        </w:rPr>
        <w:t>. Sensitive tornado charts after 5 days of production. Black color represents the high value and gray color stands for the low value.</w:t>
      </w:r>
      <w:bookmarkEnd w:id="274"/>
    </w:p>
    <w:p w14:paraId="5AF416D2" w14:textId="77777777" w:rsidR="001C08D5" w:rsidRPr="00E73B83" w:rsidRDefault="001C08D5" w:rsidP="001C08D5">
      <w:pPr>
        <w:pStyle w:val="FigCaption"/>
        <w:rPr>
          <w:color w:val="000000" w:themeColor="text1"/>
        </w:rPr>
      </w:pPr>
    </w:p>
    <w:p w14:paraId="611C6ACD" w14:textId="77777777" w:rsidR="001C08D5" w:rsidRPr="00E73B83" w:rsidRDefault="001C08D5" w:rsidP="008577C1">
      <w:pPr>
        <w:pStyle w:val="TableNormal1"/>
        <w:rPr>
          <w:color w:val="000000" w:themeColor="text1"/>
        </w:rPr>
      </w:pPr>
      <w:r>
        <w:drawing>
          <wp:inline distT="0" distB="0" distL="0" distR="0" wp14:anchorId="68ADA7EF" wp14:editId="6910603A">
            <wp:extent cx="5038559" cy="3289327"/>
            <wp:effectExtent l="0" t="0" r="10160" b="6350"/>
            <wp:docPr id="248" name="Chart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A3A259F" w14:textId="43101C81" w:rsidR="001C08D5" w:rsidRPr="00541084" w:rsidRDefault="001C08D5" w:rsidP="008577C1">
      <w:pPr>
        <w:pStyle w:val="Caption"/>
        <w:rPr>
          <w:szCs w:val="22"/>
        </w:rPr>
      </w:pPr>
      <w:bookmarkStart w:id="275" w:name="_Ref442878841"/>
      <w:bookmarkStart w:id="276" w:name="_Toc495144766"/>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17</w:t>
      </w:r>
      <w:r w:rsidR="00280FFF">
        <w:rPr>
          <w:szCs w:val="22"/>
        </w:rPr>
        <w:fldChar w:fldCharType="end"/>
      </w:r>
      <w:bookmarkEnd w:id="275"/>
      <w:r w:rsidRPr="00541084">
        <w:rPr>
          <w:szCs w:val="22"/>
        </w:rPr>
        <w:t>. Sensitive tornado charts after 7.5 years of production. Black color represents the high value and gray color stands for the low value.</w:t>
      </w:r>
      <w:bookmarkEnd w:id="276"/>
    </w:p>
    <w:p w14:paraId="43C214DC" w14:textId="77777777" w:rsidR="001C08D5" w:rsidRDefault="001C08D5" w:rsidP="001C08D5">
      <w:pPr>
        <w:pStyle w:val="para1"/>
        <w:ind w:left="1008" w:firstLine="0"/>
        <w:rPr>
          <w:color w:val="000000" w:themeColor="text1"/>
        </w:rPr>
      </w:pPr>
    </w:p>
    <w:p w14:paraId="07A71C6F" w14:textId="77777777" w:rsidR="008577C1" w:rsidRPr="00E73B83" w:rsidRDefault="008577C1" w:rsidP="001C08D5">
      <w:pPr>
        <w:pStyle w:val="para1"/>
        <w:ind w:left="1008" w:firstLine="0"/>
        <w:rPr>
          <w:color w:val="000000" w:themeColor="text1"/>
        </w:rPr>
      </w:pPr>
    </w:p>
    <w:p w14:paraId="30FA8001" w14:textId="77777777" w:rsidR="001C08D5" w:rsidRPr="00E73B83" w:rsidRDefault="001C08D5" w:rsidP="008577C1">
      <w:pPr>
        <w:pStyle w:val="ListParagraph"/>
        <w:numPr>
          <w:ilvl w:val="0"/>
          <w:numId w:val="12"/>
        </w:numPr>
        <w:ind w:left="720"/>
      </w:pPr>
      <w:r w:rsidRPr="00E73B83">
        <w:lastRenderedPageBreak/>
        <w:t xml:space="preserve">BHP is the most influential factor that determines radon wellhead concentration at both moments, especially in later time. At high BHP, gas rate is small. It results in low radon wellhead concentration since radon has more time to decay inside hydraulic fracture where secular equilibrium is broken. On the other hand, with lower BHP, wellhead would observe higher radon concentration. </w:t>
      </w:r>
    </w:p>
    <w:p w14:paraId="150D6A40" w14:textId="77777777" w:rsidR="001C08D5" w:rsidRPr="00E73B83" w:rsidRDefault="001C08D5" w:rsidP="008577C1">
      <w:pPr>
        <w:pStyle w:val="ListParagraph"/>
        <w:numPr>
          <w:ilvl w:val="0"/>
          <w:numId w:val="12"/>
        </w:numPr>
        <w:ind w:left="720"/>
      </w:pPr>
      <w:r w:rsidRPr="00E73B83">
        <w:t xml:space="preserve">Matrix permeability is the second influential factor. At the beginning of production, high matrix permeability brings more radon and radium to the wellbore and causes higher radon wellhead concentration. For the case with high matrix, in the later time, less radon and radium remains in the formation since majority of them are produced rapidly at the early time. This results in a lower radon wellhead concentration. </w:t>
      </w:r>
    </w:p>
    <w:p w14:paraId="3EB1E275" w14:textId="77777777" w:rsidR="001C08D5" w:rsidRPr="00E73B83" w:rsidRDefault="001C08D5" w:rsidP="008577C1">
      <w:pPr>
        <w:pStyle w:val="ListParagraph"/>
        <w:numPr>
          <w:ilvl w:val="0"/>
          <w:numId w:val="12"/>
        </w:numPr>
        <w:ind w:left="720"/>
      </w:pPr>
      <w:r w:rsidRPr="00E73B83">
        <w:t>Hydraulic fracture permeability also controls production rate as well as the radon wellhead concentration, in the same way with BHP. Thus, higher permeability causes higher radon concentration and vice versa.</w:t>
      </w:r>
    </w:p>
    <w:p w14:paraId="494967BD" w14:textId="77777777" w:rsidR="001C08D5" w:rsidRPr="00E73B83" w:rsidRDefault="001C08D5" w:rsidP="008577C1">
      <w:pPr>
        <w:pStyle w:val="ListParagraph"/>
        <w:numPr>
          <w:ilvl w:val="0"/>
          <w:numId w:val="12"/>
        </w:numPr>
        <w:ind w:left="720"/>
      </w:pPr>
      <w:r w:rsidRPr="00E73B83">
        <w:t>Hydraulic fracture half-length represents the high conductive conduit volume within the reservoir. A longer half-length means a larger hydraulic fracture and more fracking fluid could be injected into the reservoir. Therefore, radium in water is diluted more significantly. In addition, more radon will partition into the liquid phase from vapor phase. It turns out the radon concentration in gas at wellhead is lower.</w:t>
      </w:r>
    </w:p>
    <w:p w14:paraId="201D9135" w14:textId="77777777" w:rsidR="001C08D5" w:rsidRPr="00E73B83" w:rsidRDefault="001C08D5" w:rsidP="008577C1">
      <w:pPr>
        <w:pStyle w:val="ListParagraph"/>
        <w:numPr>
          <w:ilvl w:val="0"/>
          <w:numId w:val="12"/>
        </w:numPr>
        <w:ind w:left="720"/>
      </w:pPr>
      <w:r w:rsidRPr="00E73B83">
        <w:t xml:space="preserve">Relative permeability has opposite impacts in early time and later time. At the early stage, water preferred hydraulic fracture causes reservoir water with radium flows back to the wellbore faster. Consequently, high radon </w:t>
      </w:r>
      <w:r w:rsidRPr="00E73B83">
        <w:lastRenderedPageBreak/>
        <w:t xml:space="preserve">concentration occurs initially. However, the smaller water relative permeability case has higher concentrated radon gas being produced at the later time since more radium is left in the reservoir. </w:t>
      </w:r>
    </w:p>
    <w:p w14:paraId="29586609" w14:textId="77777777" w:rsidR="001C08D5" w:rsidRPr="00E73B83" w:rsidRDefault="001C08D5" w:rsidP="008577C1">
      <w:pPr>
        <w:pStyle w:val="ListParagraph"/>
        <w:numPr>
          <w:ilvl w:val="0"/>
          <w:numId w:val="12"/>
        </w:numPr>
        <w:ind w:left="720"/>
      </w:pPr>
      <w:r w:rsidRPr="00E73B83">
        <w:t xml:space="preserve">Radium concentration in reservoir initial water has minor impacts. Because radium in water only contribute a little portion of radon generation, compared with radon ejected from grains. However, if the pore size increases and radium in water plays a more important role in radon generation, the influences of this factor in a long time will increases.   </w:t>
      </w:r>
    </w:p>
    <w:p w14:paraId="3F4F418F" w14:textId="77777777" w:rsidR="001C08D5" w:rsidRPr="00E73B83" w:rsidRDefault="001C08D5" w:rsidP="008577C1">
      <w:pPr>
        <w:pStyle w:val="ListParagraph"/>
        <w:numPr>
          <w:ilvl w:val="0"/>
          <w:numId w:val="12"/>
        </w:numPr>
        <w:ind w:left="720"/>
      </w:pPr>
      <w:r w:rsidRPr="00E73B83">
        <w:t xml:space="preserve">Longer shut in time leads lower radon wellhead concentration especially at early time. Overall radon in-situ concentration decreases during the shut in period since its secular equilibrium is broken by the injected fracking fluid. Therefore, with longer shut in time, more radon will decay, resulting in less wellhead radon concentration. </w:t>
      </w:r>
    </w:p>
    <w:p w14:paraId="5E92E011" w14:textId="77777777" w:rsidR="001C08D5" w:rsidRPr="00E73B83" w:rsidRDefault="001C08D5" w:rsidP="008577C1">
      <w:pPr>
        <w:pStyle w:val="ListParagraph"/>
        <w:numPr>
          <w:ilvl w:val="0"/>
          <w:numId w:val="12"/>
        </w:numPr>
        <w:ind w:left="720"/>
      </w:pPr>
      <w:r w:rsidRPr="00E73B83">
        <w:t>Radon diffusion is the reason that causes the slow decline of radon wellhead concentration as shown in</w:t>
      </w:r>
      <w:r w:rsidR="008577C1">
        <w:t xml:space="preserve"> </w:t>
      </w:r>
      <w:r w:rsidR="008577C1">
        <w:fldChar w:fldCharType="begin"/>
      </w:r>
      <w:r w:rsidR="008577C1">
        <w:instrText xml:space="preserve"> REF _Ref442885986 \h </w:instrText>
      </w:r>
      <w:r w:rsidR="008577C1">
        <w:fldChar w:fldCharType="separate"/>
      </w:r>
      <w:r w:rsidR="008577C1" w:rsidRPr="00EB17E5">
        <w:t xml:space="preserve">Figure </w:t>
      </w:r>
      <w:r w:rsidR="008577C1">
        <w:rPr>
          <w:noProof/>
        </w:rPr>
        <w:t>5</w:t>
      </w:r>
      <w:r w:rsidR="008577C1">
        <w:noBreakHyphen/>
      </w:r>
      <w:r w:rsidR="008577C1">
        <w:rPr>
          <w:noProof/>
        </w:rPr>
        <w:t>18</w:t>
      </w:r>
      <w:r w:rsidR="008577C1">
        <w:fldChar w:fldCharType="end"/>
      </w:r>
      <w:r w:rsidRPr="00E73B83">
        <w:t>. With diffusion, radon wellhead concentration maintains at a stable level for a very long time. Its impact on early production stage is not that much significant.</w:t>
      </w:r>
    </w:p>
    <w:p w14:paraId="43AAD334" w14:textId="77777777" w:rsidR="001C08D5" w:rsidRPr="00541084" w:rsidRDefault="008577C1" w:rsidP="008577C1">
      <w:pPr>
        <w:pStyle w:val="Caption"/>
        <w:rPr>
          <w:color w:val="000000" w:themeColor="text1"/>
          <w:szCs w:val="22"/>
        </w:rPr>
      </w:pPr>
      <w:r w:rsidRPr="00541084">
        <w:rPr>
          <w:szCs w:val="22"/>
        </w:rPr>
        <w:object w:dxaOrig="9480" w:dyaOrig="7320" w14:anchorId="34487A32">
          <v:shape id="_x0000_i1027" type="#_x0000_t75" style="width:388.55pt;height:302.25pt" o:ole="">
            <v:imagedata r:id="rId69" o:title=""/>
          </v:shape>
          <o:OLEObject Type="Embed" ProgID="SigmaPlotGraphicObject.12" ShapeID="_x0000_i1027" DrawAspect="Content" ObjectID="_1569911240" r:id="rId70"/>
        </w:object>
      </w:r>
    </w:p>
    <w:p w14:paraId="0B75425E" w14:textId="2B7E0879" w:rsidR="001C08D5" w:rsidRPr="00541084" w:rsidRDefault="001C08D5" w:rsidP="008577C1">
      <w:pPr>
        <w:pStyle w:val="Caption"/>
        <w:rPr>
          <w:szCs w:val="22"/>
        </w:rPr>
      </w:pPr>
      <w:bookmarkStart w:id="277" w:name="_Ref442885986"/>
      <w:bookmarkStart w:id="278" w:name="_Toc495144767"/>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18</w:t>
      </w:r>
      <w:r w:rsidR="00280FFF">
        <w:rPr>
          <w:szCs w:val="22"/>
        </w:rPr>
        <w:fldChar w:fldCharType="end"/>
      </w:r>
      <w:bookmarkEnd w:id="277"/>
      <w:r w:rsidRPr="00541084">
        <w:rPr>
          <w:szCs w:val="22"/>
        </w:rPr>
        <w:t>. Diffusion impact on radon wellhead concentration</w:t>
      </w:r>
      <w:bookmarkEnd w:id="278"/>
    </w:p>
    <w:p w14:paraId="2C7FC6C6" w14:textId="77777777" w:rsidR="001C08D5" w:rsidRDefault="001C08D5" w:rsidP="001C08D5"/>
    <w:p w14:paraId="3CF95D5E" w14:textId="77777777" w:rsidR="001C08D5" w:rsidRDefault="001C08D5" w:rsidP="001C08D5">
      <w:pPr>
        <w:pStyle w:val="Heading3"/>
      </w:pPr>
      <w:bookmarkStart w:id="279" w:name="_Toc494014248"/>
      <w:r>
        <w:t>Discussion</w:t>
      </w:r>
      <w:bookmarkEnd w:id="279"/>
    </w:p>
    <w:p w14:paraId="457FA4E8" w14:textId="77777777" w:rsidR="002126AD" w:rsidRPr="002126AD" w:rsidRDefault="002126AD" w:rsidP="002126AD">
      <w:pPr>
        <w:pStyle w:val="Heading4"/>
      </w:pPr>
      <w:r>
        <w:t>Transport Time in Wellbore</w:t>
      </w:r>
    </w:p>
    <w:p w14:paraId="4CE6363E" w14:textId="0E1338F1" w:rsidR="008948B7" w:rsidRDefault="00BF3F9B" w:rsidP="00BF3F9B">
      <w:pPr>
        <w:rPr>
          <w:color w:val="000000" w:themeColor="text1"/>
          <w:shd w:val="clear" w:color="auto" w:fill="FFFFFF"/>
        </w:rPr>
      </w:pPr>
      <w:r>
        <w:rPr>
          <w:color w:val="000000" w:themeColor="text1"/>
        </w:rPr>
        <w:fldChar w:fldCharType="begin"/>
      </w:r>
      <w:r>
        <w:rPr>
          <w:color w:val="000000" w:themeColor="text1"/>
        </w:rPr>
        <w:instrText xml:space="preserve"> REF _Ref492050503 \h </w:instrText>
      </w:r>
      <w:r>
        <w:rPr>
          <w:color w:val="000000" w:themeColor="text1"/>
        </w:rPr>
      </w:r>
      <w:r>
        <w:rPr>
          <w:color w:val="000000" w:themeColor="text1"/>
        </w:rPr>
        <w:fldChar w:fldCharType="separate"/>
      </w:r>
      <w:r w:rsidR="008577C1" w:rsidRPr="00BF3F9B">
        <w:t xml:space="preserve">Figure </w:t>
      </w:r>
      <w:r w:rsidR="008577C1">
        <w:rPr>
          <w:noProof/>
        </w:rPr>
        <w:t>5</w:t>
      </w:r>
      <w:r w:rsidR="008577C1" w:rsidRPr="00BF3F9B">
        <w:noBreakHyphen/>
      </w:r>
      <w:r w:rsidR="008577C1">
        <w:rPr>
          <w:noProof/>
        </w:rPr>
        <w:t>19</w:t>
      </w:r>
      <w:r>
        <w:rPr>
          <w:color w:val="000000" w:themeColor="text1"/>
        </w:rPr>
        <w:fldChar w:fldCharType="end"/>
      </w:r>
      <w:r w:rsidRPr="00E73B83">
        <w:rPr>
          <w:color w:val="000000" w:themeColor="text1"/>
        </w:rPr>
        <w:t xml:space="preserve"> shows the simulation outputs of gas production rate for the cases of with and without natural fracture. The rate rapidly declines from a high initial rate to a low rate as expected, ranging</w:t>
      </w:r>
      <w:r w:rsidRPr="00E73B83">
        <w:rPr>
          <w:color w:val="000000" w:themeColor="text1"/>
          <w:shd w:val="clear" w:color="auto" w:fill="FFFFFF"/>
        </w:rPr>
        <w:t xml:space="preserve"> from 10</w:t>
      </w:r>
      <w:r w:rsidRPr="00E73B83">
        <w:rPr>
          <w:color w:val="000000" w:themeColor="text1"/>
          <w:shd w:val="clear" w:color="auto" w:fill="FFFFFF"/>
          <w:vertAlign w:val="superscript"/>
        </w:rPr>
        <w:t xml:space="preserve">5 </w:t>
      </w:r>
      <w:r w:rsidRPr="00E73B83">
        <w:rPr>
          <w:color w:val="000000" w:themeColor="text1"/>
          <w:shd w:val="clear" w:color="auto" w:fill="FFFFFF"/>
        </w:rPr>
        <w:t>to 10</w:t>
      </w:r>
      <w:r w:rsidRPr="00E73B83">
        <w:rPr>
          <w:color w:val="000000" w:themeColor="text1"/>
          <w:shd w:val="clear" w:color="auto" w:fill="FFFFFF"/>
          <w:vertAlign w:val="superscript"/>
        </w:rPr>
        <w:t>3</w:t>
      </w:r>
      <w:r w:rsidRPr="00E73B83">
        <w:rPr>
          <w:color w:val="000000" w:themeColor="text1"/>
          <w:shd w:val="clear" w:color="auto" w:fill="FFFFFF"/>
        </w:rPr>
        <w:t xml:space="preserve"> </w:t>
      </w:r>
      <w:r w:rsidRPr="004615BC">
        <w:rPr>
          <w:i/>
          <w:color w:val="000000" w:themeColor="text1"/>
          <w:shd w:val="clear" w:color="auto" w:fill="FFFFFF"/>
        </w:rPr>
        <w:t>ft/day</w:t>
      </w:r>
      <w:r w:rsidRPr="00E73B83">
        <w:rPr>
          <w:color w:val="000000" w:themeColor="text1"/>
          <w:shd w:val="clear" w:color="auto" w:fill="FFFFFF"/>
        </w:rPr>
        <w:t xml:space="preserve"> (</w:t>
      </w:r>
      <w:r>
        <w:rPr>
          <w:color w:val="000000" w:themeColor="text1"/>
          <w:shd w:val="clear" w:color="auto" w:fill="FFFFFF"/>
        </w:rPr>
        <w:fldChar w:fldCharType="begin"/>
      </w:r>
      <w:r>
        <w:rPr>
          <w:color w:val="000000" w:themeColor="text1"/>
          <w:shd w:val="clear" w:color="auto" w:fill="FFFFFF"/>
        </w:rPr>
        <w:instrText xml:space="preserve"> REF _Ref492050503 \h </w:instrText>
      </w:r>
      <w:r>
        <w:rPr>
          <w:color w:val="000000" w:themeColor="text1"/>
          <w:shd w:val="clear" w:color="auto" w:fill="FFFFFF"/>
        </w:rPr>
      </w:r>
      <w:r>
        <w:rPr>
          <w:color w:val="000000" w:themeColor="text1"/>
          <w:shd w:val="clear" w:color="auto" w:fill="FFFFFF"/>
        </w:rPr>
        <w:fldChar w:fldCharType="separate"/>
      </w:r>
      <w:r w:rsidR="008577C1" w:rsidRPr="00BF3F9B">
        <w:t xml:space="preserve">Figure </w:t>
      </w:r>
      <w:r w:rsidR="008577C1">
        <w:rPr>
          <w:noProof/>
        </w:rPr>
        <w:t>5</w:t>
      </w:r>
      <w:r w:rsidR="008577C1" w:rsidRPr="00BF3F9B">
        <w:noBreakHyphen/>
      </w:r>
      <w:r w:rsidR="008577C1">
        <w:rPr>
          <w:noProof/>
        </w:rPr>
        <w:t>19</w:t>
      </w:r>
      <w:r>
        <w:rPr>
          <w:color w:val="000000" w:themeColor="text1"/>
          <w:shd w:val="clear" w:color="auto" w:fill="FFFFFF"/>
        </w:rPr>
        <w:fldChar w:fldCharType="end"/>
      </w:r>
      <w:r w:rsidRPr="00E73B83">
        <w:rPr>
          <w:color w:val="000000" w:themeColor="text1"/>
          <w:shd w:val="clear" w:color="auto" w:fill="FFFFFF"/>
        </w:rPr>
        <w:t>). Considering such production rate is obtained from a quadran</w:t>
      </w:r>
      <w:r w:rsidR="00CB5CF3">
        <w:rPr>
          <w:color w:val="000000" w:themeColor="text1"/>
          <w:shd w:val="clear" w:color="auto" w:fill="FFFFFF"/>
        </w:rPr>
        <w:t xml:space="preserve">t of the stimulated reservoir, </w:t>
      </w:r>
      <w:r w:rsidRPr="00E73B83">
        <w:rPr>
          <w:color w:val="000000" w:themeColor="text1"/>
          <w:shd w:val="clear" w:color="auto" w:fill="FFFFFF"/>
        </w:rPr>
        <w:t>the actual gas ra</w:t>
      </w:r>
      <w:r>
        <w:rPr>
          <w:color w:val="000000" w:themeColor="text1"/>
          <w:shd w:val="clear" w:color="auto" w:fill="FFFFFF"/>
        </w:rPr>
        <w:t xml:space="preserve">te could be four times larger. </w:t>
      </w:r>
      <w:r w:rsidR="008948B7" w:rsidRPr="00E73B83">
        <w:rPr>
          <w:color w:val="000000" w:themeColor="text1"/>
          <w:shd w:val="clear" w:color="auto" w:fill="FFFFFF"/>
        </w:rPr>
        <w:t xml:space="preserve">Given the well radius is 3 </w:t>
      </w:r>
      <w:r w:rsidR="008948B7" w:rsidRPr="00AD3CF2">
        <w:rPr>
          <w:i/>
          <w:color w:val="000000" w:themeColor="text1"/>
          <w:shd w:val="clear" w:color="auto" w:fill="FFFFFF"/>
        </w:rPr>
        <w:t>in.</w:t>
      </w:r>
      <w:r w:rsidR="008948B7" w:rsidRPr="00E73B83">
        <w:rPr>
          <w:color w:val="000000" w:themeColor="text1"/>
          <w:shd w:val="clear" w:color="auto" w:fill="FFFFFF"/>
        </w:rPr>
        <w:t xml:space="preserve"> and the formation depth is 6500 </w:t>
      </w:r>
      <w:r w:rsidR="008948B7" w:rsidRPr="004615BC">
        <w:rPr>
          <w:i/>
          <w:color w:val="000000" w:themeColor="text1"/>
          <w:shd w:val="clear" w:color="auto" w:fill="FFFFFF"/>
        </w:rPr>
        <w:t>ft</w:t>
      </w:r>
      <w:r w:rsidR="008948B7" w:rsidRPr="00E73B83">
        <w:rPr>
          <w:color w:val="000000" w:themeColor="text1"/>
          <w:shd w:val="clear" w:color="auto" w:fill="FFFFFF"/>
        </w:rPr>
        <w:t xml:space="preserve">, the transport time from bottom hole to wellhead is around 0.003 to 0.3 </w:t>
      </w:r>
      <w:r w:rsidR="008948B7" w:rsidRPr="00AD3CF2">
        <w:rPr>
          <w:i/>
          <w:color w:val="000000" w:themeColor="text1"/>
          <w:shd w:val="clear" w:color="auto" w:fill="FFFFFF"/>
        </w:rPr>
        <w:t>day</w:t>
      </w:r>
      <w:r w:rsidR="008948B7" w:rsidRPr="00E73B83">
        <w:rPr>
          <w:color w:val="000000" w:themeColor="text1"/>
          <w:shd w:val="clear" w:color="auto" w:fill="FFFFFF"/>
        </w:rPr>
        <w:t xml:space="preserve">, which is at least one order smaller than the radon half-life. Therefore, it is reasonable to assume that radon decay inside wellbore is negligible. Of course, these numbers may </w:t>
      </w:r>
      <w:r w:rsidR="008948B7" w:rsidRPr="00E73B83">
        <w:rPr>
          <w:color w:val="000000" w:themeColor="text1"/>
          <w:shd w:val="clear" w:color="auto" w:fill="FFFFFF"/>
        </w:rPr>
        <w:lastRenderedPageBreak/>
        <w:t>vary case by case and radon decay inside wellbore should be considered if possible for a more comprehensive analysis.</w:t>
      </w:r>
    </w:p>
    <w:p w14:paraId="36BBB9D2" w14:textId="77777777" w:rsidR="00BF3F9B" w:rsidRPr="00E73B83" w:rsidRDefault="00BF3F9B" w:rsidP="00BF3F9B">
      <w:pPr>
        <w:pStyle w:val="TableNormal1"/>
        <w:rPr>
          <w:color w:val="000000" w:themeColor="text1"/>
        </w:rPr>
      </w:pPr>
      <w:r>
        <w:object w:dxaOrig="9555" w:dyaOrig="7305" w14:anchorId="5B84A3EF">
          <v:shape id="_x0000_i1028" type="#_x0000_t75" style="width:403.45pt;height:309.75pt" o:ole="">
            <v:imagedata r:id="rId71" o:title=""/>
          </v:shape>
          <o:OLEObject Type="Embed" ProgID="SigmaPlotGraphicObject.12" ShapeID="_x0000_i1028" DrawAspect="Content" ObjectID="_1569911241" r:id="rId72"/>
        </w:object>
      </w:r>
    </w:p>
    <w:p w14:paraId="5AD48A33" w14:textId="75008FB3" w:rsidR="00BF3F9B" w:rsidRPr="00541084" w:rsidRDefault="00BF3F9B" w:rsidP="00BF3F9B">
      <w:pPr>
        <w:pStyle w:val="Caption"/>
        <w:rPr>
          <w:szCs w:val="22"/>
        </w:rPr>
      </w:pPr>
      <w:bookmarkStart w:id="280" w:name="_Ref445469256"/>
      <w:r w:rsidRPr="00541084">
        <w:rPr>
          <w:szCs w:val="22"/>
        </w:rPr>
        <w:t xml:space="preserve">              </w:t>
      </w:r>
      <w:bookmarkStart w:id="281" w:name="_Ref492050503"/>
      <w:bookmarkStart w:id="282" w:name="_Toc495144768"/>
      <w:r w:rsidRPr="00541084">
        <w:rPr>
          <w:szCs w:val="22"/>
        </w:rPr>
        <w:t xml:space="preserve">Figure </w:t>
      </w:r>
      <w:r w:rsidR="00280FFF">
        <w:rPr>
          <w:szCs w:val="22"/>
        </w:rPr>
        <w:fldChar w:fldCharType="begin"/>
      </w:r>
      <w:r w:rsidR="00280FFF">
        <w:rPr>
          <w:szCs w:val="22"/>
        </w:rPr>
        <w:instrText xml:space="preserve"> STYLEREF 1 \s </w:instrText>
      </w:r>
      <w:r w:rsidR="00280FFF">
        <w:rPr>
          <w:szCs w:val="22"/>
        </w:rPr>
        <w:fldChar w:fldCharType="separate"/>
      </w:r>
      <w:r w:rsidR="00280FFF">
        <w:rPr>
          <w:noProof/>
          <w:szCs w:val="22"/>
        </w:rPr>
        <w:t>5</w:t>
      </w:r>
      <w:r w:rsidR="00280FFF">
        <w:rPr>
          <w:szCs w:val="22"/>
        </w:rPr>
        <w:fldChar w:fldCharType="end"/>
      </w:r>
      <w:r w:rsidR="00280FFF">
        <w:rPr>
          <w:szCs w:val="22"/>
        </w:rPr>
        <w:noBreakHyphen/>
      </w:r>
      <w:r w:rsidR="00280FFF">
        <w:rPr>
          <w:szCs w:val="22"/>
        </w:rPr>
        <w:fldChar w:fldCharType="begin"/>
      </w:r>
      <w:r w:rsidR="00280FFF">
        <w:rPr>
          <w:szCs w:val="22"/>
        </w:rPr>
        <w:instrText xml:space="preserve"> SEQ Figure \* ARABIC \s 1 </w:instrText>
      </w:r>
      <w:r w:rsidR="00280FFF">
        <w:rPr>
          <w:szCs w:val="22"/>
        </w:rPr>
        <w:fldChar w:fldCharType="separate"/>
      </w:r>
      <w:r w:rsidR="00280FFF">
        <w:rPr>
          <w:noProof/>
          <w:szCs w:val="22"/>
        </w:rPr>
        <w:t>19</w:t>
      </w:r>
      <w:r w:rsidR="00280FFF">
        <w:rPr>
          <w:szCs w:val="22"/>
        </w:rPr>
        <w:fldChar w:fldCharType="end"/>
      </w:r>
      <w:bookmarkEnd w:id="280"/>
      <w:bookmarkEnd w:id="281"/>
      <w:r w:rsidRPr="00541084">
        <w:rPr>
          <w:szCs w:val="22"/>
        </w:rPr>
        <w:t>. Gas production rate of two cases</w:t>
      </w:r>
      <w:bookmarkEnd w:id="282"/>
    </w:p>
    <w:p w14:paraId="26C6A95C" w14:textId="77777777" w:rsidR="00BF3F9B" w:rsidRPr="00E73B83" w:rsidRDefault="00BF3F9B" w:rsidP="00BF3F9B">
      <w:pPr>
        <w:rPr>
          <w:color w:val="000000" w:themeColor="text1"/>
          <w:shd w:val="clear" w:color="auto" w:fill="FFFFFF"/>
        </w:rPr>
      </w:pPr>
    </w:p>
    <w:p w14:paraId="2E5BF84D" w14:textId="77777777" w:rsidR="008948B7" w:rsidRDefault="002126AD" w:rsidP="002126AD">
      <w:pPr>
        <w:pStyle w:val="Heading4"/>
      </w:pPr>
      <w:r>
        <w:t>Radon Production</w:t>
      </w:r>
    </w:p>
    <w:p w14:paraId="19517F90" w14:textId="349EC828" w:rsidR="002126AD" w:rsidRDefault="00C15129" w:rsidP="002126AD">
      <w:r>
        <w:t>Section 5.3</w:t>
      </w:r>
      <w:r w:rsidR="002126AD">
        <w:t xml:space="preserve"> </w:t>
      </w:r>
      <w:r w:rsidR="002126AD" w:rsidRPr="009B1899">
        <w:t xml:space="preserve">present formulas to capture the radon generation process in </w:t>
      </w:r>
      <w:r>
        <w:t xml:space="preserve">slit and </w:t>
      </w:r>
      <w:r w:rsidR="002126AD" w:rsidRPr="009B1899">
        <w:t xml:space="preserve">spherical pores, considering the fluid stopping power and radium existence in pore space. </w:t>
      </w:r>
      <w:r>
        <w:t>The</w:t>
      </w:r>
      <w:r w:rsidR="002126AD" w:rsidRPr="009B1899">
        <w:t xml:space="preserve"> primary result</w:t>
      </w:r>
      <w:r w:rsidR="002126AD">
        <w:t xml:space="preserve"> indicates that</w:t>
      </w:r>
      <w:r w:rsidR="002126AD" w:rsidRPr="009B1899">
        <w:t xml:space="preserve"> the pore </w:t>
      </w:r>
      <w:r w:rsidR="002126AD">
        <w:t>shape</w:t>
      </w:r>
      <w:r w:rsidR="002126AD" w:rsidRPr="009B1899">
        <w:t xml:space="preserve"> as well as pore size distribution </w:t>
      </w:r>
      <w:r w:rsidR="002126AD">
        <w:t xml:space="preserve">strongly influence the </w:t>
      </w:r>
      <w:r w:rsidR="002126AD" w:rsidRPr="00DA6907">
        <w:rPr>
          <w:i/>
        </w:rPr>
        <w:t>in-situ</w:t>
      </w:r>
      <w:r w:rsidR="002126AD">
        <w:t xml:space="preserve"> r</w:t>
      </w:r>
      <w:r w:rsidR="002126AD" w:rsidRPr="009B1899">
        <w:t xml:space="preserve">adon concentration, which in turn will directly affect </w:t>
      </w:r>
      <w:r w:rsidR="002126AD">
        <w:t>the wellhead radon</w:t>
      </w:r>
      <w:r>
        <w:t xml:space="preserve"> concentration. The</w:t>
      </w:r>
      <w:r w:rsidR="002126AD" w:rsidRPr="009B1899">
        <w:t xml:space="preserve"> simulation utilized representative data of Marcellus shale and revealed that </w:t>
      </w:r>
      <w:r w:rsidR="002126AD">
        <w:t>wellhead radon</w:t>
      </w:r>
      <w:r w:rsidR="002126AD" w:rsidRPr="009B1899">
        <w:t xml:space="preserve"> concentration increases from 36 </w:t>
      </w:r>
      <w:r w:rsidR="002126AD" w:rsidRPr="009B1899">
        <w:rPr>
          <w:i/>
        </w:rPr>
        <w:t>pCi/L</w:t>
      </w:r>
      <w:r w:rsidR="002126AD" w:rsidRPr="009B1899">
        <w:t xml:space="preserve"> to 1</w:t>
      </w:r>
      <w:r w:rsidR="002126AD">
        <w:t>1</w:t>
      </w:r>
      <w:r w:rsidR="002126AD" w:rsidRPr="009B1899">
        <w:t xml:space="preserve">0 </w:t>
      </w:r>
      <w:r w:rsidR="002126AD" w:rsidRPr="009B1899">
        <w:rPr>
          <w:i/>
        </w:rPr>
        <w:t>pCi/L</w:t>
      </w:r>
      <w:r w:rsidR="002126AD" w:rsidRPr="009B1899">
        <w:t xml:space="preserve">. This result is in </w:t>
      </w:r>
      <w:r w:rsidR="002126AD">
        <w:t>agreement</w:t>
      </w:r>
      <w:r w:rsidR="002126AD" w:rsidRPr="009B1899">
        <w:t xml:space="preserve"> with the field measurement</w:t>
      </w:r>
      <w:r w:rsidR="002126AD">
        <w:t xml:space="preserve"> </w:t>
      </w:r>
      <w:r w:rsidR="000B7254">
        <w:t>(USGS 2012)</w:t>
      </w:r>
      <w:r w:rsidR="002126AD">
        <w:t xml:space="preserve"> that</w:t>
      </w:r>
      <w:r w:rsidR="002126AD" w:rsidRPr="009B1899">
        <w:t xml:space="preserve"> pointed </w:t>
      </w:r>
      <w:r w:rsidR="002126AD" w:rsidRPr="009B1899">
        <w:lastRenderedPageBreak/>
        <w:t xml:space="preserve">out the on-site radon concentration in Marcellus shale ranged from 1 </w:t>
      </w:r>
      <w:r w:rsidR="002126AD" w:rsidRPr="009B1899">
        <w:rPr>
          <w:i/>
        </w:rPr>
        <w:t>pCi/L</w:t>
      </w:r>
      <w:r w:rsidR="002126AD" w:rsidRPr="009B1899">
        <w:t xml:space="preserve"> to 79 </w:t>
      </w:r>
      <w:r w:rsidR="002126AD" w:rsidRPr="009B1899">
        <w:rPr>
          <w:i/>
        </w:rPr>
        <w:t>pCi/L</w:t>
      </w:r>
      <w:r w:rsidR="002126AD" w:rsidRPr="009B1899">
        <w:t>, with a medi</w:t>
      </w:r>
      <w:r w:rsidR="002126AD">
        <w:t>an</w:t>
      </w:r>
      <w:r w:rsidR="002126AD" w:rsidRPr="009B1899">
        <w:t xml:space="preserve"> value of 37 </w:t>
      </w:r>
      <w:r w:rsidR="002126AD" w:rsidRPr="009B1899">
        <w:rPr>
          <w:i/>
        </w:rPr>
        <w:t>pCi/L</w:t>
      </w:r>
      <w:r w:rsidR="002126AD" w:rsidRPr="009B1899">
        <w:t xml:space="preserve">. In addition, the radon </w:t>
      </w:r>
      <w:r w:rsidR="002126AD" w:rsidRPr="001004E1">
        <w:rPr>
          <w:i/>
        </w:rPr>
        <w:t>in-situ</w:t>
      </w:r>
      <w:r w:rsidR="002126AD" w:rsidRPr="009B1899">
        <w:t xml:space="preserve"> concentration near </w:t>
      </w:r>
      <w:r w:rsidR="002126AD">
        <w:t xml:space="preserve">the </w:t>
      </w:r>
      <w:r w:rsidR="002126AD" w:rsidRPr="009B1899">
        <w:t xml:space="preserve">hydraulic fracture influences radon production in early time, while the impact of radon that is far away from fracture affects at late time. </w:t>
      </w:r>
      <w:r w:rsidR="002126AD">
        <w:t xml:space="preserve">More importantly, </w:t>
      </w:r>
      <w:r w:rsidR="00304B8E">
        <w:t>simulation</w:t>
      </w:r>
      <w:r w:rsidR="002126AD" w:rsidRPr="009B1899">
        <w:t xml:space="preserve"> result</w:t>
      </w:r>
      <w:r w:rsidR="002126AD">
        <w:t>s indicate</w:t>
      </w:r>
      <w:r w:rsidR="002126AD" w:rsidRPr="009B1899">
        <w:t xml:space="preserve"> that radon production </w:t>
      </w:r>
      <w:r w:rsidR="002126AD">
        <w:t>is truly above the safe standard and it is inde</w:t>
      </w:r>
      <w:r w:rsidR="002126AD" w:rsidRPr="009B1899">
        <w:t xml:space="preserve">ed a potential hazard to the public health and environment. </w:t>
      </w:r>
    </w:p>
    <w:p w14:paraId="669765C4" w14:textId="77777777" w:rsidR="002126AD" w:rsidRDefault="002126AD" w:rsidP="002126AD">
      <w:r>
        <w:t>T</w:t>
      </w:r>
      <w:r w:rsidRPr="009B1899">
        <w:t>ransport time</w:t>
      </w:r>
      <w:r>
        <w:t xml:space="preserve"> in surface facility from wellhead to consumers</w:t>
      </w:r>
      <w:r w:rsidRPr="009B1899">
        <w:t xml:space="preserve"> could reduce the radon level</w:t>
      </w:r>
      <w:r>
        <w:t>s</w:t>
      </w:r>
      <w:r w:rsidRPr="009B1899">
        <w:t xml:space="preserve">, but radon may still </w:t>
      </w:r>
      <w:r>
        <w:t>be dangerous to</w:t>
      </w:r>
      <w:r w:rsidRPr="009B1899">
        <w:t xml:space="preserve"> human health. For example, assum</w:t>
      </w:r>
      <w:r>
        <w:t>ing</w:t>
      </w:r>
      <w:r w:rsidRPr="009B1899">
        <w:t xml:space="preserve"> it takes natural gas one week to be transported from wellhead to users, radon </w:t>
      </w:r>
      <w:r>
        <w:t xml:space="preserve">will </w:t>
      </w:r>
      <w:r w:rsidRPr="009B1899">
        <w:t xml:space="preserve">decay to approximately 25% of its original concentration considering 3.8 </w:t>
      </w:r>
      <w:r w:rsidRPr="009B1899">
        <w:rPr>
          <w:i/>
        </w:rPr>
        <w:t>days</w:t>
      </w:r>
      <w:r w:rsidRPr="009B1899">
        <w:t xml:space="preserve"> half-life. That is to say, the radon concentration that entered residential buildings would be in the range of 9 to 25 </w:t>
      </w:r>
      <w:r w:rsidRPr="009B1899">
        <w:rPr>
          <w:i/>
        </w:rPr>
        <w:t xml:space="preserve">pCi/L </w:t>
      </w:r>
      <w:r w:rsidRPr="009B1899">
        <w:t xml:space="preserve">(based on </w:t>
      </w:r>
      <w:r>
        <w:t>Case A</w:t>
      </w:r>
      <w:r w:rsidRPr="009B1899">
        <w:t xml:space="preserve">), which is far above the safe standard </w:t>
      </w:r>
      <w:r>
        <w:t xml:space="preserve">of </w:t>
      </w:r>
      <w:r w:rsidRPr="009B1899">
        <w:t xml:space="preserve">4 </w:t>
      </w:r>
      <w:r w:rsidRPr="009B1899">
        <w:rPr>
          <w:i/>
        </w:rPr>
        <w:t>pCi/L</w:t>
      </w:r>
      <w:r w:rsidRPr="009B1899">
        <w:t>. Therefore, radon monitoring and protection should be implemented during Marcellus shale gas development.</w:t>
      </w:r>
    </w:p>
    <w:p w14:paraId="592801B8" w14:textId="77777777" w:rsidR="001C08D5" w:rsidRPr="00E73B83" w:rsidRDefault="001C08D5" w:rsidP="008577C1">
      <w:pPr>
        <w:rPr>
          <w:color w:val="000000" w:themeColor="text1"/>
        </w:rPr>
      </w:pPr>
      <w:r w:rsidRPr="00E73B83">
        <w:rPr>
          <w:color w:val="000000" w:themeColor="text1"/>
        </w:rPr>
        <w:t xml:space="preserve">There are three apparent trends from the sensitivity analysis. First, radon concentration is strongly related with gas production rate. If the gas flows fast, radon shall have less time to decay and its wellhead concentration is higher. On the other hand, if the gas flow is slow, radon will decay more before it approaches the surface, so that the wellhead concentration would be lower. Second, water injected for fracturing will dilute radon concentration in gas as well as radium in water and it turns out to decrease the radon wellhead concentration. This observation implies that a long hydraulic fracture, which is beneficial to production, reduces the radon release. Third, </w:t>
      </w:r>
      <w:r w:rsidRPr="00E73B83">
        <w:rPr>
          <w:color w:val="000000" w:themeColor="text1"/>
        </w:rPr>
        <w:lastRenderedPageBreak/>
        <w:t>radon wellhead concentration is sensitive to radium content in reservoir. With less radium in water, the radon wellhead concentration would be lower.</w:t>
      </w:r>
    </w:p>
    <w:p w14:paraId="6ED6D0CC" w14:textId="77777777" w:rsidR="001C08D5" w:rsidRPr="00E73B83" w:rsidRDefault="001C08D5" w:rsidP="008577C1">
      <w:pPr>
        <w:rPr>
          <w:color w:val="000000" w:themeColor="text1"/>
        </w:rPr>
      </w:pPr>
      <w:r w:rsidRPr="00E73B83">
        <w:rPr>
          <w:color w:val="000000" w:themeColor="text1"/>
        </w:rPr>
        <w:t xml:space="preserve">According to the above study, radon hazard, especially at the early stage, could be remedied more or less by controlling production rate. Therefore, it may change the current shale gas development protocols for the benefit of environments and public health. Reducing radium concentration near the wellbore could be another way to resolve the problem. Yet, how to successfully implement the treatment needs further investigations. </w:t>
      </w:r>
    </w:p>
    <w:p w14:paraId="421523F6" w14:textId="77777777" w:rsidR="001C08D5" w:rsidRDefault="001C08D5" w:rsidP="008577C1">
      <w:pPr>
        <w:rPr>
          <w:color w:val="000000" w:themeColor="text1"/>
        </w:rPr>
      </w:pPr>
      <w:r w:rsidRPr="00E73B83">
        <w:rPr>
          <w:color w:val="000000" w:themeColor="text1"/>
        </w:rPr>
        <w:t>The uranium and radium concentration and their distributions in the reservoir will intensively affect the radon wellhead concentration. The pore size distribution is also an important influential factor. More thoroughly measured data will help increase the accuracy of the predicted radon wellhead concentration. Another approximation is the slit pore shape. A cylindrical structure will result in a different radon in-situ concentration and the analysis should be straightforward.</w:t>
      </w:r>
    </w:p>
    <w:p w14:paraId="401165F7" w14:textId="77777777" w:rsidR="001C08D5" w:rsidRDefault="001C08D5" w:rsidP="001C08D5"/>
    <w:p w14:paraId="76818726" w14:textId="77777777" w:rsidR="002126AD" w:rsidRPr="006E2D3B" w:rsidRDefault="002126AD" w:rsidP="002126AD">
      <w:pPr>
        <w:pStyle w:val="Heading4"/>
      </w:pPr>
      <w:r w:rsidRPr="006E2D3B">
        <w:t>Comparison of Radon Concentration between Sandstone and Shale:</w:t>
      </w:r>
    </w:p>
    <w:p w14:paraId="622AB583" w14:textId="7435AD49" w:rsidR="002126AD" w:rsidRPr="006E2D3B" w:rsidRDefault="002126AD" w:rsidP="002126AD">
      <w:pPr>
        <w:rPr>
          <w:shd w:val="clear" w:color="auto" w:fill="FFFFFF"/>
        </w:rPr>
      </w:pPr>
      <w:r w:rsidRPr="006E2D3B">
        <w:rPr>
          <w:shd w:val="clear" w:color="auto" w:fill="FFFFFF"/>
        </w:rPr>
        <w:t xml:space="preserve">Generally, uranium concentration is less in sandstone than shale. Since </w:t>
      </w:r>
      <w:r w:rsidR="00C15129">
        <w:rPr>
          <w:shd w:val="clear" w:color="auto" w:fill="FFFFFF"/>
        </w:rPr>
        <w:t xml:space="preserve">uranium is the source of radon, </w:t>
      </w:r>
      <w:r w:rsidRPr="006E2D3B">
        <w:rPr>
          <w:shd w:val="clear" w:color="auto" w:fill="FFFFFF"/>
        </w:rPr>
        <w:t>lower radon concentration from sandstone</w:t>
      </w:r>
      <w:r w:rsidR="00C15129">
        <w:rPr>
          <w:shd w:val="clear" w:color="auto" w:fill="FFFFFF"/>
        </w:rPr>
        <w:t xml:space="preserve"> is expected</w:t>
      </w:r>
      <w:r w:rsidRPr="006E2D3B">
        <w:rPr>
          <w:shd w:val="clear" w:color="auto" w:fill="FFFFFF"/>
        </w:rPr>
        <w:t xml:space="preserve">. However, this is not always true. Rowan and Kraemer (2012) reported radon activity in sandstone gas from Pennsylvania was 7-65 pCi/L, which is in the same order with the radon concentration in shale gas from the same location. There are several hypotheses to explain the quantity. First, these two formations contain similar level of uranium since </w:t>
      </w:r>
      <w:r w:rsidRPr="006E2D3B">
        <w:rPr>
          <w:shd w:val="clear" w:color="auto" w:fill="FFFFFF"/>
        </w:rPr>
        <w:lastRenderedPageBreak/>
        <w:t xml:space="preserve">they are close in location. Second, radon may find a way to migrate from shale to sandstone. Nevertheless, these explanations have not been rigorously investigated. </w:t>
      </w:r>
    </w:p>
    <w:p w14:paraId="1B825469" w14:textId="4EE67592" w:rsidR="002126AD" w:rsidRPr="006E2D3B" w:rsidRDefault="00304B8E" w:rsidP="002126AD">
      <w:pPr>
        <w:rPr>
          <w:shd w:val="clear" w:color="auto" w:fill="FFFFFF"/>
        </w:rPr>
      </w:pPr>
      <w:r>
        <w:rPr>
          <w:shd w:val="clear" w:color="auto" w:fill="FFFFFF"/>
        </w:rPr>
        <w:t>Literature survey indicates that t</w:t>
      </w:r>
      <w:r w:rsidR="002126AD" w:rsidRPr="006E2D3B">
        <w:rPr>
          <w:shd w:val="clear" w:color="auto" w:fill="FFFFFF"/>
        </w:rPr>
        <w:t xml:space="preserve">here is very limited reported measurement of radon concentration in sandstone gas production. The measurement mentioned above indicates that the radon from sandstone could be a concern. On the other hand, </w:t>
      </w:r>
      <w:r w:rsidR="00C15129">
        <w:rPr>
          <w:shd w:val="clear" w:color="auto" w:fill="FFFFFF"/>
        </w:rPr>
        <w:t>it is also necessary</w:t>
      </w:r>
      <w:r w:rsidR="002126AD" w:rsidRPr="006E2D3B">
        <w:rPr>
          <w:shd w:val="clear" w:color="auto" w:fill="FFFFFF"/>
        </w:rPr>
        <w:t xml:space="preserve"> keep in mind that the radon release should be analyzed case by case. Radon production is related with pore size, reservoir characteristics, uranium and radium concentrations, etc. </w:t>
      </w:r>
      <w:r w:rsidR="00B721FC">
        <w:rPr>
          <w:shd w:val="clear" w:color="auto" w:fill="FFFFFF"/>
        </w:rPr>
        <w:t>It is not reasonable to conclude that</w:t>
      </w:r>
      <w:r w:rsidR="002126AD" w:rsidRPr="006E2D3B">
        <w:rPr>
          <w:shd w:val="clear" w:color="auto" w:fill="FFFFFF"/>
        </w:rPr>
        <w:t xml:space="preserve"> shale gas must have the radon issue or sandstone gas does not. Thorough research and investigation of the target formation are required before making the conclusion.</w:t>
      </w:r>
    </w:p>
    <w:p w14:paraId="71ECF03F" w14:textId="77777777" w:rsidR="002126AD" w:rsidRPr="00E73B83" w:rsidRDefault="002126AD" w:rsidP="002126AD">
      <w:pPr>
        <w:pStyle w:val="Heading2"/>
        <w:numPr>
          <w:ilvl w:val="0"/>
          <w:numId w:val="0"/>
        </w:numPr>
      </w:pPr>
      <w:bookmarkStart w:id="283" w:name="_Toc494014249"/>
      <w:r w:rsidRPr="00E73B83">
        <w:t>Nomenclature</w:t>
      </w:r>
      <w:bookmarkEnd w:id="283"/>
    </w:p>
    <w:p w14:paraId="29C99241" w14:textId="77777777" w:rsidR="002126AD" w:rsidRPr="00C11CA2" w:rsidRDefault="002126AD" w:rsidP="00C11CA2">
      <w:pPr>
        <w:pStyle w:val="para"/>
        <w:spacing w:line="480" w:lineRule="auto"/>
        <w:ind w:firstLine="0"/>
        <w:rPr>
          <w:b/>
          <w:color w:val="000000" w:themeColor="text1"/>
          <w:sz w:val="24"/>
          <w:szCs w:val="24"/>
        </w:rPr>
      </w:pPr>
      <w:r w:rsidRPr="00C11CA2">
        <w:rPr>
          <w:b/>
          <w:color w:val="000000" w:themeColor="text1"/>
          <w:sz w:val="24"/>
          <w:szCs w:val="24"/>
        </w:rPr>
        <w:t>Normal</w:t>
      </w:r>
      <w:r w:rsidRPr="00C11CA2">
        <w:rPr>
          <w:b/>
          <w:color w:val="000000" w:themeColor="text1"/>
          <w:sz w:val="24"/>
          <w:szCs w:val="24"/>
        </w:rPr>
        <w:tab/>
      </w:r>
    </w:p>
    <w:p w14:paraId="34FC9AB6" w14:textId="77777777" w:rsidR="002126AD" w:rsidRPr="00C11CA2" w:rsidRDefault="002126AD" w:rsidP="00C11CA2">
      <w:pPr>
        <w:pStyle w:val="Nomenclature"/>
        <w:spacing w:line="480" w:lineRule="auto"/>
        <w:rPr>
          <w:color w:val="000000" w:themeColor="text1"/>
          <w:sz w:val="24"/>
          <w:szCs w:val="24"/>
        </w:rPr>
      </w:pPr>
      <w:r w:rsidRPr="00C11CA2">
        <w:rPr>
          <w:color w:val="000000" w:themeColor="text1"/>
          <w:sz w:val="24"/>
          <w:szCs w:val="24"/>
        </w:rPr>
        <w:t>A</w:t>
      </w:r>
      <w:r w:rsidRPr="00C11CA2">
        <w:rPr>
          <w:color w:val="000000" w:themeColor="text1"/>
          <w:sz w:val="24"/>
          <w:szCs w:val="24"/>
        </w:rPr>
        <w:tab/>
      </w:r>
      <w:r w:rsidRPr="00C11CA2">
        <w:rPr>
          <w:color w:val="000000" w:themeColor="text1"/>
          <w:sz w:val="24"/>
          <w:szCs w:val="24"/>
        </w:rPr>
        <w:tab/>
        <w:t xml:space="preserve">=radioactivity, </w:t>
      </w:r>
      <w:r w:rsidR="0006219F" w:rsidRPr="00C11CA2">
        <w:rPr>
          <w:color w:val="000000" w:themeColor="text1"/>
          <w:sz w:val="24"/>
          <w:szCs w:val="24"/>
        </w:rPr>
        <w:t>T</w:t>
      </w:r>
      <w:r w:rsidR="0006219F" w:rsidRPr="00C11CA2">
        <w:rPr>
          <w:color w:val="000000" w:themeColor="text1"/>
          <w:sz w:val="24"/>
          <w:szCs w:val="24"/>
          <w:vertAlign w:val="superscript"/>
        </w:rPr>
        <w:t>-1</w:t>
      </w:r>
      <w:r w:rsidR="0006219F" w:rsidRPr="00C11CA2">
        <w:rPr>
          <w:color w:val="000000" w:themeColor="text1"/>
          <w:sz w:val="24"/>
          <w:szCs w:val="24"/>
        </w:rPr>
        <w:t>L</w:t>
      </w:r>
      <w:r w:rsidR="0006219F" w:rsidRPr="00C11CA2">
        <w:rPr>
          <w:color w:val="000000" w:themeColor="text1"/>
          <w:sz w:val="24"/>
          <w:szCs w:val="24"/>
          <w:vertAlign w:val="superscript"/>
        </w:rPr>
        <w:t>-3</w:t>
      </w:r>
    </w:p>
    <w:p w14:paraId="59C7FC73" w14:textId="77777777" w:rsidR="0006219F" w:rsidRPr="00C11CA2" w:rsidRDefault="0006219F" w:rsidP="00C11CA2">
      <w:pPr>
        <w:pStyle w:val="Nomenclature"/>
        <w:spacing w:line="480" w:lineRule="auto"/>
        <w:rPr>
          <w:color w:val="000000" w:themeColor="text1"/>
          <w:sz w:val="24"/>
          <w:szCs w:val="24"/>
        </w:rPr>
      </w:pPr>
      <w:r w:rsidRPr="00C11CA2">
        <w:rPr>
          <w:color w:val="000000" w:themeColor="text1"/>
          <w:sz w:val="24"/>
          <w:szCs w:val="24"/>
        </w:rPr>
        <w:t>a</w:t>
      </w:r>
      <w:r w:rsidRPr="00C11CA2">
        <w:rPr>
          <w:color w:val="000000" w:themeColor="text1"/>
          <w:sz w:val="24"/>
          <w:szCs w:val="24"/>
        </w:rPr>
        <w:tab/>
      </w:r>
      <w:r w:rsidRPr="00C11CA2">
        <w:rPr>
          <w:color w:val="000000" w:themeColor="text1"/>
          <w:sz w:val="24"/>
          <w:szCs w:val="24"/>
        </w:rPr>
        <w:tab/>
        <w:t>=one parameter, L</w:t>
      </w:r>
    </w:p>
    <w:p w14:paraId="682CBACA" w14:textId="77777777" w:rsidR="0006219F" w:rsidRPr="00C11CA2" w:rsidRDefault="0006219F" w:rsidP="00C11CA2">
      <w:pPr>
        <w:pStyle w:val="Nomenclature"/>
        <w:spacing w:line="480" w:lineRule="auto"/>
        <w:rPr>
          <w:color w:val="000000" w:themeColor="text1"/>
          <w:sz w:val="24"/>
          <w:szCs w:val="24"/>
        </w:rPr>
      </w:pPr>
      <w:r w:rsidRPr="00C11CA2">
        <w:rPr>
          <w:color w:val="000000" w:themeColor="text1"/>
          <w:sz w:val="24"/>
          <w:szCs w:val="24"/>
        </w:rPr>
        <w:t>b</w:t>
      </w:r>
      <w:r w:rsidRPr="00C11CA2">
        <w:rPr>
          <w:color w:val="000000" w:themeColor="text1"/>
          <w:sz w:val="24"/>
          <w:szCs w:val="24"/>
        </w:rPr>
        <w:tab/>
      </w:r>
      <w:r w:rsidRPr="00C11CA2">
        <w:rPr>
          <w:color w:val="000000" w:themeColor="text1"/>
          <w:sz w:val="24"/>
          <w:szCs w:val="24"/>
        </w:rPr>
        <w:tab/>
        <w:t>=one parameter, L</w:t>
      </w:r>
    </w:p>
    <w:p w14:paraId="1706D09F" w14:textId="77777777" w:rsidR="002126AD" w:rsidRPr="00C11CA2" w:rsidRDefault="002126AD" w:rsidP="00C11CA2">
      <w:pPr>
        <w:pStyle w:val="Nomenclature"/>
        <w:spacing w:line="480" w:lineRule="auto"/>
        <w:rPr>
          <w:color w:val="000000" w:themeColor="text1"/>
          <w:sz w:val="24"/>
          <w:szCs w:val="24"/>
        </w:rPr>
      </w:pPr>
      <w:r w:rsidRPr="00C11CA2">
        <w:rPr>
          <w:color w:val="000000" w:themeColor="text1"/>
          <w:sz w:val="24"/>
          <w:szCs w:val="24"/>
        </w:rPr>
        <w:t>d</w:t>
      </w:r>
      <w:r w:rsidRPr="00C11CA2">
        <w:rPr>
          <w:color w:val="000000" w:themeColor="text1"/>
          <w:sz w:val="24"/>
          <w:szCs w:val="24"/>
        </w:rPr>
        <w:tab/>
      </w:r>
      <w:r w:rsidRPr="00C11CA2">
        <w:rPr>
          <w:color w:val="000000" w:themeColor="text1"/>
          <w:sz w:val="24"/>
          <w:szCs w:val="24"/>
        </w:rPr>
        <w:tab/>
        <w:t xml:space="preserve">=width, </w:t>
      </w:r>
      <w:r w:rsidR="0006219F" w:rsidRPr="00C11CA2">
        <w:rPr>
          <w:color w:val="000000" w:themeColor="text1"/>
          <w:sz w:val="24"/>
          <w:szCs w:val="24"/>
        </w:rPr>
        <w:t>L</w:t>
      </w:r>
    </w:p>
    <w:p w14:paraId="7B7E1330" w14:textId="77777777" w:rsidR="002126AD" w:rsidRPr="00C11CA2" w:rsidRDefault="002126AD" w:rsidP="00C11CA2">
      <w:pPr>
        <w:pStyle w:val="Nomenclature"/>
        <w:spacing w:line="480" w:lineRule="auto"/>
        <w:rPr>
          <w:color w:val="000000" w:themeColor="text1"/>
          <w:sz w:val="24"/>
          <w:szCs w:val="24"/>
        </w:rPr>
      </w:pPr>
      <w:r w:rsidRPr="00C11CA2">
        <w:rPr>
          <w:color w:val="000000" w:themeColor="text1"/>
          <w:sz w:val="24"/>
          <w:szCs w:val="24"/>
        </w:rPr>
        <w:t>e</w:t>
      </w:r>
      <w:r w:rsidRPr="00C11CA2">
        <w:rPr>
          <w:color w:val="000000" w:themeColor="text1"/>
          <w:sz w:val="24"/>
          <w:szCs w:val="24"/>
        </w:rPr>
        <w:tab/>
      </w:r>
      <w:r w:rsidRPr="00C11CA2">
        <w:rPr>
          <w:color w:val="000000" w:themeColor="text1"/>
          <w:sz w:val="24"/>
          <w:szCs w:val="24"/>
        </w:rPr>
        <w:tab/>
        <w:t>=emanation efficiency, fraction</w:t>
      </w:r>
    </w:p>
    <w:p w14:paraId="2EB317D1" w14:textId="77777777" w:rsidR="0006219F" w:rsidRPr="00C11CA2" w:rsidRDefault="0006219F" w:rsidP="00C11CA2">
      <w:pPr>
        <w:pStyle w:val="Nomenclature"/>
        <w:spacing w:line="480" w:lineRule="auto"/>
        <w:rPr>
          <w:color w:val="000000" w:themeColor="text1"/>
          <w:sz w:val="24"/>
          <w:szCs w:val="24"/>
        </w:rPr>
      </w:pPr>
      <w:r w:rsidRPr="00C11CA2">
        <w:rPr>
          <w:color w:val="000000" w:themeColor="text1"/>
          <w:sz w:val="24"/>
          <w:szCs w:val="24"/>
        </w:rPr>
        <w:t>F</w:t>
      </w:r>
      <w:r w:rsidRPr="00C11CA2">
        <w:rPr>
          <w:color w:val="000000" w:themeColor="text1"/>
          <w:sz w:val="24"/>
          <w:szCs w:val="24"/>
        </w:rPr>
        <w:tab/>
      </w:r>
      <w:r w:rsidRPr="00C11CA2">
        <w:rPr>
          <w:color w:val="000000" w:themeColor="text1"/>
          <w:sz w:val="24"/>
          <w:szCs w:val="24"/>
        </w:rPr>
        <w:tab/>
        <w:t>=remaining fraction, dimensionless</w:t>
      </w:r>
    </w:p>
    <w:p w14:paraId="27A57EAD" w14:textId="77777777" w:rsidR="002126AD" w:rsidRPr="00C11CA2" w:rsidRDefault="002126AD" w:rsidP="00C11CA2">
      <w:pPr>
        <w:pStyle w:val="Nomenclature"/>
        <w:spacing w:line="480" w:lineRule="auto"/>
        <w:rPr>
          <w:color w:val="000000" w:themeColor="text1"/>
          <w:sz w:val="24"/>
          <w:szCs w:val="24"/>
        </w:rPr>
      </w:pPr>
      <w:r w:rsidRPr="00C11CA2">
        <w:rPr>
          <w:color w:val="000000" w:themeColor="text1"/>
          <w:sz w:val="24"/>
          <w:szCs w:val="24"/>
        </w:rPr>
        <w:t>f</w:t>
      </w:r>
      <w:r w:rsidRPr="00C11CA2">
        <w:rPr>
          <w:color w:val="000000" w:themeColor="text1"/>
          <w:sz w:val="24"/>
          <w:szCs w:val="24"/>
        </w:rPr>
        <w:tab/>
      </w:r>
      <w:r w:rsidRPr="00C11CA2">
        <w:rPr>
          <w:color w:val="000000" w:themeColor="text1"/>
          <w:sz w:val="24"/>
          <w:szCs w:val="24"/>
        </w:rPr>
        <w:tab/>
        <w:t>=fraction</w:t>
      </w:r>
    </w:p>
    <w:p w14:paraId="12F96CD8" w14:textId="77777777" w:rsidR="002126AD" w:rsidRPr="00C11CA2" w:rsidRDefault="002126AD" w:rsidP="00C11CA2">
      <w:pPr>
        <w:pStyle w:val="Nomenclature"/>
        <w:spacing w:line="480" w:lineRule="auto"/>
        <w:rPr>
          <w:color w:val="000000" w:themeColor="text1"/>
          <w:sz w:val="24"/>
          <w:szCs w:val="24"/>
        </w:rPr>
      </w:pPr>
      <w:r w:rsidRPr="00C11CA2">
        <w:rPr>
          <w:color w:val="000000" w:themeColor="text1"/>
          <w:sz w:val="24"/>
          <w:szCs w:val="24"/>
        </w:rPr>
        <w:t>K</w:t>
      </w:r>
      <w:r w:rsidRPr="00C11CA2">
        <w:rPr>
          <w:color w:val="000000" w:themeColor="text1"/>
          <w:sz w:val="24"/>
          <w:szCs w:val="24"/>
        </w:rPr>
        <w:tab/>
      </w:r>
      <w:r w:rsidRPr="00C11CA2">
        <w:rPr>
          <w:color w:val="000000" w:themeColor="text1"/>
          <w:sz w:val="24"/>
          <w:szCs w:val="24"/>
        </w:rPr>
        <w:tab/>
        <w:t>=partition coefficient, fraction</w:t>
      </w:r>
    </w:p>
    <w:p w14:paraId="05D16494" w14:textId="77777777" w:rsidR="002126AD" w:rsidRPr="00C11CA2" w:rsidRDefault="002126AD" w:rsidP="00C11CA2">
      <w:pPr>
        <w:pStyle w:val="Nomenclature"/>
        <w:spacing w:line="480" w:lineRule="auto"/>
        <w:rPr>
          <w:color w:val="000000" w:themeColor="text1"/>
          <w:sz w:val="24"/>
          <w:szCs w:val="24"/>
        </w:rPr>
      </w:pPr>
      <w:r w:rsidRPr="00C11CA2">
        <w:rPr>
          <w:color w:val="000000" w:themeColor="text1"/>
          <w:sz w:val="24"/>
          <w:szCs w:val="24"/>
        </w:rPr>
        <w:t>R</w:t>
      </w:r>
      <w:r w:rsidRPr="00C11CA2">
        <w:rPr>
          <w:color w:val="000000" w:themeColor="text1"/>
          <w:sz w:val="24"/>
          <w:szCs w:val="24"/>
        </w:rPr>
        <w:tab/>
      </w:r>
      <w:r w:rsidRPr="00C11CA2">
        <w:rPr>
          <w:color w:val="000000" w:themeColor="text1"/>
          <w:sz w:val="24"/>
          <w:szCs w:val="24"/>
        </w:rPr>
        <w:tab/>
        <w:t xml:space="preserve">=recoil length, </w:t>
      </w:r>
      <w:r w:rsidR="0006219F" w:rsidRPr="00C11CA2">
        <w:rPr>
          <w:color w:val="000000" w:themeColor="text1"/>
          <w:sz w:val="24"/>
          <w:szCs w:val="24"/>
        </w:rPr>
        <w:t>L</w:t>
      </w:r>
    </w:p>
    <w:p w14:paraId="4D0C2787" w14:textId="77777777" w:rsidR="002126AD" w:rsidRPr="00C11CA2" w:rsidRDefault="002126AD" w:rsidP="00C11CA2">
      <w:pPr>
        <w:pStyle w:val="Nomenclature"/>
        <w:spacing w:line="480" w:lineRule="auto"/>
        <w:rPr>
          <w:color w:val="000000" w:themeColor="text1"/>
          <w:sz w:val="24"/>
          <w:szCs w:val="24"/>
        </w:rPr>
      </w:pPr>
      <w:r w:rsidRPr="00C11CA2">
        <w:rPr>
          <w:color w:val="000000" w:themeColor="text1"/>
          <w:sz w:val="24"/>
          <w:szCs w:val="24"/>
        </w:rPr>
        <w:t>s</w:t>
      </w:r>
      <w:r w:rsidRPr="00C11CA2">
        <w:rPr>
          <w:color w:val="000000" w:themeColor="text1"/>
          <w:sz w:val="24"/>
          <w:szCs w:val="24"/>
        </w:rPr>
        <w:tab/>
      </w:r>
      <w:r w:rsidRPr="00C11CA2">
        <w:rPr>
          <w:color w:val="000000" w:themeColor="text1"/>
          <w:sz w:val="24"/>
          <w:szCs w:val="24"/>
        </w:rPr>
        <w:tab/>
        <w:t xml:space="preserve">=specific surface area, </w:t>
      </w:r>
      <w:r w:rsidR="0006219F" w:rsidRPr="00C11CA2">
        <w:rPr>
          <w:color w:val="000000" w:themeColor="text1"/>
          <w:sz w:val="24"/>
          <w:szCs w:val="24"/>
        </w:rPr>
        <w:t>L</w:t>
      </w:r>
      <w:r w:rsidRPr="00C11CA2">
        <w:rPr>
          <w:color w:val="000000" w:themeColor="text1"/>
          <w:sz w:val="24"/>
          <w:szCs w:val="24"/>
          <w:vertAlign w:val="superscript"/>
        </w:rPr>
        <w:t>-1</w:t>
      </w:r>
      <w:r w:rsidRPr="00C11CA2">
        <w:rPr>
          <w:color w:val="000000" w:themeColor="text1"/>
          <w:sz w:val="24"/>
          <w:szCs w:val="24"/>
        </w:rPr>
        <w:t xml:space="preserve"> (surface area/ volume of pore space)</w:t>
      </w:r>
    </w:p>
    <w:p w14:paraId="665554DC" w14:textId="77777777" w:rsidR="002126AD" w:rsidRPr="00C11CA2" w:rsidRDefault="002126AD" w:rsidP="00C11CA2">
      <w:pPr>
        <w:pStyle w:val="Nomenclature"/>
        <w:spacing w:line="480" w:lineRule="auto"/>
        <w:ind w:left="0" w:firstLine="0"/>
        <w:rPr>
          <w:color w:val="000000" w:themeColor="text1"/>
          <w:sz w:val="24"/>
          <w:szCs w:val="24"/>
        </w:rPr>
      </w:pPr>
      <w:r w:rsidRPr="00C11CA2">
        <w:rPr>
          <w:color w:val="000000" w:themeColor="text1"/>
          <w:sz w:val="24"/>
          <w:szCs w:val="24"/>
        </w:rPr>
        <w:t>T</w:t>
      </w:r>
      <w:r w:rsidRPr="00C11CA2">
        <w:rPr>
          <w:color w:val="000000" w:themeColor="text1"/>
          <w:sz w:val="24"/>
          <w:szCs w:val="24"/>
        </w:rPr>
        <w:tab/>
      </w:r>
      <w:r w:rsidRPr="00C11CA2">
        <w:rPr>
          <w:color w:val="000000" w:themeColor="text1"/>
          <w:sz w:val="24"/>
          <w:szCs w:val="24"/>
        </w:rPr>
        <w:tab/>
        <w:t>=</w:t>
      </w:r>
      <w:r w:rsidR="00C11CA2">
        <w:rPr>
          <w:color w:val="000000" w:themeColor="text1"/>
          <w:sz w:val="24"/>
          <w:szCs w:val="24"/>
        </w:rPr>
        <w:t>T</w:t>
      </w:r>
      <w:r w:rsidRPr="00C11CA2">
        <w:rPr>
          <w:color w:val="000000" w:themeColor="text1"/>
          <w:sz w:val="24"/>
          <w:szCs w:val="24"/>
        </w:rPr>
        <w:t>emperature, K</w:t>
      </w:r>
    </w:p>
    <w:p w14:paraId="72A56E8F" w14:textId="77777777" w:rsidR="002126AD" w:rsidRPr="00C11CA2" w:rsidRDefault="002126AD" w:rsidP="00C11CA2">
      <w:pPr>
        <w:pStyle w:val="Nomenclature"/>
        <w:spacing w:line="480" w:lineRule="auto"/>
        <w:rPr>
          <w:color w:val="000000" w:themeColor="text1"/>
          <w:sz w:val="24"/>
          <w:szCs w:val="24"/>
        </w:rPr>
      </w:pPr>
      <w:r w:rsidRPr="00C11CA2">
        <w:rPr>
          <w:color w:val="000000" w:themeColor="text1"/>
          <w:sz w:val="24"/>
          <w:szCs w:val="24"/>
        </w:rPr>
        <w:lastRenderedPageBreak/>
        <w:t>x</w:t>
      </w:r>
      <w:r w:rsidRPr="00C11CA2">
        <w:rPr>
          <w:color w:val="000000" w:themeColor="text1"/>
          <w:sz w:val="24"/>
          <w:szCs w:val="24"/>
        </w:rPr>
        <w:tab/>
      </w:r>
      <w:r w:rsidRPr="00C11CA2">
        <w:rPr>
          <w:color w:val="000000" w:themeColor="text1"/>
          <w:sz w:val="24"/>
          <w:szCs w:val="24"/>
        </w:rPr>
        <w:tab/>
        <w:t xml:space="preserve">=one </w:t>
      </w:r>
      <w:r w:rsidR="0006219F" w:rsidRPr="00C11CA2">
        <w:rPr>
          <w:color w:val="000000" w:themeColor="text1"/>
          <w:sz w:val="24"/>
          <w:szCs w:val="24"/>
        </w:rPr>
        <w:t xml:space="preserve">length </w:t>
      </w:r>
      <w:r w:rsidRPr="00C11CA2">
        <w:rPr>
          <w:color w:val="000000" w:themeColor="text1"/>
          <w:sz w:val="24"/>
          <w:szCs w:val="24"/>
        </w:rPr>
        <w:t xml:space="preserve">parameter, </w:t>
      </w:r>
      <w:r w:rsidR="0006219F" w:rsidRPr="00C11CA2">
        <w:rPr>
          <w:color w:val="000000" w:themeColor="text1"/>
          <w:sz w:val="24"/>
          <w:szCs w:val="24"/>
        </w:rPr>
        <w:t>L</w:t>
      </w:r>
    </w:p>
    <w:p w14:paraId="4F8F60B4" w14:textId="77777777" w:rsidR="00C11CA2" w:rsidRPr="00C11CA2" w:rsidRDefault="00C11CA2" w:rsidP="00C11CA2">
      <w:pPr>
        <w:pStyle w:val="Nomenclature"/>
        <w:spacing w:line="480" w:lineRule="auto"/>
        <w:rPr>
          <w:color w:val="000000" w:themeColor="text1"/>
          <w:sz w:val="24"/>
          <w:szCs w:val="24"/>
        </w:rPr>
      </w:pPr>
      <w:r w:rsidRPr="00C11CA2">
        <w:rPr>
          <w:color w:val="000000" w:themeColor="text1"/>
          <w:sz w:val="24"/>
          <w:szCs w:val="24"/>
        </w:rPr>
        <w:t>α</w:t>
      </w:r>
      <w:r w:rsidRPr="00C11CA2">
        <w:rPr>
          <w:color w:val="000000" w:themeColor="text1"/>
          <w:sz w:val="24"/>
          <w:szCs w:val="24"/>
        </w:rPr>
        <w:tab/>
      </w:r>
      <w:r w:rsidRPr="00C11CA2">
        <w:rPr>
          <w:color w:val="000000" w:themeColor="text1"/>
          <w:sz w:val="24"/>
          <w:szCs w:val="24"/>
        </w:rPr>
        <w:tab/>
        <w:t>=one parameter, dimensionless</w:t>
      </w:r>
    </w:p>
    <w:p w14:paraId="4A7DC3DD" w14:textId="77777777" w:rsidR="00C11CA2" w:rsidRPr="00C11CA2" w:rsidRDefault="00C11CA2" w:rsidP="00C11CA2">
      <w:pPr>
        <w:pStyle w:val="Nomenclature"/>
        <w:spacing w:line="480" w:lineRule="auto"/>
        <w:rPr>
          <w:color w:val="000000" w:themeColor="text1"/>
          <w:sz w:val="24"/>
          <w:szCs w:val="24"/>
        </w:rPr>
      </w:pPr>
      <w:r w:rsidRPr="00C11CA2">
        <w:rPr>
          <w:color w:val="000000" w:themeColor="text1"/>
          <w:sz w:val="24"/>
          <w:szCs w:val="24"/>
        </w:rPr>
        <w:t>θ</w:t>
      </w:r>
      <w:r w:rsidRPr="00C11CA2">
        <w:rPr>
          <w:color w:val="000000" w:themeColor="text1"/>
          <w:sz w:val="24"/>
          <w:szCs w:val="24"/>
        </w:rPr>
        <w:tab/>
      </w:r>
      <w:r w:rsidRPr="00C11CA2">
        <w:rPr>
          <w:color w:val="000000" w:themeColor="text1"/>
          <w:sz w:val="24"/>
          <w:szCs w:val="24"/>
        </w:rPr>
        <w:tab/>
        <w:t>=angle, degree</w:t>
      </w:r>
    </w:p>
    <w:p w14:paraId="55CFD365" w14:textId="77777777" w:rsidR="002126AD" w:rsidRPr="00C11CA2" w:rsidRDefault="002126AD" w:rsidP="00C11CA2">
      <w:pPr>
        <w:pStyle w:val="Nomenclature"/>
        <w:spacing w:line="480" w:lineRule="auto"/>
        <w:rPr>
          <w:color w:val="000000" w:themeColor="text1"/>
          <w:sz w:val="24"/>
          <w:szCs w:val="24"/>
        </w:rPr>
      </w:pPr>
      <w:r w:rsidRPr="00C11CA2">
        <w:rPr>
          <w:color w:val="000000" w:themeColor="text1"/>
          <w:sz w:val="24"/>
          <w:szCs w:val="24"/>
        </w:rPr>
        <w:t>σ</w:t>
      </w:r>
      <w:r w:rsidRPr="00C11CA2">
        <w:rPr>
          <w:color w:val="000000" w:themeColor="text1"/>
          <w:sz w:val="24"/>
          <w:szCs w:val="24"/>
        </w:rPr>
        <w:tab/>
      </w:r>
      <w:r w:rsidRPr="00C11CA2">
        <w:rPr>
          <w:color w:val="000000" w:themeColor="text1"/>
          <w:sz w:val="24"/>
          <w:szCs w:val="24"/>
        </w:rPr>
        <w:tab/>
        <w:t>=d/R</w:t>
      </w:r>
      <w:r w:rsidRPr="00C11CA2">
        <w:rPr>
          <w:color w:val="000000" w:themeColor="text1"/>
          <w:sz w:val="24"/>
          <w:szCs w:val="24"/>
          <w:vertAlign w:val="subscript"/>
        </w:rPr>
        <w:t>f</w:t>
      </w:r>
      <w:r w:rsidRPr="00C11CA2">
        <w:rPr>
          <w:color w:val="000000" w:themeColor="text1"/>
          <w:sz w:val="24"/>
          <w:szCs w:val="24"/>
        </w:rPr>
        <w:t>, fraction</w:t>
      </w:r>
    </w:p>
    <w:p w14:paraId="20EDA8ED" w14:textId="77777777" w:rsidR="00C11CA2" w:rsidRDefault="00C11CA2" w:rsidP="00C11CA2">
      <w:pPr>
        <w:pStyle w:val="para"/>
        <w:spacing w:line="480" w:lineRule="auto"/>
        <w:ind w:firstLine="0"/>
        <w:rPr>
          <w:b/>
          <w:color w:val="000000" w:themeColor="text1"/>
          <w:sz w:val="24"/>
          <w:szCs w:val="24"/>
        </w:rPr>
      </w:pPr>
    </w:p>
    <w:p w14:paraId="587660C4" w14:textId="77777777" w:rsidR="002126AD" w:rsidRPr="00C11CA2" w:rsidRDefault="002126AD" w:rsidP="00C11CA2">
      <w:pPr>
        <w:pStyle w:val="para"/>
        <w:spacing w:line="480" w:lineRule="auto"/>
        <w:ind w:firstLine="0"/>
        <w:rPr>
          <w:b/>
          <w:color w:val="000000" w:themeColor="text1"/>
          <w:sz w:val="24"/>
          <w:szCs w:val="24"/>
        </w:rPr>
      </w:pPr>
      <w:r w:rsidRPr="00C11CA2">
        <w:rPr>
          <w:b/>
          <w:color w:val="000000" w:themeColor="text1"/>
          <w:sz w:val="24"/>
          <w:szCs w:val="24"/>
        </w:rPr>
        <w:t>Subscript</w:t>
      </w:r>
    </w:p>
    <w:p w14:paraId="506B22C8" w14:textId="3BC8B748" w:rsidR="002126AD" w:rsidRPr="00C11CA2" w:rsidRDefault="002126AD" w:rsidP="00C11CA2">
      <w:pPr>
        <w:pStyle w:val="Nomenclature"/>
        <w:spacing w:line="480" w:lineRule="auto"/>
        <w:rPr>
          <w:color w:val="000000" w:themeColor="text1"/>
          <w:sz w:val="24"/>
          <w:szCs w:val="24"/>
        </w:rPr>
      </w:pPr>
      <w:r w:rsidRPr="00C11CA2">
        <w:rPr>
          <w:color w:val="000000" w:themeColor="text1"/>
          <w:sz w:val="24"/>
          <w:szCs w:val="24"/>
        </w:rPr>
        <w:t>e</w:t>
      </w:r>
      <w:r w:rsidRPr="00C11CA2">
        <w:rPr>
          <w:color w:val="000000" w:themeColor="text1"/>
          <w:sz w:val="24"/>
          <w:szCs w:val="24"/>
        </w:rPr>
        <w:tab/>
      </w:r>
      <w:r w:rsidRPr="00C11CA2">
        <w:rPr>
          <w:color w:val="000000" w:themeColor="text1"/>
          <w:sz w:val="24"/>
          <w:szCs w:val="24"/>
        </w:rPr>
        <w:tab/>
        <w:t>=release fractio</w:t>
      </w:r>
      <w:r w:rsidR="00295C86">
        <w:rPr>
          <w:color w:val="000000" w:themeColor="text1"/>
          <w:sz w:val="24"/>
          <w:szCs w:val="24"/>
        </w:rPr>
        <w:t>n from grain into pore</w:t>
      </w:r>
    </w:p>
    <w:p w14:paraId="39223BDB" w14:textId="77777777" w:rsidR="002126AD" w:rsidRPr="00C11CA2" w:rsidRDefault="002126AD" w:rsidP="00C11CA2">
      <w:pPr>
        <w:pStyle w:val="Nomenclature"/>
        <w:spacing w:line="480" w:lineRule="auto"/>
        <w:rPr>
          <w:color w:val="000000" w:themeColor="text1"/>
          <w:sz w:val="24"/>
          <w:szCs w:val="24"/>
        </w:rPr>
      </w:pPr>
      <w:r w:rsidRPr="00C11CA2">
        <w:rPr>
          <w:color w:val="000000" w:themeColor="text1"/>
          <w:sz w:val="24"/>
          <w:szCs w:val="24"/>
        </w:rPr>
        <w:t>f</w:t>
      </w:r>
      <w:r w:rsidRPr="00C11CA2">
        <w:rPr>
          <w:color w:val="000000" w:themeColor="text1"/>
          <w:sz w:val="24"/>
          <w:szCs w:val="24"/>
        </w:rPr>
        <w:tab/>
      </w:r>
      <w:r w:rsidRPr="00C11CA2">
        <w:rPr>
          <w:color w:val="000000" w:themeColor="text1"/>
          <w:sz w:val="24"/>
          <w:szCs w:val="24"/>
        </w:rPr>
        <w:tab/>
        <w:t>=fluid</w:t>
      </w:r>
    </w:p>
    <w:p w14:paraId="715F1B4B" w14:textId="77777777" w:rsidR="002126AD" w:rsidRPr="00C11CA2" w:rsidRDefault="002126AD" w:rsidP="00C11CA2">
      <w:pPr>
        <w:pStyle w:val="Nomenclature"/>
        <w:spacing w:line="480" w:lineRule="auto"/>
        <w:rPr>
          <w:color w:val="000000" w:themeColor="text1"/>
          <w:sz w:val="24"/>
          <w:szCs w:val="24"/>
        </w:rPr>
      </w:pPr>
      <w:r w:rsidRPr="00C11CA2">
        <w:rPr>
          <w:color w:val="000000" w:themeColor="text1"/>
          <w:sz w:val="24"/>
          <w:szCs w:val="24"/>
        </w:rPr>
        <w:t>g</w:t>
      </w:r>
      <w:r w:rsidRPr="00C11CA2">
        <w:rPr>
          <w:color w:val="000000" w:themeColor="text1"/>
          <w:sz w:val="24"/>
          <w:szCs w:val="24"/>
        </w:rPr>
        <w:tab/>
      </w:r>
      <w:r w:rsidRPr="00C11CA2">
        <w:rPr>
          <w:color w:val="000000" w:themeColor="text1"/>
          <w:sz w:val="24"/>
          <w:szCs w:val="24"/>
        </w:rPr>
        <w:tab/>
        <w:t>=gas</w:t>
      </w:r>
    </w:p>
    <w:p w14:paraId="68A70B2C" w14:textId="77777777" w:rsidR="002126AD" w:rsidRPr="00C11CA2" w:rsidRDefault="002126AD" w:rsidP="00C11CA2">
      <w:pPr>
        <w:pStyle w:val="Nomenclature"/>
        <w:spacing w:line="480" w:lineRule="auto"/>
        <w:rPr>
          <w:color w:val="000000" w:themeColor="text1"/>
          <w:sz w:val="24"/>
          <w:szCs w:val="24"/>
        </w:rPr>
      </w:pPr>
      <w:r w:rsidRPr="00C11CA2">
        <w:rPr>
          <w:color w:val="000000" w:themeColor="text1"/>
          <w:sz w:val="24"/>
          <w:szCs w:val="24"/>
        </w:rPr>
        <w:t>i</w:t>
      </w:r>
      <w:r w:rsidRPr="00C11CA2">
        <w:rPr>
          <w:color w:val="000000" w:themeColor="text1"/>
          <w:sz w:val="24"/>
          <w:szCs w:val="24"/>
        </w:rPr>
        <w:tab/>
      </w:r>
      <w:r w:rsidRPr="00C11CA2">
        <w:rPr>
          <w:color w:val="000000" w:themeColor="text1"/>
          <w:sz w:val="24"/>
          <w:szCs w:val="24"/>
        </w:rPr>
        <w:tab/>
        <w:t>=fraction that being stopped in pore, fraction</w:t>
      </w:r>
    </w:p>
    <w:p w14:paraId="6B648BCC" w14:textId="0362ED18" w:rsidR="0006219F" w:rsidRPr="00C11CA2" w:rsidRDefault="00295C86" w:rsidP="00C11CA2">
      <w:pPr>
        <w:pStyle w:val="Nomenclature"/>
        <w:spacing w:line="480" w:lineRule="auto"/>
        <w:rPr>
          <w:color w:val="000000" w:themeColor="text1"/>
          <w:sz w:val="24"/>
          <w:szCs w:val="24"/>
        </w:rPr>
      </w:pPr>
      <w:r>
        <w:rPr>
          <w:color w:val="000000" w:themeColor="text1"/>
          <w:sz w:val="24"/>
          <w:szCs w:val="24"/>
        </w:rPr>
        <w:t>Ra</w:t>
      </w:r>
      <w:r>
        <w:rPr>
          <w:color w:val="000000" w:themeColor="text1"/>
          <w:sz w:val="24"/>
          <w:szCs w:val="24"/>
        </w:rPr>
        <w:tab/>
      </w:r>
      <w:r>
        <w:rPr>
          <w:color w:val="000000" w:themeColor="text1"/>
          <w:sz w:val="24"/>
          <w:szCs w:val="24"/>
        </w:rPr>
        <w:tab/>
        <w:t>=radium</w:t>
      </w:r>
    </w:p>
    <w:p w14:paraId="0B53F1C5" w14:textId="73B13228" w:rsidR="0006219F" w:rsidRPr="00C11CA2" w:rsidRDefault="00295C86" w:rsidP="00C11CA2">
      <w:pPr>
        <w:pStyle w:val="Nomenclature"/>
        <w:spacing w:line="480" w:lineRule="auto"/>
        <w:rPr>
          <w:color w:val="000000" w:themeColor="text1"/>
          <w:sz w:val="24"/>
          <w:szCs w:val="24"/>
        </w:rPr>
      </w:pPr>
      <w:r>
        <w:rPr>
          <w:color w:val="000000" w:themeColor="text1"/>
          <w:sz w:val="24"/>
          <w:szCs w:val="24"/>
        </w:rPr>
        <w:t>Rn</w:t>
      </w:r>
      <w:r>
        <w:rPr>
          <w:color w:val="000000" w:themeColor="text1"/>
          <w:sz w:val="24"/>
          <w:szCs w:val="24"/>
        </w:rPr>
        <w:tab/>
      </w:r>
      <w:r>
        <w:rPr>
          <w:color w:val="000000" w:themeColor="text1"/>
          <w:sz w:val="24"/>
          <w:szCs w:val="24"/>
        </w:rPr>
        <w:tab/>
        <w:t>=radon</w:t>
      </w:r>
    </w:p>
    <w:p w14:paraId="2E6ED255" w14:textId="77777777" w:rsidR="002126AD" w:rsidRPr="00C11CA2" w:rsidRDefault="002126AD" w:rsidP="00C11CA2">
      <w:pPr>
        <w:pStyle w:val="Nomenclature"/>
        <w:spacing w:line="480" w:lineRule="auto"/>
        <w:rPr>
          <w:color w:val="000000" w:themeColor="text1"/>
          <w:sz w:val="24"/>
          <w:szCs w:val="24"/>
        </w:rPr>
      </w:pPr>
      <w:r w:rsidRPr="00C11CA2">
        <w:rPr>
          <w:color w:val="000000" w:themeColor="text1"/>
          <w:sz w:val="24"/>
          <w:szCs w:val="24"/>
        </w:rPr>
        <w:t>s</w:t>
      </w:r>
      <w:r w:rsidRPr="00C11CA2">
        <w:rPr>
          <w:color w:val="000000" w:themeColor="text1"/>
          <w:sz w:val="24"/>
          <w:szCs w:val="24"/>
        </w:rPr>
        <w:tab/>
      </w:r>
      <w:r w:rsidRPr="00C11CA2">
        <w:rPr>
          <w:color w:val="000000" w:themeColor="text1"/>
          <w:sz w:val="24"/>
          <w:szCs w:val="24"/>
        </w:rPr>
        <w:tab/>
        <w:t>=solid</w:t>
      </w:r>
    </w:p>
    <w:p w14:paraId="6C87D075" w14:textId="77777777" w:rsidR="002126AD" w:rsidRPr="00C11CA2" w:rsidRDefault="002126AD" w:rsidP="00C11CA2">
      <w:pPr>
        <w:pStyle w:val="Nomenclature"/>
        <w:spacing w:line="480" w:lineRule="auto"/>
        <w:rPr>
          <w:color w:val="000000" w:themeColor="text1"/>
          <w:sz w:val="24"/>
          <w:szCs w:val="24"/>
        </w:rPr>
      </w:pPr>
      <w:r w:rsidRPr="00C11CA2">
        <w:rPr>
          <w:color w:val="000000" w:themeColor="text1"/>
          <w:sz w:val="24"/>
          <w:szCs w:val="24"/>
        </w:rPr>
        <w:t>w</w:t>
      </w:r>
      <w:r w:rsidRPr="00C11CA2">
        <w:rPr>
          <w:color w:val="000000" w:themeColor="text1"/>
          <w:sz w:val="24"/>
          <w:szCs w:val="24"/>
        </w:rPr>
        <w:tab/>
      </w:r>
      <w:r w:rsidRPr="00C11CA2">
        <w:rPr>
          <w:color w:val="000000" w:themeColor="text1"/>
          <w:sz w:val="24"/>
          <w:szCs w:val="24"/>
        </w:rPr>
        <w:tab/>
        <w:t>=water</w:t>
      </w:r>
    </w:p>
    <w:p w14:paraId="31550095" w14:textId="77777777" w:rsidR="008D7035" w:rsidRDefault="008D7035">
      <w:pPr>
        <w:tabs>
          <w:tab w:val="clear" w:pos="7632"/>
        </w:tabs>
        <w:ind w:firstLine="0"/>
      </w:pPr>
      <w:r>
        <w:br w:type="page"/>
      </w:r>
    </w:p>
    <w:p w14:paraId="25041325" w14:textId="77777777" w:rsidR="001C08D5" w:rsidRDefault="008D7035" w:rsidP="008D7035">
      <w:pPr>
        <w:pStyle w:val="Heading1"/>
      </w:pPr>
      <w:bookmarkStart w:id="284" w:name="_Toc494014250"/>
      <w:r>
        <w:lastRenderedPageBreak/>
        <w:t>Conclusions</w:t>
      </w:r>
      <w:r w:rsidR="00AE2C14">
        <w:t xml:space="preserve"> and Recommendations</w:t>
      </w:r>
      <w:bookmarkEnd w:id="284"/>
      <w:r w:rsidR="00C43AB8">
        <w:t xml:space="preserve"> </w:t>
      </w:r>
    </w:p>
    <w:p w14:paraId="4A6251E6" w14:textId="67FE1479" w:rsidR="001E3D44" w:rsidRDefault="001E3D44" w:rsidP="001E3D44">
      <w:pPr>
        <w:pStyle w:val="Heading2"/>
      </w:pPr>
      <w:bookmarkStart w:id="285" w:name="_Toc494014251"/>
      <w:r>
        <w:t>Conclusions</w:t>
      </w:r>
      <w:bookmarkEnd w:id="285"/>
    </w:p>
    <w:p w14:paraId="285F4311" w14:textId="1348DC48" w:rsidR="008737BD" w:rsidRDefault="005F7BEA" w:rsidP="008737BD">
      <w:r>
        <w:t xml:space="preserve">This dissertation quantifies the particle movement and its </w:t>
      </w:r>
      <w:r w:rsidR="008737BD">
        <w:t>conclusions from previous individual chapter</w:t>
      </w:r>
      <w:r>
        <w:t xml:space="preserve"> are as follows:</w:t>
      </w:r>
    </w:p>
    <w:p w14:paraId="3EABE591" w14:textId="7D69AB69" w:rsidR="004778B0" w:rsidRDefault="004778B0" w:rsidP="001E3D44">
      <w:pPr>
        <w:pStyle w:val="ListParagraph"/>
        <w:numPr>
          <w:ilvl w:val="0"/>
          <w:numId w:val="24"/>
        </w:numPr>
        <w:ind w:left="720"/>
      </w:pPr>
      <w:r>
        <w:t xml:space="preserve">This dissertation first </w:t>
      </w:r>
      <w:r w:rsidR="008737BD">
        <w:t>develops</w:t>
      </w:r>
      <w:r w:rsidR="008737BD" w:rsidRPr="00B33055">
        <w:t xml:space="preserve"> of </w:t>
      </w:r>
      <w:r w:rsidR="008737BD" w:rsidRPr="00B33055">
        <w:rPr>
          <w:rFonts w:hint="eastAsia"/>
        </w:rPr>
        <w:t xml:space="preserve">an innovative </w:t>
      </w:r>
      <w:r w:rsidR="008737BD" w:rsidRPr="00B33055">
        <w:t>procedure</w:t>
      </w:r>
      <w:r w:rsidR="008737BD" w:rsidRPr="00B33055">
        <w:rPr>
          <w:rFonts w:hint="eastAsia"/>
        </w:rPr>
        <w:t xml:space="preserve"> of SWCTT for </w:t>
      </w:r>
      <w:r w:rsidR="008737BD" w:rsidRPr="00B33055">
        <w:t xml:space="preserve">the condition of </w:t>
      </w:r>
      <w:r w:rsidR="008737BD" w:rsidRPr="00B33055">
        <w:rPr>
          <w:rFonts w:hint="eastAsia"/>
        </w:rPr>
        <w:t>two mobile phases</w:t>
      </w:r>
      <w:r w:rsidR="008737BD" w:rsidRPr="00B33055">
        <w:t xml:space="preserve">. </w:t>
      </w:r>
      <w:r w:rsidRPr="00B33055">
        <w:t xml:space="preserve">The new </w:t>
      </w:r>
      <w:r w:rsidR="00B608B6">
        <w:t>SWCTT</w:t>
      </w:r>
      <w:r w:rsidRPr="00B33055">
        <w:t xml:space="preserve"> has been provides a reasonably precise measurement of mobile saturations</w:t>
      </w:r>
      <w:r w:rsidR="00B608B6">
        <w:t>, validated through numerical simulation</w:t>
      </w:r>
      <w:r w:rsidRPr="00B33055">
        <w:t xml:space="preserve">. The new modified MoM is </w:t>
      </w:r>
      <w:r>
        <w:t xml:space="preserve">also </w:t>
      </w:r>
      <w:r w:rsidRPr="00B33055">
        <w:t xml:space="preserve">applicable in conventional SWCTT to measure immobile oil saturation and </w:t>
      </w:r>
      <w:r>
        <w:t>it improves</w:t>
      </w:r>
      <w:r w:rsidRPr="00B33055">
        <w:t xml:space="preserve"> the accuracy of conventional MoM</w:t>
      </w:r>
      <w:r w:rsidR="001E3D44">
        <w:t xml:space="preserve">. </w:t>
      </w:r>
      <w:r w:rsidRPr="00B33055">
        <w:t>The new tracer method is</w:t>
      </w:r>
      <w:r w:rsidRPr="00B33055">
        <w:rPr>
          <w:rFonts w:hint="eastAsia"/>
        </w:rPr>
        <w:t xml:space="preserve"> an easy </w:t>
      </w:r>
      <w:r w:rsidRPr="00B33055">
        <w:t xml:space="preserve">and </w:t>
      </w:r>
      <w:r w:rsidRPr="00B33055">
        <w:rPr>
          <w:rFonts w:hint="eastAsia"/>
        </w:rPr>
        <w:t xml:space="preserve">robust in-situ way to measure oil and water saturations near the wellbore at any time </w:t>
      </w:r>
      <w:r w:rsidRPr="00B33055">
        <w:t>of</w:t>
      </w:r>
      <w:r w:rsidRPr="00B33055">
        <w:rPr>
          <w:rFonts w:hint="eastAsia"/>
        </w:rPr>
        <w:t xml:space="preserve"> production, without the limitation of conventional SWCTT analysis. T</w:t>
      </w:r>
      <w:r w:rsidRPr="00B33055">
        <w:t>h</w:t>
      </w:r>
      <w:r w:rsidRPr="00B33055">
        <w:rPr>
          <w:rFonts w:hint="eastAsia"/>
        </w:rPr>
        <w:t xml:space="preserve">e new modified SWCTT can </w:t>
      </w:r>
      <w:r w:rsidRPr="00B33055">
        <w:t xml:space="preserve">better assist </w:t>
      </w:r>
      <w:r w:rsidRPr="00B33055">
        <w:rPr>
          <w:rFonts w:hint="eastAsia"/>
        </w:rPr>
        <w:t xml:space="preserve">engineers </w:t>
      </w:r>
      <w:r w:rsidRPr="00B33055">
        <w:t xml:space="preserve">to </w:t>
      </w:r>
      <w:r w:rsidRPr="00B33055">
        <w:rPr>
          <w:rFonts w:hint="eastAsia"/>
        </w:rPr>
        <w:t>monitor the reservoirs and determine the best time to start EOR operations.</w:t>
      </w:r>
    </w:p>
    <w:p w14:paraId="3658282A" w14:textId="5721CB24" w:rsidR="00115DD6" w:rsidRDefault="00115DD6" w:rsidP="00115DD6">
      <w:pPr>
        <w:pStyle w:val="ListParagraph"/>
        <w:numPr>
          <w:ilvl w:val="0"/>
          <w:numId w:val="24"/>
        </w:numPr>
        <w:ind w:left="720"/>
      </w:pPr>
      <w:r>
        <w:t>A</w:t>
      </w:r>
      <w:r w:rsidR="007E7106">
        <w:t xml:space="preserve">n approach </w:t>
      </w:r>
      <w:r>
        <w:t xml:space="preserve">is introduced </w:t>
      </w:r>
      <w:r w:rsidR="007E7106">
        <w:t>to estimate fracture volume by injecting</w:t>
      </w:r>
      <w:r w:rsidR="007E7106" w:rsidRPr="00036234">
        <w:t xml:space="preserve"> a </w:t>
      </w:r>
      <w:r w:rsidR="005E1148">
        <w:t>slug</w:t>
      </w:r>
      <w:r w:rsidR="007E7106" w:rsidRPr="00036234">
        <w:t xml:space="preserve"> of aqueous solution </w:t>
      </w:r>
      <w:r w:rsidR="007E7106">
        <w:t xml:space="preserve">containing a partitioning tracer into a shale gas reservoir. </w:t>
      </w:r>
      <w:r>
        <w:t xml:space="preserve">MoM is capable to determine the swept volume of partitioning tracer under two-mobile-phase condition. The tracer production data is indicative of the total volume of fracture and infiltration zone. Two linear relationships of tracer tail are observed when fracture exists. Extrapolating the first straight section using exponential decline can estimate fracture volume. Its accuracy is influenced by permeability ratio. The partitioning tracer is recommended to inject as a slug at the beginning of stimulation treatment at each stage, so that it can inform the </w:t>
      </w:r>
      <w:r>
        <w:lastRenderedPageBreak/>
        <w:t>entire fracture volume. Partitioning tracer has rapid feedback even though the injected fracking fluid is trapped in the system. The tracer test is therefore time-efficient. Tracer should be carefully selected based on its partition coefficient and adsorption should be avoided when selecting the tracer for fracture volume diagnosis.</w:t>
      </w:r>
    </w:p>
    <w:p w14:paraId="11684E2C" w14:textId="1139292E" w:rsidR="001B1E4C" w:rsidRDefault="00115DD6" w:rsidP="00115DD6">
      <w:pPr>
        <w:pStyle w:val="ListParagraph"/>
        <w:numPr>
          <w:ilvl w:val="0"/>
          <w:numId w:val="24"/>
        </w:numPr>
        <w:ind w:left="720"/>
      </w:pPr>
      <w:r>
        <w:t>A</w:t>
      </w:r>
      <w:r w:rsidR="001B1E4C">
        <w:t xml:space="preserve"> RWPT algorithm to track the partitioning tracer movement in multi-mobile phase condition</w:t>
      </w:r>
      <w:r>
        <w:t xml:space="preserve"> is developed</w:t>
      </w:r>
      <w:r w:rsidR="001B1E4C">
        <w:t xml:space="preserve">. It reduces the numerical dispersion caused by the finite-difference based method. By comparing </w:t>
      </w:r>
      <w:r w:rsidR="00304B8E">
        <w:t>the developed</w:t>
      </w:r>
      <w:r w:rsidR="001B1E4C">
        <w:t xml:space="preserve"> program with CMG, </w:t>
      </w:r>
      <w:r>
        <w:t>the advantage of RWPT is proven</w:t>
      </w:r>
      <w:r w:rsidR="001B1E4C">
        <w:t xml:space="preserve">. </w:t>
      </w:r>
    </w:p>
    <w:p w14:paraId="470CDFB4" w14:textId="4D3C0CC8" w:rsidR="00BA5406" w:rsidRPr="00BA5406" w:rsidRDefault="00115DD6" w:rsidP="00BA5406">
      <w:pPr>
        <w:pStyle w:val="ListParagraph"/>
        <w:numPr>
          <w:ilvl w:val="0"/>
          <w:numId w:val="24"/>
        </w:numPr>
        <w:ind w:left="720"/>
      </w:pPr>
      <w:r>
        <w:t>This dissertation</w:t>
      </w:r>
      <w:r w:rsidR="001B1E4C">
        <w:t xml:space="preserve"> </w:t>
      </w:r>
      <w:r w:rsidR="001B1E4C" w:rsidRPr="00E73B83">
        <w:t>quantitatively evaluate</w:t>
      </w:r>
      <w:r w:rsidR="001B1E4C">
        <w:t>s</w:t>
      </w:r>
      <w:r w:rsidR="001B1E4C" w:rsidRPr="00E73B83">
        <w:t xml:space="preserve"> radon concentration at wellhead through synthetic simulation by coupling radon generation, recoil, decay and transport in the subsurface. </w:t>
      </w:r>
      <w:r w:rsidR="00BA5406" w:rsidRPr="00BA5406">
        <w:t>Radon emanation efficiency and radon in-situ concentration are affected by pore size</w:t>
      </w:r>
      <w:r w:rsidR="00BA5406">
        <w:t xml:space="preserve"> as well as pore geometry</w:t>
      </w:r>
      <w:r w:rsidR="00BA5406" w:rsidRPr="00BA5406">
        <w:t xml:space="preserve">. Radon is produced along with shale gas and its wellhead concentration exceeds the safe level. Therefore, for the public wellness, appropriate regulation should be carried out dealing with radon production. </w:t>
      </w:r>
      <w:r w:rsidR="00BA5406">
        <w:t>The sensitivity analysis shows that r</w:t>
      </w:r>
      <w:r w:rsidR="00BA5406" w:rsidRPr="00BA5406">
        <w:t>adon wellhead concentration is strongly related with production rate. Producing shale gas at a low rate reduces the radon hazard. This can be achieved through operations such as increasing the BHP.</w:t>
      </w:r>
      <w:r w:rsidR="00BA5406">
        <w:t xml:space="preserve"> </w:t>
      </w:r>
      <w:r w:rsidR="00F27FCB">
        <w:t>Increasing the shut-</w:t>
      </w:r>
      <w:r w:rsidR="00BA5406" w:rsidRPr="00BA5406">
        <w:t>in time and fracture half-length also help lower the radon wellhead concentration. Longer fracture half-length will also contribute to the shale gas production, which is not controversial to the economic interest.</w:t>
      </w:r>
    </w:p>
    <w:p w14:paraId="5A5ACD28" w14:textId="77777777" w:rsidR="00BA5406" w:rsidRDefault="00BA5406" w:rsidP="00BA5406">
      <w:pPr>
        <w:pStyle w:val="ListParagraph"/>
        <w:ind w:left="720" w:firstLine="0"/>
      </w:pPr>
    </w:p>
    <w:p w14:paraId="6AD47597" w14:textId="0204DF0B" w:rsidR="002D7214" w:rsidRDefault="002D7214" w:rsidP="002D7214">
      <w:pPr>
        <w:pStyle w:val="Heading2"/>
      </w:pPr>
      <w:bookmarkStart w:id="286" w:name="_Toc494014252"/>
      <w:r>
        <w:lastRenderedPageBreak/>
        <w:t>Recommendations for Future Work</w:t>
      </w:r>
      <w:bookmarkEnd w:id="286"/>
    </w:p>
    <w:p w14:paraId="0ECAE0F7" w14:textId="7A231EA0" w:rsidR="0075139B" w:rsidRDefault="0075139B" w:rsidP="0075139B">
      <w:r>
        <w:t xml:space="preserve">The following recommendations may be considered for future research focus. </w:t>
      </w:r>
    </w:p>
    <w:p w14:paraId="0B86F863" w14:textId="33B9D2E8" w:rsidR="001647FD" w:rsidRDefault="001647FD" w:rsidP="001647FD">
      <w:pPr>
        <w:pStyle w:val="ListParagraph"/>
        <w:numPr>
          <w:ilvl w:val="0"/>
          <w:numId w:val="27"/>
        </w:numPr>
        <w:ind w:left="720"/>
      </w:pPr>
      <w:r>
        <w:t xml:space="preserve">Other contextual factors such as drift and mixture injection could be investigated to determine their impacts on determining mobile oil saturation through SWCTT. Such study will provide additional practical guidance to field operations.  </w:t>
      </w:r>
    </w:p>
    <w:p w14:paraId="13796E57" w14:textId="77777777" w:rsidR="00B52539" w:rsidRDefault="003B34C7" w:rsidP="001647FD">
      <w:pPr>
        <w:pStyle w:val="ListParagraph"/>
        <w:numPr>
          <w:ilvl w:val="0"/>
          <w:numId w:val="27"/>
        </w:numPr>
        <w:ind w:left="720"/>
      </w:pPr>
      <w:r>
        <w:t xml:space="preserve">This dissertation uses partitioning tracer to estimate single fracture. It is of industry interest to </w:t>
      </w:r>
      <w:r w:rsidR="00B52539">
        <w:t xml:space="preserve">investigate application of </w:t>
      </w:r>
      <w:r>
        <w:t>partitioning chemical tracer</w:t>
      </w:r>
      <w:r w:rsidR="00B52539">
        <w:t xml:space="preserve"> in multi-fracture system. Fluid flow from multi-fracture will change the interpretation of tracer production data. Therefore, future work could focus on this topic. </w:t>
      </w:r>
    </w:p>
    <w:p w14:paraId="75D04F3B" w14:textId="1A7C2CC3" w:rsidR="001647FD" w:rsidRDefault="00B52539" w:rsidP="001647FD">
      <w:pPr>
        <w:pStyle w:val="ListParagraph"/>
        <w:numPr>
          <w:ilvl w:val="0"/>
          <w:numId w:val="27"/>
        </w:numPr>
        <w:ind w:left="720"/>
      </w:pPr>
      <w:r>
        <w:t xml:space="preserve">RWPT is proven as a powerful tool to inversely simulate tracer flow. Next step is to implement this algorithm </w:t>
      </w:r>
      <w:r w:rsidR="005F7BEA">
        <w:t>into reservoir simulators to interpret tracer test data.</w:t>
      </w:r>
      <w:r w:rsidR="003B34C7">
        <w:t xml:space="preserve"> </w:t>
      </w:r>
      <w:r>
        <w:t xml:space="preserve"> </w:t>
      </w:r>
    </w:p>
    <w:p w14:paraId="698BA847" w14:textId="0CD6830E" w:rsidR="001B1E4C" w:rsidRDefault="00B21E94" w:rsidP="001647FD">
      <w:pPr>
        <w:pStyle w:val="ListParagraph"/>
        <w:numPr>
          <w:ilvl w:val="0"/>
          <w:numId w:val="27"/>
        </w:numPr>
        <w:ind w:left="720"/>
      </w:pPr>
      <w:r>
        <w:t xml:space="preserve">The future work of </w:t>
      </w:r>
      <w:r w:rsidR="005F7BEA">
        <w:t>radon hazard</w:t>
      </w:r>
      <w:r>
        <w:t xml:space="preserve"> is to come up a control or mitigation method to reduce the radon pollution since </w:t>
      </w:r>
      <w:r w:rsidR="00B721FC">
        <w:t>it is proven to be real. Also, it is necessary to</w:t>
      </w:r>
      <w:r>
        <w:t xml:space="preserve"> integrate radon wellhead concentration with surface transport to better understand its threat. </w:t>
      </w:r>
    </w:p>
    <w:p w14:paraId="2DC391C6" w14:textId="77777777" w:rsidR="008737BD" w:rsidRPr="008737BD" w:rsidRDefault="008737BD" w:rsidP="008737BD"/>
    <w:p w14:paraId="42BC1493" w14:textId="77777777" w:rsidR="00320BD2" w:rsidRDefault="00320BD2" w:rsidP="007758D0">
      <w:pPr>
        <w:pStyle w:val="Heading3"/>
        <w:numPr>
          <w:ilvl w:val="0"/>
          <w:numId w:val="0"/>
        </w:numPr>
        <w:jc w:val="both"/>
        <w:rPr>
          <w:sz w:val="28"/>
          <w:szCs w:val="32"/>
        </w:rPr>
      </w:pPr>
      <w:r>
        <w:br w:type="page"/>
      </w:r>
    </w:p>
    <w:p w14:paraId="446E155B" w14:textId="5E6792DE" w:rsidR="00AA0B13" w:rsidRDefault="00AA0B13" w:rsidP="004D1572">
      <w:pPr>
        <w:pStyle w:val="Heading1Modified"/>
      </w:pPr>
      <w:bookmarkStart w:id="287" w:name="_Toc494014253"/>
      <w:r>
        <w:lastRenderedPageBreak/>
        <w:t>References</w:t>
      </w:r>
      <w:bookmarkEnd w:id="180"/>
      <w:bookmarkEnd w:id="287"/>
    </w:p>
    <w:p w14:paraId="4E36289D" w14:textId="77777777" w:rsidR="0041747C" w:rsidRPr="00284EC6" w:rsidRDefault="0041747C" w:rsidP="00284EC6">
      <w:pPr>
        <w:pStyle w:val="References"/>
        <w:spacing w:afterLines="120" w:after="288"/>
        <w:rPr>
          <w:color w:val="000000" w:themeColor="text1"/>
          <w:sz w:val="24"/>
          <w:szCs w:val="24"/>
        </w:rPr>
      </w:pPr>
      <w:r w:rsidRPr="00284EC6">
        <w:rPr>
          <w:color w:val="000000" w:themeColor="text1"/>
          <w:sz w:val="24"/>
          <w:szCs w:val="24"/>
        </w:rPr>
        <w:t xml:space="preserve">Abbaszadeh-Dehghani, M., and Brigham, W. E. 1984. Analysis of well-to-well tracer flow to determine reservoir layering. </w:t>
      </w:r>
      <w:r w:rsidRPr="00284EC6">
        <w:rPr>
          <w:i/>
          <w:color w:val="000000" w:themeColor="text1"/>
          <w:sz w:val="24"/>
          <w:szCs w:val="24"/>
        </w:rPr>
        <w:t>Journal of petroleum technology</w:t>
      </w:r>
      <w:r w:rsidRPr="00284EC6">
        <w:rPr>
          <w:color w:val="000000" w:themeColor="text1"/>
          <w:sz w:val="24"/>
          <w:szCs w:val="24"/>
        </w:rPr>
        <w:t xml:space="preserve">, 36(10): 1-753. </w:t>
      </w:r>
      <w:hyperlink r:id="rId73" w:history="1">
        <w:r w:rsidRPr="00284EC6">
          <w:rPr>
            <w:rStyle w:val="Hyperlink"/>
            <w:color w:val="000000" w:themeColor="text1"/>
            <w:sz w:val="24"/>
            <w:szCs w:val="24"/>
            <w:u w:val="none"/>
          </w:rPr>
          <w:t>http://dx.doi.org/10.2118/10760-PA</w:t>
        </w:r>
      </w:hyperlink>
    </w:p>
    <w:p w14:paraId="0EC0DFBC" w14:textId="77777777" w:rsidR="002D015D" w:rsidRPr="00284EC6" w:rsidRDefault="002D015D" w:rsidP="00284EC6">
      <w:pPr>
        <w:pStyle w:val="EndNoteBibliography"/>
        <w:tabs>
          <w:tab w:val="clear" w:pos="7632"/>
        </w:tabs>
        <w:spacing w:afterLines="120" w:after="288"/>
        <w:ind w:left="374" w:hanging="374"/>
        <w:jc w:val="both"/>
        <w:rPr>
          <w:rFonts w:ascii="Times New Roman" w:hAnsi="Times New Roman"/>
          <w:sz w:val="24"/>
        </w:rPr>
      </w:pPr>
      <w:r w:rsidRPr="00284EC6">
        <w:rPr>
          <w:rFonts w:ascii="Times New Roman" w:hAnsi="Times New Roman"/>
          <w:sz w:val="24"/>
        </w:rPr>
        <w:t>Adesida, A.; Akkutlu, I.; Resasco, D.; Rai, C. 2011. Kerogen pore size distribution of Barnett shale using DFT analysis and Monte Carlo simulations.</w:t>
      </w:r>
      <w:r w:rsidRPr="00284EC6">
        <w:rPr>
          <w:rFonts w:ascii="Times New Roman" w:hAnsi="Times New Roman"/>
          <w:i/>
          <w:sz w:val="24"/>
        </w:rPr>
        <w:t xml:space="preserve"> Society of Petroleum Engineers.</w:t>
      </w:r>
      <w:r w:rsidRPr="00284EC6">
        <w:rPr>
          <w:rFonts w:ascii="Times New Roman" w:hAnsi="Times New Roman"/>
          <w:sz w:val="24"/>
        </w:rPr>
        <w:t xml:space="preserve"> DOI: 10.2118/147397-MS.</w:t>
      </w:r>
    </w:p>
    <w:p w14:paraId="1853FAD4" w14:textId="77777777" w:rsidR="0041747C" w:rsidRPr="00284EC6" w:rsidRDefault="0041747C" w:rsidP="00284EC6">
      <w:pPr>
        <w:pStyle w:val="References"/>
        <w:spacing w:afterLines="120" w:after="288"/>
        <w:rPr>
          <w:color w:val="000000" w:themeColor="text1"/>
          <w:sz w:val="24"/>
          <w:szCs w:val="24"/>
        </w:rPr>
      </w:pPr>
      <w:r w:rsidRPr="00284EC6">
        <w:rPr>
          <w:color w:val="000000" w:themeColor="text1"/>
          <w:sz w:val="24"/>
          <w:szCs w:val="24"/>
        </w:rPr>
        <w:t xml:space="preserve">Allison, S. B., Pope, G. A., and Sepehrnoori, K. 1991. Analysis of field tracers for reservoir description. </w:t>
      </w:r>
      <w:r w:rsidRPr="00284EC6">
        <w:rPr>
          <w:i/>
          <w:color w:val="000000" w:themeColor="text1"/>
          <w:sz w:val="24"/>
          <w:szCs w:val="24"/>
        </w:rPr>
        <w:t>Journal of Petroleum Science and Engineering</w:t>
      </w:r>
      <w:r w:rsidRPr="00284EC6">
        <w:rPr>
          <w:color w:val="000000" w:themeColor="text1"/>
          <w:sz w:val="24"/>
          <w:szCs w:val="24"/>
        </w:rPr>
        <w:t>, 5(2): 173-186. http://dx.doi.org/10.1016/0920-4105(91)90066-V</w:t>
      </w:r>
    </w:p>
    <w:p w14:paraId="68CA4E16" w14:textId="77777777" w:rsidR="00CE0003" w:rsidRPr="00284EC6" w:rsidRDefault="00CE0003" w:rsidP="00284EC6">
      <w:pPr>
        <w:pStyle w:val="References"/>
        <w:spacing w:afterLines="120" w:after="288"/>
        <w:rPr>
          <w:sz w:val="24"/>
          <w:szCs w:val="24"/>
        </w:rPr>
      </w:pPr>
      <w:r w:rsidRPr="00284EC6">
        <w:rPr>
          <w:sz w:val="24"/>
          <w:szCs w:val="24"/>
        </w:rPr>
        <w:t>Allthingsradon. 2009. How is radon created? http://allthingsradon.com/tag/radioactive-decay/ (accessed Feb. 11 2016)</w:t>
      </w:r>
    </w:p>
    <w:p w14:paraId="34228F3D" w14:textId="77777777" w:rsidR="00CE0003" w:rsidRPr="00284EC6" w:rsidRDefault="00CE0003" w:rsidP="00284EC6">
      <w:pPr>
        <w:pStyle w:val="References"/>
        <w:spacing w:afterLines="120" w:after="288"/>
        <w:rPr>
          <w:sz w:val="24"/>
          <w:szCs w:val="24"/>
        </w:rPr>
      </w:pPr>
      <w:r w:rsidRPr="00284EC6">
        <w:rPr>
          <w:sz w:val="24"/>
          <w:szCs w:val="24"/>
        </w:rPr>
        <w:t>Amirkhanoff, K. I., Brandt, S., and Bartnitsky, E. 1961. Radiogenic argon in minerals and its migration. Annals of the New York Academy of Sciences 91(2): 235-275.</w:t>
      </w:r>
    </w:p>
    <w:p w14:paraId="2CDDEA8F" w14:textId="77777777" w:rsidR="00CE0003" w:rsidRPr="00284EC6" w:rsidRDefault="00CE0003" w:rsidP="00284EC6">
      <w:pPr>
        <w:pStyle w:val="References"/>
        <w:spacing w:afterLines="120" w:after="288"/>
        <w:rPr>
          <w:sz w:val="24"/>
          <w:szCs w:val="24"/>
        </w:rPr>
      </w:pPr>
      <w:r w:rsidRPr="00284EC6">
        <w:rPr>
          <w:sz w:val="24"/>
          <w:szCs w:val="24"/>
        </w:rPr>
        <w:t>Andrews, J. N., and Wood, D. F. 1972. Mechanism of radon release in rock matrices and entry into groundwater. Trans. Inst. Min. Metall. B 81: 198-209.</w:t>
      </w:r>
    </w:p>
    <w:p w14:paraId="587C29CB" w14:textId="77777777" w:rsidR="00CE0003" w:rsidRPr="00284EC6" w:rsidRDefault="00CE0003" w:rsidP="00284EC6">
      <w:pPr>
        <w:pStyle w:val="References"/>
        <w:spacing w:afterLines="120" w:after="288"/>
        <w:rPr>
          <w:sz w:val="24"/>
          <w:szCs w:val="24"/>
        </w:rPr>
      </w:pPr>
      <w:r w:rsidRPr="00284EC6">
        <w:rPr>
          <w:sz w:val="24"/>
          <w:szCs w:val="24"/>
        </w:rPr>
        <w:t>Anspaugh, L. R. 2012. Scientific issues concerning radon in natural gas. Texas Eastern Transmission, LP and Algonquin Gas Transmission, LLC, New Jersey–New York Expansion Project.</w:t>
      </w:r>
    </w:p>
    <w:p w14:paraId="2E5C3347" w14:textId="77777777" w:rsidR="0041747C" w:rsidRPr="00284EC6" w:rsidRDefault="0041747C" w:rsidP="00284EC6">
      <w:pPr>
        <w:pStyle w:val="References"/>
        <w:spacing w:afterLines="120" w:after="288"/>
        <w:rPr>
          <w:rStyle w:val="Hyperlink"/>
          <w:color w:val="000000" w:themeColor="text1"/>
          <w:sz w:val="24"/>
          <w:szCs w:val="24"/>
          <w:u w:val="none"/>
          <w:shd w:val="clear" w:color="auto" w:fill="FFFFFF"/>
        </w:rPr>
      </w:pPr>
      <w:r w:rsidRPr="00284EC6">
        <w:rPr>
          <w:color w:val="000000" w:themeColor="text1"/>
          <w:sz w:val="24"/>
          <w:szCs w:val="24"/>
          <w:shd w:val="clear" w:color="auto" w:fill="FFFFFF"/>
        </w:rPr>
        <w:t>Asadi, M., Woodroof, R. A., and Dumas, J. D. 2008. Post-frac analysis based on flowback results using chemical frac-tracers. Presented at the In</w:t>
      </w:r>
      <w:r w:rsidRPr="00284EC6">
        <w:rPr>
          <w:i/>
          <w:iCs/>
          <w:color w:val="000000" w:themeColor="text1"/>
          <w:sz w:val="24"/>
          <w:szCs w:val="24"/>
          <w:shd w:val="clear" w:color="auto" w:fill="FFFFFF"/>
        </w:rPr>
        <w:t>International Petroleum Technology Conference</w:t>
      </w:r>
      <w:r w:rsidRPr="00284EC6">
        <w:rPr>
          <w:color w:val="000000" w:themeColor="text1"/>
          <w:sz w:val="24"/>
          <w:szCs w:val="24"/>
          <w:shd w:val="clear" w:color="auto" w:fill="FFFFFF"/>
        </w:rPr>
        <w:t xml:space="preserve">. Kuala Lumpur, Malaysia, 3-5 December. </w:t>
      </w:r>
      <w:hyperlink r:id="rId74" w:tgtFrame="_blank" w:history="1">
        <w:r w:rsidRPr="00284EC6">
          <w:rPr>
            <w:rStyle w:val="Hyperlink"/>
            <w:color w:val="000000" w:themeColor="text1"/>
            <w:sz w:val="24"/>
            <w:szCs w:val="24"/>
            <w:u w:val="none"/>
            <w:shd w:val="clear" w:color="auto" w:fill="FFFFFF"/>
          </w:rPr>
          <w:t>http://dx.doi.org/10.2523/IPTC-11891-MS</w:t>
        </w:r>
      </w:hyperlink>
    </w:p>
    <w:p w14:paraId="2227FF2A"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 xml:space="preserve">Asakawa, K. 2005. </w:t>
      </w:r>
      <w:r w:rsidRPr="00284EC6">
        <w:rPr>
          <w:i/>
          <w:color w:val="000000" w:themeColor="text1"/>
          <w:sz w:val="24"/>
          <w:szCs w:val="24"/>
        </w:rPr>
        <w:t xml:space="preserve">A generalized analysis of partitioning interwell tracer tests. </w:t>
      </w:r>
      <w:r w:rsidRPr="00284EC6">
        <w:rPr>
          <w:color w:val="000000" w:themeColor="text1"/>
          <w:sz w:val="24"/>
          <w:szCs w:val="24"/>
        </w:rPr>
        <w:t>Ph.D dissertation, The University of Texas at Austin, Austin, Texas (Decemeber 2015).</w:t>
      </w:r>
    </w:p>
    <w:p w14:paraId="7374B5F6" w14:textId="77777777" w:rsidR="00CE0003" w:rsidRPr="00284EC6" w:rsidRDefault="00CE0003" w:rsidP="00284EC6">
      <w:pPr>
        <w:pStyle w:val="References"/>
        <w:spacing w:afterLines="120" w:after="288"/>
        <w:rPr>
          <w:sz w:val="24"/>
          <w:szCs w:val="24"/>
        </w:rPr>
      </w:pPr>
      <w:r w:rsidRPr="00284EC6">
        <w:rPr>
          <w:sz w:val="24"/>
          <w:szCs w:val="24"/>
        </w:rPr>
        <w:t>Barillon, R., Özgümüs, A., and Chambaudet, A. 2005. Direct recoil radon emanation from crystalline phases. Influence of moisture content. Geochimica et cosmochimica acta 69(11): 2735-2744.</w:t>
      </w:r>
    </w:p>
    <w:p w14:paraId="5F75980D" w14:textId="77777777" w:rsidR="00C11CA2" w:rsidRPr="00284EC6" w:rsidRDefault="00C11CA2" w:rsidP="00284EC6">
      <w:pPr>
        <w:pStyle w:val="References"/>
        <w:spacing w:afterLines="120" w:after="288"/>
        <w:rPr>
          <w:color w:val="000000" w:themeColor="text1"/>
          <w:sz w:val="24"/>
          <w:szCs w:val="24"/>
          <w:shd w:val="clear" w:color="auto" w:fill="FFFFFF"/>
        </w:rPr>
      </w:pPr>
      <w:r w:rsidRPr="00284EC6">
        <w:rPr>
          <w:color w:val="000000" w:themeColor="text1"/>
          <w:sz w:val="24"/>
          <w:szCs w:val="24"/>
          <w:shd w:val="clear" w:color="auto" w:fill="FFFFFF"/>
        </w:rPr>
        <w:t xml:space="preserve">Benson, D. A., and Meerschaert, M. M. 2009. A simple and efficient random walk solution of multi-rate mobile/immobile mass transport equations. </w:t>
      </w:r>
      <w:r w:rsidRPr="00284EC6">
        <w:rPr>
          <w:i/>
          <w:color w:val="000000" w:themeColor="text1"/>
          <w:sz w:val="24"/>
          <w:szCs w:val="24"/>
          <w:shd w:val="clear" w:color="auto" w:fill="FFFFFF"/>
        </w:rPr>
        <w:t>Advances in Water Resources</w:t>
      </w:r>
      <w:r w:rsidRPr="00284EC6">
        <w:rPr>
          <w:color w:val="000000" w:themeColor="text1"/>
          <w:sz w:val="24"/>
          <w:szCs w:val="24"/>
          <w:shd w:val="clear" w:color="auto" w:fill="FFFFFF"/>
        </w:rPr>
        <w:t>,</w:t>
      </w:r>
      <w:r w:rsidRPr="00284EC6">
        <w:rPr>
          <w:color w:val="000000" w:themeColor="text1"/>
          <w:sz w:val="24"/>
          <w:szCs w:val="24"/>
        </w:rPr>
        <w:t> </w:t>
      </w:r>
      <w:r w:rsidRPr="00284EC6">
        <w:rPr>
          <w:color w:val="000000" w:themeColor="text1"/>
          <w:sz w:val="24"/>
          <w:szCs w:val="24"/>
          <w:shd w:val="clear" w:color="auto" w:fill="FFFFFF"/>
        </w:rPr>
        <w:t>32(4), 532-539.</w:t>
      </w:r>
    </w:p>
    <w:p w14:paraId="3D5703F6"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 xml:space="preserve">Bragg, J.R., Shallenberger, L.K. and Deans H.A. In-situ Determination of Residual Gas Saturation by Injection and Production of Brine. Presented at the SPE Annual Fall </w:t>
      </w:r>
      <w:r w:rsidRPr="00284EC6">
        <w:rPr>
          <w:color w:val="000000" w:themeColor="text1"/>
          <w:sz w:val="24"/>
          <w:szCs w:val="24"/>
        </w:rPr>
        <w:lastRenderedPageBreak/>
        <w:t xml:space="preserve">Technical Conference and Exhibition, New Orleans, Louisiana, 3-6 October. SPE-6047-MS. </w:t>
      </w:r>
      <w:hyperlink r:id="rId75" w:tgtFrame="_blank" w:history="1">
        <w:r w:rsidRPr="00284EC6">
          <w:rPr>
            <w:color w:val="000000" w:themeColor="text1"/>
            <w:sz w:val="24"/>
            <w:szCs w:val="24"/>
          </w:rPr>
          <w:t>http://dx.doi.org/10.2118/6047-MS</w:t>
        </w:r>
      </w:hyperlink>
      <w:r w:rsidRPr="00284EC6">
        <w:rPr>
          <w:color w:val="000000" w:themeColor="text1"/>
          <w:sz w:val="24"/>
          <w:szCs w:val="24"/>
        </w:rPr>
        <w:t>.</w:t>
      </w:r>
    </w:p>
    <w:p w14:paraId="4E3FDB05" w14:textId="77777777" w:rsidR="00C11CA2" w:rsidRPr="00284EC6" w:rsidRDefault="00C11CA2" w:rsidP="00284EC6">
      <w:pPr>
        <w:pStyle w:val="StyleReferences10pt"/>
        <w:spacing w:afterLines="120" w:after="288"/>
        <w:rPr>
          <w:i/>
          <w:color w:val="000000" w:themeColor="text1"/>
          <w:sz w:val="24"/>
          <w:szCs w:val="24"/>
        </w:rPr>
      </w:pPr>
      <w:r w:rsidRPr="00284EC6">
        <w:rPr>
          <w:color w:val="000000" w:themeColor="text1"/>
          <w:sz w:val="24"/>
          <w:szCs w:val="24"/>
        </w:rPr>
        <w:t xml:space="preserve">Bu, P. X., AlSofi, A.M, Liu, J. et al. 2014. Simulation of single well tracer tests for surfactant–polymer flooding. </w:t>
      </w:r>
      <w:r w:rsidRPr="00284EC6">
        <w:rPr>
          <w:i/>
          <w:color w:val="000000" w:themeColor="text1"/>
          <w:sz w:val="24"/>
          <w:szCs w:val="24"/>
        </w:rPr>
        <w:t xml:space="preserve">Journal of Petroleum Exploration and Production Technology: </w:t>
      </w:r>
      <w:r w:rsidRPr="00284EC6">
        <w:rPr>
          <w:color w:val="000000" w:themeColor="text1"/>
          <w:sz w:val="24"/>
          <w:szCs w:val="24"/>
        </w:rPr>
        <w:t>1-13</w:t>
      </w:r>
      <w:r w:rsidRPr="00284EC6">
        <w:rPr>
          <w:i/>
          <w:color w:val="000000" w:themeColor="text1"/>
          <w:sz w:val="24"/>
          <w:szCs w:val="24"/>
        </w:rPr>
        <w:t xml:space="preserve">. </w:t>
      </w:r>
      <w:r w:rsidRPr="00284EC6">
        <w:rPr>
          <w:color w:val="000000" w:themeColor="text1"/>
          <w:sz w:val="24"/>
          <w:szCs w:val="24"/>
        </w:rPr>
        <w:t>http://dx.doi.org/10.1007/s13202-014-0143-9.</w:t>
      </w:r>
    </w:p>
    <w:p w14:paraId="02C222D1"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 xml:space="preserve">Buckley, S.E., and Leverett, M.C. 1942. Mechanism of Fluid Displacement in Sands. </w:t>
      </w:r>
      <w:r w:rsidRPr="00284EC6">
        <w:rPr>
          <w:i/>
          <w:color w:val="000000" w:themeColor="text1"/>
          <w:sz w:val="24"/>
          <w:szCs w:val="24"/>
        </w:rPr>
        <w:t>Transactions of the AIME</w:t>
      </w:r>
      <w:r w:rsidRPr="00284EC6">
        <w:rPr>
          <w:color w:val="000000" w:themeColor="text1"/>
          <w:sz w:val="24"/>
          <w:szCs w:val="24"/>
        </w:rPr>
        <w:t xml:space="preserve"> 146 (01): 107-116. SPE-942107-G. </w:t>
      </w:r>
      <w:hyperlink r:id="rId76" w:tgtFrame="_blank" w:history="1">
        <w:r w:rsidRPr="00284EC6">
          <w:rPr>
            <w:color w:val="000000" w:themeColor="text1"/>
            <w:sz w:val="24"/>
            <w:szCs w:val="24"/>
          </w:rPr>
          <w:t>http://dx.doi.org/10.2118/942107-G</w:t>
        </w:r>
      </w:hyperlink>
      <w:r w:rsidRPr="00284EC6">
        <w:rPr>
          <w:color w:val="000000" w:themeColor="text1"/>
          <w:sz w:val="24"/>
          <w:szCs w:val="24"/>
        </w:rPr>
        <w:t>.</w:t>
      </w:r>
    </w:p>
    <w:p w14:paraId="6CBE50CA" w14:textId="77777777" w:rsidR="0041747C" w:rsidRPr="00284EC6" w:rsidRDefault="0041747C" w:rsidP="00284EC6">
      <w:pPr>
        <w:pStyle w:val="References"/>
        <w:spacing w:afterLines="120" w:after="288"/>
        <w:rPr>
          <w:color w:val="000000" w:themeColor="text1"/>
          <w:sz w:val="24"/>
          <w:szCs w:val="24"/>
        </w:rPr>
      </w:pPr>
      <w:r w:rsidRPr="00284EC6">
        <w:rPr>
          <w:color w:val="000000" w:themeColor="text1"/>
          <w:sz w:val="24"/>
          <w:szCs w:val="24"/>
        </w:rPr>
        <w:t xml:space="preserve">Catlett, R. D., Spencer, J. D., Lolon, E., et al. 2013. Evaluation of two horizontal wells in the Eagle Ford using oil-based chemical tracer technology to optimize stimulation design. Presented at the SPE Hydraulic Fracturing Technology Conference, Woodlands, Texas, USA, 4-6 February. </w:t>
      </w:r>
      <w:hyperlink r:id="rId77" w:tgtFrame="_blank" w:history="1">
        <w:r w:rsidRPr="00284EC6">
          <w:rPr>
            <w:rStyle w:val="Hyperlink"/>
            <w:color w:val="000000" w:themeColor="text1"/>
            <w:sz w:val="24"/>
            <w:szCs w:val="24"/>
            <w:u w:val="none"/>
          </w:rPr>
          <w:t>http://dx.doi.org/10.2118/163846-MS</w:t>
        </w:r>
      </w:hyperlink>
      <w:r w:rsidRPr="00284EC6">
        <w:rPr>
          <w:color w:val="000000" w:themeColor="text1"/>
          <w:sz w:val="24"/>
          <w:szCs w:val="24"/>
        </w:rPr>
        <w:t xml:space="preserve"> </w:t>
      </w:r>
    </w:p>
    <w:p w14:paraId="5C2E3D4F" w14:textId="77777777" w:rsidR="0041747C" w:rsidRPr="00284EC6" w:rsidRDefault="0041747C" w:rsidP="00284EC6">
      <w:pPr>
        <w:pStyle w:val="References"/>
        <w:spacing w:afterLines="120" w:after="288"/>
        <w:rPr>
          <w:bCs/>
          <w:color w:val="000000" w:themeColor="text1"/>
          <w:sz w:val="24"/>
          <w:szCs w:val="24"/>
        </w:rPr>
      </w:pPr>
      <w:r w:rsidRPr="00284EC6">
        <w:rPr>
          <w:color w:val="000000" w:themeColor="text1"/>
          <w:sz w:val="24"/>
          <w:szCs w:val="24"/>
        </w:rPr>
        <w:t xml:space="preserve">Cheng, Y. 2012. Impact of water dynamics in fractures on the performance of hydraulically fractured wells in gas-shale reservoirs. </w:t>
      </w:r>
      <w:r w:rsidRPr="00284EC6">
        <w:rPr>
          <w:i/>
          <w:color w:val="000000" w:themeColor="text1"/>
          <w:sz w:val="24"/>
          <w:szCs w:val="24"/>
        </w:rPr>
        <w:t>Journal of Canadian Petroleum Technology</w:t>
      </w:r>
      <w:r w:rsidRPr="00284EC6">
        <w:rPr>
          <w:color w:val="000000" w:themeColor="text1"/>
          <w:sz w:val="24"/>
          <w:szCs w:val="24"/>
        </w:rPr>
        <w:t xml:space="preserve">, 51(02): 143-151. </w:t>
      </w:r>
      <w:hyperlink r:id="rId78" w:history="1">
        <w:r w:rsidRPr="00284EC6">
          <w:rPr>
            <w:rStyle w:val="Hyperlink"/>
            <w:color w:val="000000" w:themeColor="text1"/>
            <w:sz w:val="24"/>
            <w:szCs w:val="24"/>
            <w:u w:val="none"/>
          </w:rPr>
          <w:t>http://dx.doi.org/10.2118/127863-PA</w:t>
        </w:r>
      </w:hyperlink>
      <w:r w:rsidRPr="00284EC6">
        <w:rPr>
          <w:bCs/>
          <w:color w:val="000000" w:themeColor="text1"/>
          <w:sz w:val="24"/>
          <w:szCs w:val="24"/>
        </w:rPr>
        <w:t>.</w:t>
      </w:r>
    </w:p>
    <w:p w14:paraId="74F2EE11" w14:textId="77777777" w:rsidR="002D015D" w:rsidRPr="00284EC6" w:rsidRDefault="002D015D" w:rsidP="00284EC6">
      <w:pPr>
        <w:shd w:val="clear" w:color="auto" w:fill="FFFFFF"/>
        <w:tabs>
          <w:tab w:val="clear" w:pos="7632"/>
        </w:tabs>
        <w:spacing w:afterLines="120" w:after="288" w:line="240" w:lineRule="auto"/>
        <w:ind w:left="374" w:hanging="374"/>
      </w:pPr>
      <w:r w:rsidRPr="00284EC6">
        <w:rPr>
          <w:color w:val="222222"/>
          <w:shd w:val="clear" w:color="auto" w:fill="FFFFFF"/>
        </w:rPr>
        <w:t>Chalmers, G. R., Bustin, R. M., Power, I. M. 2012. Characterization of gas shale pore systems by porosimetry, pycnometry, surface area, and field emission scanning electron microscopy/transmission electron microscopy image analyses: Examples from the Barnett, Woodford, Haynesville, Marcellus, and Doig units. </w:t>
      </w:r>
      <w:r w:rsidRPr="00284EC6">
        <w:rPr>
          <w:i/>
          <w:iCs/>
          <w:color w:val="222222"/>
          <w:shd w:val="clear" w:color="auto" w:fill="FFFFFF"/>
        </w:rPr>
        <w:t>AAPG bulletin</w:t>
      </w:r>
      <w:r w:rsidRPr="00284EC6">
        <w:rPr>
          <w:color w:val="222222"/>
          <w:shd w:val="clear" w:color="auto" w:fill="FFFFFF"/>
        </w:rPr>
        <w:t>, </w:t>
      </w:r>
      <w:r w:rsidRPr="00284EC6">
        <w:rPr>
          <w:iCs/>
          <w:color w:val="222222"/>
          <w:shd w:val="clear" w:color="auto" w:fill="FFFFFF"/>
        </w:rPr>
        <w:t>96</w:t>
      </w:r>
      <w:r w:rsidRPr="00284EC6">
        <w:rPr>
          <w:color w:val="222222"/>
          <w:shd w:val="clear" w:color="auto" w:fill="FFFFFF"/>
        </w:rPr>
        <w:t>(6): 1099-1119. Doi: 10.1306/10171111052</w:t>
      </w:r>
    </w:p>
    <w:p w14:paraId="26A3F15F" w14:textId="77777777" w:rsidR="0041747C" w:rsidRPr="00284EC6" w:rsidRDefault="0041747C" w:rsidP="00284EC6">
      <w:pPr>
        <w:pStyle w:val="References"/>
        <w:spacing w:afterLines="120" w:after="288"/>
        <w:rPr>
          <w:color w:val="000000" w:themeColor="text1"/>
          <w:sz w:val="24"/>
          <w:szCs w:val="24"/>
        </w:rPr>
      </w:pPr>
      <w:r w:rsidRPr="00284EC6">
        <w:rPr>
          <w:color w:val="000000" w:themeColor="text1"/>
          <w:sz w:val="24"/>
          <w:szCs w:val="24"/>
        </w:rPr>
        <w:t>Chitrala, Y., Moreno, C., Songdergeld, C. H. et al. 2011. Microseismic and microscopic analysis of laboratory induced hydraulic fractures. Presented at the Canadian Unconventional Resources Conference, Calgary, Alberta, Canada, 15-17 November. http://dx.doi.org/10.2118/147321-MS</w:t>
      </w:r>
    </w:p>
    <w:p w14:paraId="7A6F9244" w14:textId="77777777" w:rsidR="0041747C" w:rsidRPr="00284EC6" w:rsidRDefault="0041747C" w:rsidP="00284EC6">
      <w:pPr>
        <w:pStyle w:val="References"/>
        <w:spacing w:afterLines="120" w:after="288"/>
        <w:rPr>
          <w:color w:val="000000" w:themeColor="text1"/>
          <w:sz w:val="24"/>
          <w:szCs w:val="24"/>
        </w:rPr>
      </w:pPr>
      <w:r w:rsidRPr="00284EC6">
        <w:rPr>
          <w:color w:val="000000" w:themeColor="text1"/>
          <w:sz w:val="24"/>
          <w:szCs w:val="24"/>
        </w:rPr>
        <w:t>Cipolla, C. L., Lolon, E. P., Erdle, J. C., et al. 2010. Reservoir modeling in shale-gas reservoirs.</w:t>
      </w:r>
      <w:r w:rsidRPr="00284EC6">
        <w:rPr>
          <w:rStyle w:val="apple-converted-space"/>
          <w:color w:val="000000" w:themeColor="text1"/>
          <w:sz w:val="24"/>
          <w:szCs w:val="24"/>
        </w:rPr>
        <w:t> </w:t>
      </w:r>
      <w:r w:rsidRPr="00284EC6">
        <w:rPr>
          <w:i/>
          <w:iCs/>
          <w:color w:val="000000" w:themeColor="text1"/>
          <w:sz w:val="24"/>
          <w:szCs w:val="24"/>
        </w:rPr>
        <w:t>SPE reservoir evaluation &amp; engineering</w:t>
      </w:r>
      <w:r w:rsidRPr="00284EC6">
        <w:rPr>
          <w:color w:val="000000" w:themeColor="text1"/>
          <w:sz w:val="24"/>
          <w:szCs w:val="24"/>
        </w:rPr>
        <w:t xml:space="preserve">, </w:t>
      </w:r>
      <w:r w:rsidRPr="00284EC6">
        <w:rPr>
          <w:iCs/>
          <w:color w:val="000000" w:themeColor="text1"/>
          <w:sz w:val="24"/>
          <w:szCs w:val="24"/>
        </w:rPr>
        <w:t>13</w:t>
      </w:r>
      <w:r w:rsidRPr="00284EC6">
        <w:rPr>
          <w:color w:val="000000" w:themeColor="text1"/>
          <w:sz w:val="24"/>
          <w:szCs w:val="24"/>
        </w:rPr>
        <w:t xml:space="preserve">(04): 638-653. </w:t>
      </w:r>
      <w:r w:rsidR="00C11CA2" w:rsidRPr="00284EC6">
        <w:rPr>
          <w:color w:val="000000" w:themeColor="text1"/>
          <w:sz w:val="24"/>
          <w:szCs w:val="24"/>
        </w:rPr>
        <w:t>http://dx.doi.org/10.2118/125530-PA</w:t>
      </w:r>
      <w:r w:rsidRPr="00284EC6">
        <w:rPr>
          <w:color w:val="000000" w:themeColor="text1"/>
          <w:sz w:val="24"/>
          <w:szCs w:val="24"/>
        </w:rPr>
        <w:t>.</w:t>
      </w:r>
    </w:p>
    <w:p w14:paraId="254B22DB" w14:textId="77777777" w:rsidR="00CE0003" w:rsidRPr="00284EC6" w:rsidRDefault="00CE0003" w:rsidP="00284EC6">
      <w:pPr>
        <w:pStyle w:val="References"/>
        <w:spacing w:afterLines="120" w:after="288"/>
        <w:rPr>
          <w:sz w:val="24"/>
          <w:szCs w:val="24"/>
        </w:rPr>
      </w:pPr>
      <w:r w:rsidRPr="00284EC6">
        <w:rPr>
          <w:sz w:val="24"/>
          <w:szCs w:val="24"/>
        </w:rPr>
        <w:t>Civan, F. 2011. Porous media transport phenomena. John Wiley &amp; Sons.</w:t>
      </w:r>
    </w:p>
    <w:p w14:paraId="4E84F19E" w14:textId="77777777" w:rsidR="00CE0003" w:rsidRPr="00284EC6" w:rsidRDefault="00CE0003" w:rsidP="00284EC6">
      <w:pPr>
        <w:pStyle w:val="References"/>
        <w:spacing w:afterLines="120" w:after="288"/>
        <w:rPr>
          <w:color w:val="000000" w:themeColor="text1"/>
          <w:sz w:val="24"/>
          <w:szCs w:val="24"/>
        </w:rPr>
      </w:pPr>
      <w:r w:rsidRPr="00284EC6">
        <w:rPr>
          <w:color w:val="000000" w:themeColor="text1"/>
          <w:sz w:val="24"/>
          <w:szCs w:val="24"/>
        </w:rPr>
        <w:t xml:space="preserve">CMG-STARS User’s Guide. 2012: </w:t>
      </w:r>
      <w:r w:rsidRPr="00284EC6">
        <w:rPr>
          <w:i/>
          <w:color w:val="000000" w:themeColor="text1"/>
          <w:sz w:val="24"/>
          <w:szCs w:val="24"/>
        </w:rPr>
        <w:t>Computer Modeling Group Ltd</w:t>
      </w:r>
    </w:p>
    <w:p w14:paraId="5D360DDE"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 xml:space="preserve">Cockin, A.P., Malcolm, L.T., McGuire, P.L. et al. 2000. Analysis of A Single-Well Chemical Tracer Test to Measure the Residual Oil Saturation to A Hydrocarbon Miscible Gas Flood at Prudhoe Bay. </w:t>
      </w:r>
      <w:r w:rsidRPr="00284EC6">
        <w:rPr>
          <w:i/>
          <w:color w:val="000000" w:themeColor="text1"/>
          <w:sz w:val="24"/>
          <w:szCs w:val="24"/>
        </w:rPr>
        <w:t>SPE Res Eval &amp; Eng</w:t>
      </w:r>
      <w:r w:rsidRPr="00284EC6">
        <w:rPr>
          <w:color w:val="000000" w:themeColor="text1"/>
          <w:sz w:val="24"/>
          <w:szCs w:val="24"/>
        </w:rPr>
        <w:t xml:space="preserve"> 3 (06): 544-551. SPE-68051-PA. </w:t>
      </w:r>
      <w:hyperlink r:id="rId79" w:tgtFrame="_blank" w:history="1">
        <w:r w:rsidRPr="00284EC6">
          <w:rPr>
            <w:color w:val="000000" w:themeColor="text1"/>
            <w:sz w:val="24"/>
            <w:szCs w:val="24"/>
          </w:rPr>
          <w:t>http://dx.doi.org/10.2118/68051-PA</w:t>
        </w:r>
      </w:hyperlink>
      <w:r w:rsidRPr="00284EC6">
        <w:rPr>
          <w:color w:val="000000" w:themeColor="text1"/>
          <w:sz w:val="24"/>
          <w:szCs w:val="24"/>
        </w:rPr>
        <w:t>.</w:t>
      </w:r>
    </w:p>
    <w:p w14:paraId="7DBEE4D2"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lastRenderedPageBreak/>
        <w:t>Cooke Jr., C.E. 1971. Method of Determining Fluid Saturations in Reservoirs. US Patent No. US3590923A.</w:t>
      </w:r>
    </w:p>
    <w:p w14:paraId="1F5D5110" w14:textId="77777777" w:rsidR="0041747C" w:rsidRPr="00284EC6" w:rsidRDefault="0041747C" w:rsidP="00284EC6">
      <w:pPr>
        <w:pStyle w:val="References"/>
        <w:spacing w:afterLines="120" w:after="288"/>
        <w:rPr>
          <w:color w:val="000000" w:themeColor="text1"/>
          <w:sz w:val="24"/>
          <w:szCs w:val="24"/>
        </w:rPr>
      </w:pPr>
      <w:r w:rsidRPr="00284EC6">
        <w:rPr>
          <w:color w:val="000000" w:themeColor="text1"/>
          <w:sz w:val="24"/>
          <w:szCs w:val="24"/>
        </w:rPr>
        <w:t xml:space="preserve">Crafton, J. W. 2008. Modeling flowback behavior or flowback equals" slowback". Presented at the </w:t>
      </w:r>
      <w:r w:rsidRPr="00284EC6">
        <w:rPr>
          <w:iCs/>
          <w:color w:val="000000" w:themeColor="text1"/>
          <w:sz w:val="24"/>
          <w:szCs w:val="24"/>
        </w:rPr>
        <w:t>SPE Shale Gas Production Conference</w:t>
      </w:r>
      <w:r w:rsidRPr="00284EC6">
        <w:rPr>
          <w:color w:val="000000" w:themeColor="text1"/>
          <w:sz w:val="24"/>
          <w:szCs w:val="24"/>
        </w:rPr>
        <w:t xml:space="preserve">, Fort Worth, Texas, USA, 16-18 November. </w:t>
      </w:r>
      <w:r w:rsidRPr="00284EC6">
        <w:rPr>
          <w:bCs/>
          <w:color w:val="000000" w:themeColor="text1"/>
          <w:sz w:val="24"/>
          <w:szCs w:val="24"/>
        </w:rPr>
        <w:t>http://dx.doi.org/10.2118/119894-MS</w:t>
      </w:r>
    </w:p>
    <w:p w14:paraId="59FBA78E" w14:textId="77777777" w:rsidR="0041747C" w:rsidRPr="00284EC6" w:rsidRDefault="0041747C" w:rsidP="00284EC6">
      <w:pPr>
        <w:pStyle w:val="References"/>
        <w:spacing w:afterLines="120" w:after="288"/>
        <w:rPr>
          <w:color w:val="000000" w:themeColor="text1"/>
          <w:sz w:val="24"/>
          <w:szCs w:val="24"/>
        </w:rPr>
      </w:pPr>
      <w:r w:rsidRPr="00284EC6">
        <w:rPr>
          <w:color w:val="000000" w:themeColor="text1"/>
          <w:sz w:val="24"/>
          <w:szCs w:val="24"/>
        </w:rPr>
        <w:t>Crawford, E., Senters, C. W., Bullard, K. E., et al. 2014. Granite Wash optimization-validating completion and production techniques. Presented at the</w:t>
      </w:r>
      <w:r w:rsidRPr="00284EC6">
        <w:rPr>
          <w:rStyle w:val="apple-converted-space"/>
          <w:color w:val="000000" w:themeColor="text1"/>
          <w:sz w:val="24"/>
          <w:szCs w:val="24"/>
        </w:rPr>
        <w:t> </w:t>
      </w:r>
      <w:r w:rsidRPr="00284EC6">
        <w:rPr>
          <w:iCs/>
          <w:color w:val="000000" w:themeColor="text1"/>
          <w:sz w:val="24"/>
          <w:szCs w:val="24"/>
        </w:rPr>
        <w:t>SPE Annual Technical Conference and Exhibition, Amsterdam, Netherlands, 27-29 October</w:t>
      </w:r>
      <w:r w:rsidRPr="00284EC6">
        <w:rPr>
          <w:color w:val="000000" w:themeColor="text1"/>
          <w:sz w:val="24"/>
          <w:szCs w:val="24"/>
        </w:rPr>
        <w:t xml:space="preserve">. </w:t>
      </w:r>
      <w:hyperlink r:id="rId80" w:tgtFrame="_blank" w:history="1">
        <w:r w:rsidRPr="00284EC6">
          <w:rPr>
            <w:rStyle w:val="Hyperlink"/>
            <w:color w:val="000000" w:themeColor="text1"/>
            <w:sz w:val="24"/>
            <w:szCs w:val="24"/>
            <w:u w:val="none"/>
          </w:rPr>
          <w:t>http://dx.doi.org/10.2118/170923-MS</w:t>
        </w:r>
      </w:hyperlink>
    </w:p>
    <w:p w14:paraId="2657DD23" w14:textId="77777777" w:rsidR="0041747C" w:rsidRPr="00284EC6" w:rsidRDefault="0041747C" w:rsidP="00284EC6">
      <w:pPr>
        <w:pStyle w:val="References"/>
        <w:spacing w:afterLines="120" w:after="288"/>
        <w:rPr>
          <w:rStyle w:val="Hyperlink"/>
          <w:color w:val="000000" w:themeColor="text1"/>
          <w:sz w:val="24"/>
          <w:szCs w:val="24"/>
          <w:u w:val="none"/>
        </w:rPr>
      </w:pPr>
      <w:r w:rsidRPr="00284EC6">
        <w:rPr>
          <w:color w:val="000000" w:themeColor="text1"/>
          <w:sz w:val="24"/>
          <w:szCs w:val="24"/>
        </w:rPr>
        <w:t>Davis, E. 2009. Hydraulic Fracture Diagnostics and Reservoir Diagnostics. http://www.ieaghg.org/docs/monitoring/5mtg/Pinnacle_BD%20Overview%20EJD.pdf</w:t>
      </w:r>
    </w:p>
    <w:p w14:paraId="13CB466F" w14:textId="77777777" w:rsidR="00CE0003" w:rsidRPr="00284EC6" w:rsidRDefault="00CE0003" w:rsidP="00284EC6">
      <w:pPr>
        <w:pStyle w:val="References"/>
        <w:spacing w:afterLines="120" w:after="288"/>
        <w:rPr>
          <w:sz w:val="24"/>
          <w:szCs w:val="24"/>
        </w:rPr>
      </w:pPr>
      <w:r w:rsidRPr="00284EC6">
        <w:rPr>
          <w:sz w:val="24"/>
          <w:szCs w:val="24"/>
        </w:rPr>
        <w:t>Darby, S., Hill, D., Auvinen, A. et al. 2005. Radon in homes and risk of lung cancer: collaborative analysis of individual data from 13 European case-control studies. Bmj 330(7485), 223.</w:t>
      </w:r>
    </w:p>
    <w:p w14:paraId="7859C512"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 xml:space="preserve">Deans, H.A., and Carlisle, C.T. 1988. Single Well Chemical Tracer Test Handbook . </w:t>
      </w:r>
      <w:r w:rsidRPr="00284EC6">
        <w:rPr>
          <w:i/>
          <w:color w:val="000000" w:themeColor="text1"/>
          <w:sz w:val="24"/>
          <w:szCs w:val="24"/>
        </w:rPr>
        <w:t xml:space="preserve">Chemical Tracers Inc., </w:t>
      </w:r>
      <w:r w:rsidRPr="00284EC6">
        <w:rPr>
          <w:color w:val="000000" w:themeColor="text1"/>
          <w:sz w:val="24"/>
          <w:szCs w:val="24"/>
        </w:rPr>
        <w:t>Houston, TX.</w:t>
      </w:r>
    </w:p>
    <w:p w14:paraId="26EA3EF3"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 xml:space="preserve">Deans, H.A., and Mut, A.D. 1997. Chemical Tracer Studies to Determine Water Saturation at Prudhoe Bay. </w:t>
      </w:r>
      <w:r w:rsidRPr="00284EC6">
        <w:rPr>
          <w:i/>
          <w:color w:val="000000" w:themeColor="text1"/>
          <w:sz w:val="24"/>
          <w:szCs w:val="24"/>
        </w:rPr>
        <w:t>SPE Res Eng</w:t>
      </w:r>
      <w:r w:rsidRPr="00284EC6">
        <w:rPr>
          <w:color w:val="000000" w:themeColor="text1"/>
          <w:sz w:val="24"/>
          <w:szCs w:val="24"/>
        </w:rPr>
        <w:t xml:space="preserve"> 12: 52-57. SPE-28591-PA. </w:t>
      </w:r>
      <w:hyperlink r:id="rId81" w:tgtFrame="_blank" w:history="1">
        <w:r w:rsidRPr="00284EC6">
          <w:rPr>
            <w:color w:val="000000" w:themeColor="text1"/>
            <w:sz w:val="24"/>
            <w:szCs w:val="24"/>
          </w:rPr>
          <w:t>http://dx.doi.org/10.2118/28591-PA</w:t>
        </w:r>
      </w:hyperlink>
      <w:r w:rsidRPr="00284EC6">
        <w:rPr>
          <w:color w:val="000000" w:themeColor="text1"/>
          <w:sz w:val="24"/>
          <w:szCs w:val="24"/>
        </w:rPr>
        <w:t>.</w:t>
      </w:r>
    </w:p>
    <w:p w14:paraId="037DAA0D"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 xml:space="preserve">Deans, H.A., and Shallenberger, L.K. 1974. Single WelI Chemical Tracer Method to Measure Connate Water Saturation. Presented at the SPE Improved Oil Recovery Symposium, Tulsa, Oklahoma, 22-24 April. SPE-4755-MS. </w:t>
      </w:r>
      <w:hyperlink r:id="rId82" w:tgtFrame="_blank" w:history="1">
        <w:r w:rsidRPr="00284EC6">
          <w:rPr>
            <w:color w:val="000000" w:themeColor="text1"/>
            <w:sz w:val="24"/>
            <w:szCs w:val="24"/>
          </w:rPr>
          <w:t>http://dx.doi.org/10.2118/4755-MS</w:t>
        </w:r>
      </w:hyperlink>
      <w:r w:rsidRPr="00284EC6">
        <w:rPr>
          <w:color w:val="000000" w:themeColor="text1"/>
          <w:sz w:val="24"/>
          <w:szCs w:val="24"/>
        </w:rPr>
        <w:t>.</w:t>
      </w:r>
    </w:p>
    <w:p w14:paraId="06F169ED"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Deans, H.A., and Majoros, S. 1980. Single-Well Chemical Tracer Method for Measuring Residual Oil Saturation. Final report. United States.</w:t>
      </w:r>
    </w:p>
    <w:p w14:paraId="76795B39"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 xml:space="preserve">Denney, D. 2011. Alkaline/Surfactant/Polymer Flood: Single Well Chemical Tracer Tests-Design, Implementation and Performance. </w:t>
      </w:r>
      <w:r w:rsidRPr="00284EC6">
        <w:rPr>
          <w:i/>
          <w:color w:val="000000" w:themeColor="text1"/>
          <w:sz w:val="24"/>
          <w:szCs w:val="24"/>
        </w:rPr>
        <w:t xml:space="preserve">J Pet Technol </w:t>
      </w:r>
      <w:r w:rsidRPr="00284EC6">
        <w:rPr>
          <w:color w:val="000000" w:themeColor="text1"/>
          <w:sz w:val="24"/>
          <w:szCs w:val="24"/>
        </w:rPr>
        <w:t>63(06</w:t>
      </w:r>
      <w:r w:rsidRPr="00284EC6">
        <w:rPr>
          <w:color w:val="000000" w:themeColor="text1"/>
          <w:sz w:val="24"/>
          <w:szCs w:val="24"/>
          <w:shd w:val="clear" w:color="auto" w:fill="FFFFFF"/>
        </w:rPr>
        <w:t>):</w:t>
      </w:r>
      <w:r w:rsidRPr="00284EC6">
        <w:rPr>
          <w:color w:val="000000" w:themeColor="text1"/>
          <w:sz w:val="24"/>
          <w:szCs w:val="24"/>
        </w:rPr>
        <w:t xml:space="preserve">86-88. SPE-0611-0086-JPT. </w:t>
      </w:r>
      <w:hyperlink r:id="rId83" w:tgtFrame="_blank" w:history="1">
        <w:r w:rsidRPr="00284EC6">
          <w:rPr>
            <w:color w:val="000000" w:themeColor="text1"/>
            <w:sz w:val="24"/>
            <w:szCs w:val="24"/>
          </w:rPr>
          <w:t>http://dx.doi.org/10.2118/0611-0086-JPT</w:t>
        </w:r>
      </w:hyperlink>
      <w:r w:rsidRPr="00284EC6">
        <w:rPr>
          <w:color w:val="000000" w:themeColor="text1"/>
          <w:sz w:val="24"/>
          <w:szCs w:val="24"/>
        </w:rPr>
        <w:t>.</w:t>
      </w:r>
    </w:p>
    <w:p w14:paraId="28AD8767" w14:textId="77777777" w:rsidR="00CE0003" w:rsidRPr="00284EC6" w:rsidRDefault="00CE0003" w:rsidP="00284EC6">
      <w:pPr>
        <w:pStyle w:val="References"/>
        <w:spacing w:afterLines="120" w:after="288"/>
        <w:rPr>
          <w:sz w:val="24"/>
          <w:szCs w:val="24"/>
        </w:rPr>
      </w:pPr>
      <w:r w:rsidRPr="00284EC6">
        <w:rPr>
          <w:sz w:val="24"/>
          <w:szCs w:val="24"/>
        </w:rPr>
        <w:t>DOE, US. 2009. Modern shale gas development in the United States: A primer. Office of Fossil Energy and National Energy Technology Laboratory.</w:t>
      </w:r>
    </w:p>
    <w:p w14:paraId="24305143" w14:textId="77777777" w:rsidR="00CE0003" w:rsidRPr="00284EC6" w:rsidRDefault="00CE0003" w:rsidP="00284EC6">
      <w:pPr>
        <w:pStyle w:val="References"/>
        <w:spacing w:afterLines="120" w:after="288"/>
        <w:rPr>
          <w:sz w:val="24"/>
          <w:szCs w:val="24"/>
        </w:rPr>
      </w:pPr>
      <w:r w:rsidRPr="00284EC6">
        <w:rPr>
          <w:sz w:val="24"/>
          <w:szCs w:val="24"/>
        </w:rPr>
        <w:fldChar w:fldCharType="begin"/>
      </w:r>
      <w:r w:rsidRPr="00284EC6">
        <w:rPr>
          <w:sz w:val="24"/>
          <w:szCs w:val="24"/>
        </w:rPr>
        <w:instrText xml:space="preserve"> ADDIN EN.REFLIST </w:instrText>
      </w:r>
      <w:r w:rsidRPr="00284EC6">
        <w:rPr>
          <w:sz w:val="24"/>
          <w:szCs w:val="24"/>
        </w:rPr>
        <w:fldChar w:fldCharType="end"/>
      </w:r>
      <w:r w:rsidRPr="00284EC6">
        <w:rPr>
          <w:sz w:val="24"/>
          <w:szCs w:val="24"/>
        </w:rPr>
        <w:t>EIA. 2014. Shale gas provides largest share of U.S. natural gas production in 2013. http://www.eia.gov/todayinenergy/detail.cfm?id=18951 (accessed Feb. 11 2016)</w:t>
      </w:r>
    </w:p>
    <w:p w14:paraId="6CAA3ED2" w14:textId="77777777" w:rsidR="00CE0003" w:rsidRPr="00284EC6" w:rsidRDefault="00CE0003" w:rsidP="00284EC6">
      <w:pPr>
        <w:pStyle w:val="References"/>
        <w:spacing w:afterLines="120" w:after="288"/>
        <w:rPr>
          <w:sz w:val="24"/>
          <w:szCs w:val="24"/>
        </w:rPr>
      </w:pPr>
      <w:r w:rsidRPr="00284EC6">
        <w:rPr>
          <w:sz w:val="24"/>
          <w:szCs w:val="24"/>
        </w:rPr>
        <w:lastRenderedPageBreak/>
        <w:t>EPA. 2012. A citizen’s guide to radon: the guide to protecting yourself and your family from radon. http://www.epa.gov/sites/production/files/2015-05/documents/citizensguide.pdf (accessed Feb. 11 2016)</w:t>
      </w:r>
    </w:p>
    <w:p w14:paraId="5A38E311" w14:textId="77777777" w:rsidR="0041747C" w:rsidRPr="00284EC6" w:rsidRDefault="0041747C" w:rsidP="00284EC6">
      <w:pPr>
        <w:pStyle w:val="References"/>
        <w:spacing w:afterLines="120" w:after="288"/>
        <w:rPr>
          <w:color w:val="000000" w:themeColor="text1"/>
          <w:sz w:val="24"/>
          <w:szCs w:val="24"/>
        </w:rPr>
      </w:pPr>
      <w:r w:rsidRPr="00284EC6">
        <w:rPr>
          <w:color w:val="000000" w:themeColor="text1"/>
          <w:sz w:val="24"/>
          <w:szCs w:val="24"/>
        </w:rPr>
        <w:t xml:space="preserve">Elahi, S. H., and Jafarpour, B. 2015. Characterization of fracture length and conductivity from tracer test and production data with Ensemble Kalman filter. Presented at the Unconventional Resources Technology Conference, San Antonio, Texas, USA, 20-22 July. </w:t>
      </w:r>
      <w:r w:rsidRPr="00284EC6">
        <w:rPr>
          <w:bCs/>
          <w:color w:val="000000" w:themeColor="text1"/>
          <w:sz w:val="24"/>
          <w:szCs w:val="24"/>
        </w:rPr>
        <w:t>http://dx.doi.org/10.2118/178707-MS</w:t>
      </w:r>
    </w:p>
    <w:p w14:paraId="536BE8DA" w14:textId="77777777" w:rsidR="00CE0003" w:rsidRPr="00284EC6" w:rsidRDefault="00CE0003" w:rsidP="00284EC6">
      <w:pPr>
        <w:pStyle w:val="References"/>
        <w:spacing w:afterLines="120" w:after="288"/>
        <w:rPr>
          <w:sz w:val="24"/>
          <w:szCs w:val="24"/>
        </w:rPr>
      </w:pPr>
      <w:r w:rsidRPr="00284EC6">
        <w:rPr>
          <w:sz w:val="24"/>
          <w:szCs w:val="24"/>
        </w:rPr>
        <w:t>Fetzer, T. 2014. Fracking growth. Presented at the CEP Discussion Papers, London, UK, June.</w:t>
      </w:r>
    </w:p>
    <w:p w14:paraId="6DD0DFB0" w14:textId="77777777" w:rsidR="00CE0003" w:rsidRPr="00284EC6" w:rsidRDefault="00CE0003" w:rsidP="00284EC6">
      <w:pPr>
        <w:pStyle w:val="References"/>
        <w:spacing w:afterLines="120" w:after="288"/>
        <w:rPr>
          <w:sz w:val="24"/>
          <w:szCs w:val="24"/>
        </w:rPr>
      </w:pPr>
      <w:r w:rsidRPr="00284EC6">
        <w:rPr>
          <w:sz w:val="24"/>
          <w:szCs w:val="24"/>
        </w:rPr>
        <w:t>Fleischer, R. L. 1983. Theory of alpha recoil effects on radon release and isotopic disequilibrium. Geochimica et Cosmochimica Acta 47(4): 779-784.</w:t>
      </w:r>
    </w:p>
    <w:p w14:paraId="012263BE" w14:textId="77777777" w:rsidR="002D015D" w:rsidRPr="00284EC6" w:rsidRDefault="002D015D" w:rsidP="00284EC6">
      <w:pPr>
        <w:pStyle w:val="EndNoteBibliography"/>
        <w:tabs>
          <w:tab w:val="clear" w:pos="7632"/>
        </w:tabs>
        <w:spacing w:afterLines="120" w:after="288"/>
        <w:ind w:left="374" w:hanging="374"/>
        <w:jc w:val="both"/>
        <w:rPr>
          <w:rFonts w:ascii="Times New Roman" w:hAnsi="Times New Roman"/>
          <w:sz w:val="24"/>
        </w:rPr>
      </w:pPr>
      <w:r w:rsidRPr="00284EC6">
        <w:rPr>
          <w:rFonts w:ascii="Times New Roman" w:hAnsi="Times New Roman"/>
          <w:sz w:val="24"/>
        </w:rPr>
        <w:t xml:space="preserve">Flügge, S.; Zimens, K. 1939. The Determination of Grain Size and Diffusion Canstant by the Emanation Power (The Theory of Emanation Method). </w:t>
      </w:r>
      <w:r w:rsidRPr="00284EC6">
        <w:rPr>
          <w:rFonts w:ascii="Times New Roman" w:hAnsi="Times New Roman"/>
          <w:i/>
          <w:sz w:val="24"/>
        </w:rPr>
        <w:t xml:space="preserve">Z. Phys. Chem. </w:t>
      </w:r>
      <w:r w:rsidRPr="00284EC6">
        <w:rPr>
          <w:rFonts w:ascii="Times New Roman" w:hAnsi="Times New Roman"/>
          <w:sz w:val="24"/>
        </w:rPr>
        <w:t>42: 179-220.</w:t>
      </w:r>
    </w:p>
    <w:p w14:paraId="1F592CCB" w14:textId="77777777" w:rsidR="0041747C" w:rsidRPr="00284EC6" w:rsidRDefault="0041747C" w:rsidP="00284EC6">
      <w:pPr>
        <w:pStyle w:val="References"/>
        <w:spacing w:afterLines="120" w:after="288"/>
        <w:rPr>
          <w:color w:val="000000" w:themeColor="text1"/>
          <w:sz w:val="24"/>
          <w:szCs w:val="24"/>
        </w:rPr>
      </w:pPr>
      <w:r w:rsidRPr="00284EC6">
        <w:rPr>
          <w:color w:val="000000" w:themeColor="text1"/>
          <w:sz w:val="24"/>
          <w:szCs w:val="24"/>
        </w:rPr>
        <w:t>Gardien, C. J., Pope, G. A., and Hill, A. D. 1996. Hydraulic fracture diagnosis using chemical tracers. Presented at the SPE</w:t>
      </w:r>
      <w:r w:rsidRPr="00284EC6">
        <w:rPr>
          <w:rFonts w:ascii="SimSun" w:eastAsia="SimSun" w:hAnsi="SimSun" w:cs="SimSun" w:hint="eastAsia"/>
          <w:color w:val="000000" w:themeColor="text1"/>
          <w:sz w:val="24"/>
          <w:szCs w:val="24"/>
        </w:rPr>
        <w:t xml:space="preserve">　</w:t>
      </w:r>
      <w:r w:rsidRPr="00284EC6">
        <w:rPr>
          <w:iCs/>
          <w:color w:val="000000" w:themeColor="text1"/>
          <w:sz w:val="24"/>
          <w:szCs w:val="24"/>
        </w:rPr>
        <w:t xml:space="preserve">Annual Technical Conference and Exhibition, Denver, Colorado, 6-9 October. </w:t>
      </w:r>
      <w:hyperlink r:id="rId84" w:tgtFrame="_blank" w:history="1">
        <w:r w:rsidRPr="00284EC6">
          <w:rPr>
            <w:rStyle w:val="Hyperlink"/>
            <w:color w:val="000000" w:themeColor="text1"/>
            <w:sz w:val="24"/>
            <w:szCs w:val="24"/>
            <w:u w:val="none"/>
          </w:rPr>
          <w:t>http://dx.doi.org/10.2118/36675-MS</w:t>
        </w:r>
      </w:hyperlink>
      <w:r w:rsidRPr="00284EC6">
        <w:rPr>
          <w:color w:val="000000" w:themeColor="text1"/>
          <w:sz w:val="24"/>
          <w:szCs w:val="24"/>
        </w:rPr>
        <w:t>.</w:t>
      </w:r>
    </w:p>
    <w:p w14:paraId="3B182723" w14:textId="77777777" w:rsidR="00CE0003" w:rsidRPr="00284EC6" w:rsidRDefault="00CE0003" w:rsidP="00284EC6">
      <w:pPr>
        <w:pStyle w:val="References"/>
        <w:spacing w:afterLines="120" w:after="288"/>
        <w:rPr>
          <w:sz w:val="24"/>
          <w:szCs w:val="24"/>
        </w:rPr>
      </w:pPr>
      <w:r w:rsidRPr="00284EC6">
        <w:rPr>
          <w:sz w:val="24"/>
          <w:szCs w:val="24"/>
        </w:rPr>
        <w:t xml:space="preserve">Gale, J. F., and Holder, J. 2010. Natural fractures in some US shales and their importance for gas production. Geological Society, London, Petroleum Geology Conference Series 7: 1131-1140 </w:t>
      </w:r>
    </w:p>
    <w:p w14:paraId="28A24252" w14:textId="77777777" w:rsidR="00CE0003" w:rsidRPr="00284EC6" w:rsidRDefault="00CE0003" w:rsidP="00284EC6">
      <w:pPr>
        <w:pStyle w:val="References"/>
        <w:spacing w:afterLines="120" w:after="288"/>
        <w:rPr>
          <w:sz w:val="24"/>
          <w:szCs w:val="24"/>
        </w:rPr>
      </w:pPr>
      <w:r w:rsidRPr="00284EC6">
        <w:rPr>
          <w:sz w:val="24"/>
          <w:szCs w:val="24"/>
        </w:rPr>
        <w:t>Gale, J. F., Laubach, S. E., Olson, J. E. et al. 2014. Natural fractures in shale: A review and new observations.</w:t>
      </w:r>
      <w:r w:rsidRPr="00284EC6">
        <w:rPr>
          <w:rStyle w:val="apple-converted-space"/>
          <w:sz w:val="24"/>
          <w:szCs w:val="24"/>
        </w:rPr>
        <w:t> </w:t>
      </w:r>
      <w:r w:rsidRPr="00284EC6">
        <w:rPr>
          <w:sz w:val="24"/>
          <w:szCs w:val="24"/>
        </w:rPr>
        <w:t>AAPG bulletin 98(11): 2165-2216.</w:t>
      </w:r>
    </w:p>
    <w:p w14:paraId="73D7026D" w14:textId="77777777" w:rsidR="0041747C" w:rsidRPr="00284EC6" w:rsidRDefault="0041747C" w:rsidP="00284EC6">
      <w:pPr>
        <w:pStyle w:val="References"/>
        <w:spacing w:afterLines="120" w:after="288"/>
        <w:rPr>
          <w:color w:val="000000" w:themeColor="text1"/>
          <w:sz w:val="24"/>
          <w:szCs w:val="24"/>
        </w:rPr>
      </w:pPr>
      <w:r w:rsidRPr="00284EC6">
        <w:rPr>
          <w:color w:val="000000" w:themeColor="text1"/>
          <w:sz w:val="24"/>
          <w:szCs w:val="24"/>
        </w:rPr>
        <w:t xml:space="preserve">Goswick, R. A., and LaRue, J. L. 2014. Utilizing oil soluble tracers to understand stimulation efficiency along the lateral. Presented at the SPE Annual Technical Conference and Exhibition, </w:t>
      </w:r>
      <w:r w:rsidRPr="00284EC6">
        <w:rPr>
          <w:iCs/>
          <w:color w:val="000000" w:themeColor="text1"/>
          <w:sz w:val="24"/>
          <w:szCs w:val="24"/>
        </w:rPr>
        <w:t>Amsterdam, Netherlands, 27-29 October</w:t>
      </w:r>
      <w:r w:rsidRPr="00284EC6">
        <w:rPr>
          <w:color w:val="000000" w:themeColor="text1"/>
          <w:sz w:val="24"/>
          <w:szCs w:val="24"/>
        </w:rPr>
        <w:t>. http://dx.doi.org/10.2118/170929-MS</w:t>
      </w:r>
    </w:p>
    <w:p w14:paraId="1A850A1C" w14:textId="77777777" w:rsidR="0041747C" w:rsidRPr="00284EC6" w:rsidRDefault="0041747C" w:rsidP="00284EC6">
      <w:pPr>
        <w:pStyle w:val="References"/>
        <w:spacing w:afterLines="120" w:after="288"/>
        <w:rPr>
          <w:color w:val="000000" w:themeColor="text1"/>
          <w:sz w:val="24"/>
          <w:szCs w:val="24"/>
        </w:rPr>
      </w:pPr>
      <w:r w:rsidRPr="00284EC6">
        <w:rPr>
          <w:color w:val="000000" w:themeColor="text1"/>
          <w:sz w:val="24"/>
          <w:szCs w:val="24"/>
        </w:rPr>
        <w:t xml:space="preserve">Haddad, M., Sanaei, A., Al-Shalabi, E. W., et al. 2015. Major obstacles in production from hydraulically re-fractured shale formations: reservoir pressure depletion and pore blockage by the fracturing fluid. Presented at the Unconventional Resources Technology Conference, San Antonio, Texas, USA, 20-22 July. </w:t>
      </w:r>
      <w:r w:rsidRPr="00284EC6">
        <w:rPr>
          <w:bCs/>
          <w:color w:val="000000" w:themeColor="text1"/>
          <w:sz w:val="24"/>
          <w:szCs w:val="24"/>
        </w:rPr>
        <w:t>http://dx.doi.org/10.2118/178587-MS</w:t>
      </w:r>
    </w:p>
    <w:p w14:paraId="7CE1870B" w14:textId="77777777" w:rsidR="00CE0003" w:rsidRPr="00284EC6" w:rsidRDefault="00CE0003" w:rsidP="00284EC6">
      <w:pPr>
        <w:pStyle w:val="References"/>
        <w:spacing w:afterLines="120" w:after="288"/>
        <w:rPr>
          <w:sz w:val="24"/>
          <w:szCs w:val="24"/>
        </w:rPr>
      </w:pPr>
      <w:r w:rsidRPr="00284EC6">
        <w:rPr>
          <w:sz w:val="24"/>
          <w:szCs w:val="24"/>
        </w:rPr>
        <w:t>Hammond, D. E., Leslie, B.W., Ku, T. et al. 1988. Rn concentrations in deep formation waters and the geohydrology of the Cajon Pass borehole. Geophysical Research Letters 15(9): 1045-1048.</w:t>
      </w:r>
    </w:p>
    <w:p w14:paraId="7306BE02" w14:textId="77777777" w:rsidR="00CE0003" w:rsidRPr="00284EC6" w:rsidRDefault="00CE0003" w:rsidP="00284EC6">
      <w:pPr>
        <w:pStyle w:val="References"/>
        <w:spacing w:afterLines="120" w:after="288"/>
        <w:rPr>
          <w:sz w:val="24"/>
          <w:szCs w:val="24"/>
        </w:rPr>
      </w:pPr>
      <w:r w:rsidRPr="00284EC6">
        <w:rPr>
          <w:sz w:val="24"/>
          <w:szCs w:val="24"/>
        </w:rPr>
        <w:lastRenderedPageBreak/>
        <w:t>Heckter, M. 1934.</w:t>
      </w:r>
      <w:r w:rsidRPr="00284EC6">
        <w:rPr>
          <w:rStyle w:val="apple-converted-space"/>
          <w:sz w:val="24"/>
          <w:szCs w:val="24"/>
        </w:rPr>
        <w:t> </w:t>
      </w:r>
      <w:r w:rsidRPr="00284EC6">
        <w:rPr>
          <w:sz w:val="24"/>
          <w:szCs w:val="24"/>
        </w:rPr>
        <w:t>Radiochemische Oberflächenbestimmung an glas. Deutsche Glastechnische Gesellschaft 12: 156-172.</w:t>
      </w:r>
    </w:p>
    <w:p w14:paraId="64B44D3B"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 xml:space="preserve">Jerauld, G., Mohammadi, H., and Webb, K.J. Interpreting Single Well Chemical Tracer Tests. Presented at SPE Improved Oil Recovery Symposium, Tulsa, Oklahoma, 24-28 April,. SPE-129724-MS. </w:t>
      </w:r>
      <w:hyperlink r:id="rId85" w:tgtFrame="_blank" w:history="1">
        <w:r w:rsidRPr="00284EC6">
          <w:rPr>
            <w:color w:val="000000" w:themeColor="text1"/>
            <w:sz w:val="24"/>
            <w:szCs w:val="24"/>
          </w:rPr>
          <w:t>http://dx.doi.org/10.2118/129724-MS</w:t>
        </w:r>
      </w:hyperlink>
      <w:r w:rsidRPr="00284EC6">
        <w:rPr>
          <w:color w:val="000000" w:themeColor="text1"/>
          <w:sz w:val="24"/>
          <w:szCs w:val="24"/>
        </w:rPr>
        <w:t>.</w:t>
      </w:r>
    </w:p>
    <w:p w14:paraId="7403D009" w14:textId="77777777" w:rsidR="00CE0003" w:rsidRPr="00284EC6" w:rsidRDefault="00CE0003" w:rsidP="00284EC6">
      <w:pPr>
        <w:pStyle w:val="References"/>
        <w:spacing w:afterLines="120" w:after="288"/>
        <w:rPr>
          <w:color w:val="000000" w:themeColor="text1"/>
          <w:sz w:val="24"/>
          <w:szCs w:val="24"/>
        </w:rPr>
      </w:pPr>
      <w:r w:rsidRPr="00284EC6">
        <w:rPr>
          <w:color w:val="000000" w:themeColor="text1"/>
          <w:sz w:val="24"/>
          <w:szCs w:val="24"/>
        </w:rPr>
        <w:t xml:space="preserve">Jha, R. K., Bryant, S., and Lake, L. W. 2011. Effect of diffusion on diffusion. </w:t>
      </w:r>
      <w:r w:rsidRPr="00284EC6">
        <w:rPr>
          <w:i/>
          <w:color w:val="000000" w:themeColor="text1"/>
          <w:sz w:val="24"/>
          <w:szCs w:val="24"/>
        </w:rPr>
        <w:t>SPE J</w:t>
      </w:r>
      <w:r w:rsidRPr="00284EC6">
        <w:rPr>
          <w:color w:val="000000" w:themeColor="text1"/>
          <w:sz w:val="24"/>
          <w:szCs w:val="24"/>
        </w:rPr>
        <w:t>, 16(01):65-77.</w:t>
      </w:r>
    </w:p>
    <w:p w14:paraId="5150CFEC"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 xml:space="preserve">Jin, L., Ahmad, J., Harwell, J.H. et al. 2015. Modeling and Interpretation of Single Well Chemical Tracer Tests (SWCTT) for pre and post Chemical EOR in two High Salinity Reservoirs. Presented at SPE Production and Operations Symposium, Oklahoma City, Oklahoma, 1-5 March. SPE-173618-MS. </w:t>
      </w:r>
      <w:hyperlink r:id="rId86" w:tgtFrame="_blank" w:history="1">
        <w:r w:rsidRPr="00284EC6">
          <w:rPr>
            <w:color w:val="000000" w:themeColor="text1"/>
            <w:sz w:val="24"/>
            <w:szCs w:val="24"/>
          </w:rPr>
          <w:t>http://dx.doi.org/10.2118/173618-MS</w:t>
        </w:r>
      </w:hyperlink>
      <w:r w:rsidRPr="00284EC6">
        <w:rPr>
          <w:color w:val="000000" w:themeColor="text1"/>
          <w:sz w:val="24"/>
          <w:szCs w:val="24"/>
        </w:rPr>
        <w:t>.</w:t>
      </w:r>
    </w:p>
    <w:p w14:paraId="244564E2" w14:textId="77777777" w:rsidR="00CE0003" w:rsidRPr="00284EC6" w:rsidRDefault="00CE0003" w:rsidP="00284EC6">
      <w:pPr>
        <w:pStyle w:val="References"/>
        <w:spacing w:afterLines="120" w:after="288"/>
        <w:rPr>
          <w:color w:val="000000" w:themeColor="text1"/>
          <w:sz w:val="24"/>
          <w:szCs w:val="24"/>
        </w:rPr>
      </w:pPr>
      <w:r w:rsidRPr="00284EC6">
        <w:rPr>
          <w:color w:val="000000" w:themeColor="text1"/>
          <w:sz w:val="24"/>
          <w:szCs w:val="24"/>
        </w:rPr>
        <w:t xml:space="preserve">John, A. K., Lake, L. W., Bryant, S. et al. 2010. Investigation of mixing in field-scale miscible displacements using particle-tracking simulations of tracer floods with flow reversal. </w:t>
      </w:r>
      <w:r w:rsidRPr="00284EC6">
        <w:rPr>
          <w:i/>
          <w:color w:val="000000" w:themeColor="text1"/>
          <w:sz w:val="24"/>
          <w:szCs w:val="24"/>
        </w:rPr>
        <w:t>SPE J</w:t>
      </w:r>
      <w:r w:rsidRPr="00284EC6">
        <w:rPr>
          <w:color w:val="000000" w:themeColor="text1"/>
          <w:sz w:val="24"/>
          <w:szCs w:val="24"/>
        </w:rPr>
        <w:t>, 15(03):598-609.</w:t>
      </w:r>
    </w:p>
    <w:p w14:paraId="153BE4E8" w14:textId="77777777" w:rsidR="0041747C" w:rsidRPr="00284EC6" w:rsidRDefault="0041747C" w:rsidP="00284EC6">
      <w:pPr>
        <w:pStyle w:val="References"/>
        <w:spacing w:afterLines="120" w:after="288"/>
        <w:rPr>
          <w:bCs/>
          <w:color w:val="000000" w:themeColor="text1"/>
          <w:sz w:val="24"/>
          <w:szCs w:val="24"/>
        </w:rPr>
      </w:pPr>
      <w:r w:rsidRPr="00284EC6">
        <w:rPr>
          <w:color w:val="000000" w:themeColor="text1"/>
          <w:sz w:val="24"/>
          <w:szCs w:val="24"/>
        </w:rPr>
        <w:t xml:space="preserve">King, G. E., and Leonard, D. 2011. Deciphering chemical tracer results in multi-fractured well backflow in shales: A framework for optimizing fracture design and application. Presented at the SPE Hydraulic Fracturing Technology Conference and Exhibition, the Woodlands, 24-26 January. </w:t>
      </w:r>
      <w:r w:rsidRPr="00284EC6">
        <w:rPr>
          <w:bCs/>
          <w:color w:val="000000" w:themeColor="text1"/>
          <w:sz w:val="24"/>
          <w:szCs w:val="24"/>
        </w:rPr>
        <w:t>http://dx.doi.org/10.2118/140105-MS</w:t>
      </w:r>
    </w:p>
    <w:p w14:paraId="35C9519A" w14:textId="77777777" w:rsidR="00CE0003" w:rsidRPr="00284EC6" w:rsidRDefault="00CE0003" w:rsidP="00284EC6">
      <w:pPr>
        <w:pStyle w:val="References"/>
        <w:spacing w:afterLines="120" w:after="288"/>
        <w:rPr>
          <w:sz w:val="24"/>
          <w:szCs w:val="24"/>
        </w:rPr>
      </w:pPr>
      <w:r w:rsidRPr="00284EC6">
        <w:rPr>
          <w:sz w:val="24"/>
          <w:szCs w:val="24"/>
        </w:rPr>
        <w:t>Kondash, A. J., Warner, N. R., Lahav, O. et al. 2013. Radium and barium removal through blending hydraulic fracturing fluids with acid mine drainage. Environmental science &amp; technology 48(2): 1334-1342</w:t>
      </w:r>
    </w:p>
    <w:p w14:paraId="074C5911" w14:textId="77777777" w:rsidR="00CE0003" w:rsidRPr="00284EC6" w:rsidRDefault="00CE0003" w:rsidP="00284EC6">
      <w:pPr>
        <w:pStyle w:val="References"/>
        <w:spacing w:afterLines="120" w:after="288"/>
        <w:rPr>
          <w:color w:val="000000" w:themeColor="text1"/>
          <w:sz w:val="24"/>
          <w:szCs w:val="24"/>
        </w:rPr>
      </w:pPr>
      <w:r w:rsidRPr="00284EC6">
        <w:rPr>
          <w:color w:val="000000" w:themeColor="text1"/>
          <w:sz w:val="24"/>
          <w:szCs w:val="24"/>
        </w:rPr>
        <w:t>LaBolle, E. M., Fogg, G. E., and Tompson, A. F. 1996. Random-walk simulation of transport in heterogeneous porous media: Local mass-conservation problem and implementation methods. </w:t>
      </w:r>
      <w:r w:rsidRPr="00284EC6">
        <w:rPr>
          <w:i/>
          <w:color w:val="000000" w:themeColor="text1"/>
          <w:sz w:val="24"/>
          <w:szCs w:val="24"/>
        </w:rPr>
        <w:t>Water Resources Research</w:t>
      </w:r>
      <w:r w:rsidRPr="00284EC6">
        <w:rPr>
          <w:color w:val="000000" w:themeColor="text1"/>
          <w:sz w:val="24"/>
          <w:szCs w:val="24"/>
        </w:rPr>
        <w:t>, 32(3): 583-593.</w:t>
      </w:r>
    </w:p>
    <w:p w14:paraId="170185AB" w14:textId="77777777" w:rsidR="00CE0003" w:rsidRPr="00284EC6" w:rsidRDefault="00CE0003" w:rsidP="00284EC6">
      <w:pPr>
        <w:pStyle w:val="References"/>
        <w:spacing w:afterLines="120" w:after="288"/>
        <w:rPr>
          <w:color w:val="000000" w:themeColor="text1"/>
          <w:sz w:val="24"/>
          <w:szCs w:val="24"/>
        </w:rPr>
      </w:pPr>
      <w:r w:rsidRPr="00284EC6">
        <w:rPr>
          <w:color w:val="000000" w:themeColor="text1"/>
          <w:sz w:val="24"/>
          <w:szCs w:val="24"/>
        </w:rPr>
        <w:t xml:space="preserve">Langmuir, I. 1918. The adsorption of gases on plane surfaces of glass mica and platinum. </w:t>
      </w:r>
      <w:r w:rsidRPr="00284EC6">
        <w:rPr>
          <w:i/>
          <w:color w:val="000000" w:themeColor="text1"/>
          <w:sz w:val="24"/>
          <w:szCs w:val="24"/>
        </w:rPr>
        <w:t xml:space="preserve">J. Am. Chem. Soc. </w:t>
      </w:r>
      <w:r w:rsidRPr="00284EC6">
        <w:rPr>
          <w:color w:val="000000" w:themeColor="text1"/>
          <w:sz w:val="24"/>
          <w:szCs w:val="24"/>
        </w:rPr>
        <w:t>40:1361-1403.</w:t>
      </w:r>
    </w:p>
    <w:p w14:paraId="3071B635" w14:textId="77777777" w:rsidR="00CE0003" w:rsidRPr="00284EC6" w:rsidRDefault="00CE0003" w:rsidP="00284EC6">
      <w:pPr>
        <w:pStyle w:val="References"/>
        <w:spacing w:afterLines="120" w:after="288"/>
        <w:rPr>
          <w:color w:val="000000" w:themeColor="text1"/>
          <w:sz w:val="24"/>
          <w:szCs w:val="24"/>
        </w:rPr>
      </w:pPr>
      <w:r w:rsidRPr="00284EC6">
        <w:rPr>
          <w:color w:val="000000" w:themeColor="text1"/>
          <w:sz w:val="24"/>
          <w:szCs w:val="24"/>
        </w:rPr>
        <w:t xml:space="preserve">Leong, Y., de Iongh, J. E., Bähring, S., et al. 2015. Estimation of fracture volume between well pairs using deuterium tracer. Presented at the SPE Annual Technical Conference and Exhibition. Houston, Texas, USA, 28-30 September. </w:t>
      </w:r>
      <w:r w:rsidRPr="00284EC6">
        <w:rPr>
          <w:bCs/>
          <w:color w:val="000000" w:themeColor="text1"/>
          <w:sz w:val="24"/>
          <w:szCs w:val="24"/>
        </w:rPr>
        <w:t>http://dx.doi.org/10.2118/174832-MS</w:t>
      </w:r>
    </w:p>
    <w:p w14:paraId="1567D4DD" w14:textId="77777777" w:rsidR="00CE0003" w:rsidRPr="00284EC6" w:rsidRDefault="00CE0003" w:rsidP="00284EC6">
      <w:pPr>
        <w:pStyle w:val="References"/>
        <w:spacing w:afterLines="120" w:after="288"/>
        <w:rPr>
          <w:color w:val="000000" w:themeColor="text1"/>
          <w:sz w:val="24"/>
          <w:szCs w:val="24"/>
        </w:rPr>
      </w:pPr>
      <w:r w:rsidRPr="00284EC6">
        <w:rPr>
          <w:color w:val="000000" w:themeColor="text1"/>
          <w:sz w:val="24"/>
          <w:szCs w:val="24"/>
        </w:rPr>
        <w:t>Liu, H. H., Bodvarsson, G. S., and Pan, L. 2000. Determination of particle transfer in random walk particle methods for fractured porous media. </w:t>
      </w:r>
      <w:r w:rsidRPr="00284EC6">
        <w:rPr>
          <w:i/>
          <w:color w:val="000000" w:themeColor="text1"/>
          <w:sz w:val="24"/>
          <w:szCs w:val="24"/>
        </w:rPr>
        <w:t>Water Resources Research</w:t>
      </w:r>
      <w:r w:rsidRPr="00284EC6">
        <w:rPr>
          <w:color w:val="000000" w:themeColor="text1"/>
          <w:sz w:val="24"/>
          <w:szCs w:val="24"/>
        </w:rPr>
        <w:t>, 36(3): 707-713.</w:t>
      </w:r>
    </w:p>
    <w:p w14:paraId="4B5DF24F" w14:textId="77777777" w:rsidR="00CE0003" w:rsidRPr="00284EC6" w:rsidRDefault="00CE0003" w:rsidP="00284EC6">
      <w:pPr>
        <w:pStyle w:val="References"/>
        <w:spacing w:afterLines="120" w:after="288"/>
        <w:rPr>
          <w:color w:val="000000" w:themeColor="text1"/>
          <w:sz w:val="24"/>
          <w:szCs w:val="24"/>
        </w:rPr>
      </w:pPr>
      <w:r w:rsidRPr="00284EC6">
        <w:rPr>
          <w:color w:val="000000" w:themeColor="text1"/>
          <w:sz w:val="24"/>
          <w:szCs w:val="24"/>
        </w:rPr>
        <w:lastRenderedPageBreak/>
        <w:t xml:space="preserve">Liu, J., Parker, E. D., and Camilleri, D. 1999. A new particle tracking algorithm for tracer flow simulation. Presented at the SPE Reservoir Simulation Symposium, Houston, Texas, 14-17 February. </w:t>
      </w:r>
    </w:p>
    <w:p w14:paraId="6E259A3C" w14:textId="77777777" w:rsidR="00C11CA2" w:rsidRPr="00284EC6" w:rsidRDefault="00C11CA2" w:rsidP="00284EC6">
      <w:pPr>
        <w:pStyle w:val="References"/>
        <w:spacing w:afterLines="120" w:after="288"/>
        <w:rPr>
          <w:color w:val="000000" w:themeColor="text1"/>
          <w:sz w:val="24"/>
          <w:szCs w:val="24"/>
        </w:rPr>
      </w:pPr>
      <w:r w:rsidRPr="00284EC6">
        <w:rPr>
          <w:color w:val="000000" w:themeColor="text1"/>
          <w:sz w:val="24"/>
          <w:szCs w:val="24"/>
        </w:rPr>
        <w:t>Maroongroge, V. 1994. </w:t>
      </w:r>
      <w:r w:rsidRPr="00284EC6">
        <w:rPr>
          <w:i/>
          <w:color w:val="000000" w:themeColor="text1"/>
          <w:sz w:val="24"/>
          <w:szCs w:val="24"/>
        </w:rPr>
        <w:t xml:space="preserve">Modeling and application of tracers for reservoir characterization.  </w:t>
      </w:r>
      <w:r w:rsidRPr="00284EC6">
        <w:rPr>
          <w:color w:val="000000" w:themeColor="text1"/>
          <w:sz w:val="24"/>
          <w:szCs w:val="24"/>
        </w:rPr>
        <w:t>Ph.D dissertation, The University of Texas at Austin, Austin, Texas.</w:t>
      </w:r>
    </w:p>
    <w:p w14:paraId="339AF253" w14:textId="77777777" w:rsidR="00CE0003" w:rsidRPr="00284EC6" w:rsidRDefault="00CE0003" w:rsidP="00284EC6">
      <w:pPr>
        <w:pStyle w:val="References"/>
        <w:spacing w:afterLines="120" w:after="288"/>
        <w:rPr>
          <w:sz w:val="24"/>
          <w:szCs w:val="24"/>
        </w:rPr>
      </w:pPr>
      <w:r w:rsidRPr="00284EC6">
        <w:rPr>
          <w:sz w:val="24"/>
          <w:szCs w:val="24"/>
        </w:rPr>
        <w:t>Medeiros, F., Ozkan, E., and Kazemi, H. 2008. Productivity and drainage area of fractured horizontal wells in tight gas reservoirs. SPE Res Eval &amp; Eng 11(05): 902-911. SPE-108110-PA.</w:t>
      </w:r>
    </w:p>
    <w:p w14:paraId="5A4F1DD0" w14:textId="77777777" w:rsidR="002D015D" w:rsidRPr="00284EC6" w:rsidRDefault="002D015D" w:rsidP="00284EC6">
      <w:pPr>
        <w:tabs>
          <w:tab w:val="clear" w:pos="7632"/>
        </w:tabs>
        <w:spacing w:afterLines="120" w:after="288" w:line="240" w:lineRule="auto"/>
        <w:ind w:left="374" w:hanging="374"/>
      </w:pPr>
      <w:r w:rsidRPr="00284EC6">
        <w:t xml:space="preserve">Montgomery, C. T., Smith, M. B. Hydraulic Fracturing: History of an enduring technology. </w:t>
      </w:r>
      <w:r w:rsidRPr="00284EC6">
        <w:rPr>
          <w:i/>
        </w:rPr>
        <w:t>Journal of Petroleum Technology</w:t>
      </w:r>
      <w:r w:rsidRPr="00284EC6">
        <w:t xml:space="preserve"> 2010 </w:t>
      </w:r>
      <w:r w:rsidRPr="00284EC6">
        <w:rPr>
          <w:i/>
        </w:rPr>
        <w:t>62</w:t>
      </w:r>
      <w:r w:rsidRPr="00284EC6">
        <w:t>(12):26-40; doi: 10.2118/1210-0026-JPT</w:t>
      </w:r>
    </w:p>
    <w:p w14:paraId="28378F3A" w14:textId="77777777" w:rsidR="00CE0003" w:rsidRPr="00284EC6" w:rsidRDefault="00CE0003" w:rsidP="00284EC6">
      <w:pPr>
        <w:pStyle w:val="References"/>
        <w:spacing w:afterLines="120" w:after="288"/>
        <w:rPr>
          <w:sz w:val="24"/>
          <w:szCs w:val="24"/>
        </w:rPr>
      </w:pPr>
      <w:r w:rsidRPr="00284EC6">
        <w:rPr>
          <w:sz w:val="24"/>
          <w:szCs w:val="24"/>
        </w:rPr>
        <w:t>Mosher, K., He, J., Liu, Y. et al. 2013. Molecular simulation of methane adsorption in micro-and mesoporous carbons with applications to coal and gas shale systems. International Journal of Coal Geology 109: 36-44</w:t>
      </w:r>
    </w:p>
    <w:p w14:paraId="767E75AA" w14:textId="77777777" w:rsidR="00CE0003" w:rsidRPr="00284EC6" w:rsidRDefault="00CE0003" w:rsidP="00284EC6">
      <w:pPr>
        <w:pStyle w:val="References"/>
        <w:spacing w:afterLines="120" w:after="288"/>
        <w:rPr>
          <w:sz w:val="24"/>
          <w:szCs w:val="24"/>
        </w:rPr>
      </w:pPr>
      <w:r w:rsidRPr="00284EC6">
        <w:rPr>
          <w:sz w:val="24"/>
          <w:szCs w:val="24"/>
        </w:rPr>
        <w:t>NCI. 2011. Radon and cancer. http://www.cancer.gov/cancertopics/factsheet/Risk/radon (accessed Feb. 11 2016)</w:t>
      </w:r>
    </w:p>
    <w:p w14:paraId="6C74F38A" w14:textId="77777777" w:rsidR="00CE0003" w:rsidRPr="00284EC6" w:rsidRDefault="00CE0003" w:rsidP="00284EC6">
      <w:pPr>
        <w:pStyle w:val="References"/>
        <w:spacing w:afterLines="120" w:after="288"/>
        <w:rPr>
          <w:sz w:val="24"/>
          <w:szCs w:val="24"/>
        </w:rPr>
      </w:pPr>
      <w:r w:rsidRPr="00284EC6">
        <w:rPr>
          <w:sz w:val="24"/>
          <w:szCs w:val="24"/>
        </w:rPr>
        <w:t>Nelson, A. W., May, D., Knight, A. W. et al. 2014. Matrix complications in the determination of radium levels in hydraulic fracturing flowback water from Marcellus Shale. Environmental Science &amp; Technology Letters 1(3): 204-208</w:t>
      </w:r>
    </w:p>
    <w:p w14:paraId="5DAFEDD7" w14:textId="77777777" w:rsidR="002D015D" w:rsidRPr="00284EC6" w:rsidRDefault="002D015D" w:rsidP="00284EC6">
      <w:pPr>
        <w:shd w:val="clear" w:color="auto" w:fill="FFFFFF"/>
        <w:tabs>
          <w:tab w:val="clear" w:pos="7632"/>
        </w:tabs>
        <w:spacing w:afterLines="120" w:after="288" w:line="240" w:lineRule="auto"/>
        <w:ind w:left="374" w:hanging="374"/>
      </w:pPr>
      <w:r w:rsidRPr="00284EC6">
        <w:t xml:space="preserve">Newman, A.; Thomasson. 1979. A rothamsted studies of soil structure III. </w:t>
      </w:r>
      <w:r w:rsidRPr="00284EC6">
        <w:rPr>
          <w:i/>
        </w:rPr>
        <w:t xml:space="preserve">Journal of Soil Science </w:t>
      </w:r>
      <w:r w:rsidRPr="00284EC6">
        <w:t xml:space="preserve">30(3): 415-439. </w:t>
      </w:r>
    </w:p>
    <w:p w14:paraId="414442EC" w14:textId="77777777" w:rsidR="002D015D" w:rsidRPr="00284EC6" w:rsidRDefault="002D015D" w:rsidP="00284EC6">
      <w:pPr>
        <w:spacing w:afterLines="120" w:after="288" w:line="240" w:lineRule="auto"/>
        <w:ind w:left="374" w:hanging="374"/>
      </w:pPr>
      <w:r w:rsidRPr="00284EC6">
        <w:rPr>
          <w:rFonts w:ascii="Times New Roman" w:hAnsi="Times New Roman"/>
        </w:rPr>
        <w:t xml:space="preserve">Nielson, K., Rogers, V., Gee, G. 1984. Diffusion of radon through soils: a pore distribution model. </w:t>
      </w:r>
      <w:r w:rsidRPr="00284EC6">
        <w:rPr>
          <w:rFonts w:ascii="Times New Roman" w:hAnsi="Times New Roman"/>
          <w:i/>
        </w:rPr>
        <w:t xml:space="preserve">Soil Science Society of America Journal </w:t>
      </w:r>
      <w:r w:rsidRPr="00284EC6">
        <w:rPr>
          <w:rFonts w:ascii="Times New Roman" w:hAnsi="Times New Roman"/>
        </w:rPr>
        <w:t>48(3): 482-487.</w:t>
      </w:r>
    </w:p>
    <w:p w14:paraId="72C82E33" w14:textId="77777777" w:rsidR="00CE0003" w:rsidRPr="00284EC6" w:rsidRDefault="00CE0003" w:rsidP="00284EC6">
      <w:pPr>
        <w:pStyle w:val="References"/>
        <w:spacing w:afterLines="120" w:after="288"/>
        <w:rPr>
          <w:sz w:val="24"/>
          <w:szCs w:val="24"/>
        </w:rPr>
      </w:pPr>
      <w:r w:rsidRPr="00284EC6">
        <w:rPr>
          <w:sz w:val="24"/>
          <w:szCs w:val="24"/>
        </w:rPr>
        <w:t>Nierenberg, W.A. 1992.</w:t>
      </w:r>
      <w:r w:rsidRPr="00284EC6">
        <w:rPr>
          <w:rStyle w:val="apple-converted-space"/>
          <w:sz w:val="24"/>
          <w:szCs w:val="24"/>
        </w:rPr>
        <w:t> </w:t>
      </w:r>
      <w:r w:rsidRPr="00284EC6">
        <w:rPr>
          <w:sz w:val="24"/>
          <w:szCs w:val="24"/>
        </w:rPr>
        <w:t>Encyclopedia of Earth System Science. San Diego, CA (US): Academic Press, Inc.</w:t>
      </w:r>
    </w:p>
    <w:p w14:paraId="04A14BE6" w14:textId="77777777" w:rsidR="0041747C" w:rsidRPr="00284EC6" w:rsidRDefault="0041747C" w:rsidP="00284EC6">
      <w:pPr>
        <w:pStyle w:val="References"/>
        <w:spacing w:afterLines="120" w:after="288"/>
        <w:rPr>
          <w:color w:val="000000" w:themeColor="text1"/>
          <w:sz w:val="24"/>
          <w:szCs w:val="24"/>
        </w:rPr>
      </w:pPr>
      <w:r w:rsidRPr="00284EC6">
        <w:rPr>
          <w:color w:val="000000" w:themeColor="text1"/>
          <w:sz w:val="24"/>
          <w:szCs w:val="24"/>
        </w:rPr>
        <w:t>Oyerinde, A. S. 2005.</w:t>
      </w:r>
      <w:r w:rsidRPr="00284EC6">
        <w:rPr>
          <w:rStyle w:val="apple-converted-space"/>
          <w:color w:val="000000" w:themeColor="text1"/>
          <w:sz w:val="24"/>
          <w:szCs w:val="24"/>
        </w:rPr>
        <w:t> </w:t>
      </w:r>
      <w:r w:rsidRPr="00284EC6">
        <w:rPr>
          <w:i/>
          <w:iCs/>
          <w:color w:val="000000" w:themeColor="text1"/>
          <w:sz w:val="24"/>
          <w:szCs w:val="24"/>
        </w:rPr>
        <w:t>A composite tracer analysis approach to reservoir characterization.</w:t>
      </w:r>
      <w:r w:rsidRPr="00284EC6">
        <w:rPr>
          <w:rStyle w:val="apple-converted-space"/>
          <w:color w:val="000000" w:themeColor="text1"/>
          <w:sz w:val="24"/>
          <w:szCs w:val="24"/>
        </w:rPr>
        <w:t> </w:t>
      </w:r>
      <w:r w:rsidRPr="00284EC6">
        <w:rPr>
          <w:color w:val="000000" w:themeColor="text1"/>
          <w:sz w:val="24"/>
          <w:szCs w:val="24"/>
        </w:rPr>
        <w:t>Ph.D dissertation, Texas A&amp;M University.</w:t>
      </w:r>
    </w:p>
    <w:p w14:paraId="3AE9634A"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 xml:space="preserve">Park, Y.J., and Deans, H.A., and Tezduyar, T.E. 1991. Thermal Effects on Single-Well Chemical-Tracer Tests for Measuring Residual Oil Saturation. </w:t>
      </w:r>
      <w:r w:rsidRPr="00284EC6">
        <w:rPr>
          <w:i/>
          <w:color w:val="000000" w:themeColor="text1"/>
          <w:sz w:val="24"/>
          <w:szCs w:val="24"/>
        </w:rPr>
        <w:t>SPE Form Eval</w:t>
      </w:r>
      <w:r w:rsidRPr="00284EC6">
        <w:rPr>
          <w:color w:val="000000" w:themeColor="text1"/>
          <w:sz w:val="24"/>
          <w:szCs w:val="24"/>
        </w:rPr>
        <w:t xml:space="preserve"> 6 (03): 401-408.</w:t>
      </w:r>
      <w:r w:rsidRPr="00284EC6">
        <w:rPr>
          <w:color w:val="000000" w:themeColor="text1"/>
          <w:sz w:val="24"/>
          <w:szCs w:val="24"/>
          <w:shd w:val="clear" w:color="auto" w:fill="FFFFFF"/>
        </w:rPr>
        <w:t xml:space="preserve"> </w:t>
      </w:r>
      <w:r w:rsidRPr="00284EC6">
        <w:rPr>
          <w:color w:val="000000" w:themeColor="text1"/>
          <w:sz w:val="24"/>
          <w:szCs w:val="24"/>
        </w:rPr>
        <w:t xml:space="preserve">SPE-19683-PA. </w:t>
      </w:r>
      <w:hyperlink r:id="rId87" w:tgtFrame="_blank" w:history="1">
        <w:r w:rsidRPr="00284EC6">
          <w:rPr>
            <w:color w:val="000000" w:themeColor="text1"/>
            <w:sz w:val="24"/>
            <w:szCs w:val="24"/>
          </w:rPr>
          <w:t>http://dx.doi.org/10.2118/19683-PA</w:t>
        </w:r>
      </w:hyperlink>
      <w:r w:rsidRPr="00284EC6">
        <w:rPr>
          <w:color w:val="000000" w:themeColor="text1"/>
          <w:sz w:val="24"/>
          <w:szCs w:val="24"/>
        </w:rPr>
        <w:t>.</w:t>
      </w:r>
    </w:p>
    <w:p w14:paraId="2692D238" w14:textId="77777777" w:rsidR="002D015D" w:rsidRPr="00284EC6" w:rsidRDefault="002D015D" w:rsidP="00284EC6">
      <w:pPr>
        <w:pStyle w:val="References"/>
        <w:spacing w:afterLines="120" w:after="288"/>
        <w:rPr>
          <w:sz w:val="24"/>
          <w:szCs w:val="24"/>
        </w:rPr>
      </w:pPr>
      <w:r w:rsidRPr="00284EC6">
        <w:rPr>
          <w:sz w:val="24"/>
          <w:szCs w:val="24"/>
        </w:rPr>
        <w:t xml:space="preserve">Passey, Q. E., Bohacs, K., Esch, W. L. et al. 2010. From oil-prone source rock to as-producing shale reservoir–geologic and petrophysical characterization of </w:t>
      </w:r>
      <w:r w:rsidRPr="00284EC6">
        <w:rPr>
          <w:sz w:val="24"/>
          <w:szCs w:val="24"/>
        </w:rPr>
        <w:lastRenderedPageBreak/>
        <w:t>unconventional shale-gas reservoirs. Presented at the International Oil and Gas Conference and Exhibition, Beijing, China, 8-10 June. SPE-131350-MS.</w:t>
      </w:r>
    </w:p>
    <w:p w14:paraId="69977AFE"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 xml:space="preserve">Peters, E.J. 2012. </w:t>
      </w:r>
      <w:r w:rsidRPr="00284EC6">
        <w:rPr>
          <w:i/>
          <w:color w:val="000000" w:themeColor="text1"/>
          <w:sz w:val="24"/>
          <w:szCs w:val="24"/>
        </w:rPr>
        <w:t xml:space="preserve">Advanced petrophysics: Volume 2: Dispersion, Interfacial Phenomena/Wettability, Capillarity/Capillary Pressure, Relative Permeability, </w:t>
      </w:r>
      <w:r w:rsidRPr="00284EC6">
        <w:rPr>
          <w:color w:val="000000" w:themeColor="text1"/>
          <w:sz w:val="24"/>
          <w:szCs w:val="24"/>
        </w:rPr>
        <w:t>first edition. Austin, Texas: Greenleaf Book Group.</w:t>
      </w:r>
    </w:p>
    <w:p w14:paraId="73565B81" w14:textId="77777777" w:rsidR="002D015D" w:rsidRPr="00284EC6" w:rsidRDefault="002D015D" w:rsidP="00284EC6">
      <w:pPr>
        <w:pStyle w:val="References"/>
        <w:spacing w:afterLines="120" w:after="288"/>
        <w:rPr>
          <w:sz w:val="24"/>
          <w:szCs w:val="24"/>
        </w:rPr>
      </w:pPr>
      <w:r w:rsidRPr="00284EC6">
        <w:rPr>
          <w:sz w:val="24"/>
          <w:szCs w:val="24"/>
        </w:rPr>
        <w:t>Resnikoff, M. 2011. Radon in natural gas from marcellus shale. Ethics in Biology, Engineering and Medicine  2(4): 317-331.</w:t>
      </w:r>
    </w:p>
    <w:p w14:paraId="53016005" w14:textId="77777777" w:rsidR="002D015D" w:rsidRPr="00284EC6" w:rsidRDefault="002D015D" w:rsidP="00284EC6">
      <w:pPr>
        <w:pStyle w:val="References"/>
        <w:spacing w:afterLines="120" w:after="288"/>
        <w:rPr>
          <w:sz w:val="24"/>
          <w:szCs w:val="24"/>
        </w:rPr>
      </w:pPr>
      <w:r w:rsidRPr="00284EC6">
        <w:rPr>
          <w:sz w:val="24"/>
          <w:szCs w:val="24"/>
        </w:rPr>
        <w:t>Rowan, E. L., and Kraemer, T. 2012. Radon-222 Content of natural gas samples from Upper and Middle Devonian sandstone and shale reservoirs in Pennsylvania: Preliminary data. Open-File Report, US Geological Survey.</w:t>
      </w:r>
    </w:p>
    <w:p w14:paraId="76CD78E7" w14:textId="77777777" w:rsidR="002D015D" w:rsidRPr="00284EC6" w:rsidRDefault="002D015D" w:rsidP="00284EC6">
      <w:pPr>
        <w:pStyle w:val="References"/>
        <w:spacing w:afterLines="120" w:after="288"/>
        <w:rPr>
          <w:sz w:val="24"/>
          <w:szCs w:val="24"/>
        </w:rPr>
      </w:pPr>
      <w:r w:rsidRPr="00284EC6">
        <w:rPr>
          <w:sz w:val="24"/>
          <w:szCs w:val="24"/>
        </w:rPr>
        <w:t>Sasaki, T., Gunji, Y., and Okuda, T. 2014. Mathematical modeling of radon emanation. Journal of nuclear science and technology 41(2): 142-151.</w:t>
      </w:r>
    </w:p>
    <w:p w14:paraId="43A434FF" w14:textId="77777777" w:rsidR="002D015D" w:rsidRPr="00284EC6" w:rsidRDefault="002D015D" w:rsidP="00284EC6">
      <w:pPr>
        <w:pStyle w:val="References"/>
        <w:spacing w:afterLines="120" w:after="288"/>
        <w:rPr>
          <w:sz w:val="24"/>
          <w:szCs w:val="24"/>
        </w:rPr>
      </w:pPr>
      <w:r w:rsidRPr="00284EC6">
        <w:rPr>
          <w:sz w:val="24"/>
          <w:szCs w:val="24"/>
        </w:rPr>
        <w:t>Sakhaee-Pour, A., and Wheeler M. F. 2015. Effective flow properties for cells containing fractures of arbitrary geometry. SPE J. SPE-167183-PA. (in press; posted August 2015).</w:t>
      </w:r>
    </w:p>
    <w:p w14:paraId="0D91F6E0" w14:textId="77777777" w:rsidR="00CE0003" w:rsidRPr="00284EC6" w:rsidRDefault="00CE0003" w:rsidP="00284EC6">
      <w:pPr>
        <w:pStyle w:val="References"/>
        <w:spacing w:afterLines="120" w:after="288"/>
        <w:rPr>
          <w:color w:val="000000" w:themeColor="text1"/>
          <w:sz w:val="24"/>
          <w:szCs w:val="24"/>
        </w:rPr>
      </w:pPr>
      <w:r w:rsidRPr="00284EC6">
        <w:rPr>
          <w:color w:val="000000" w:themeColor="text1"/>
          <w:sz w:val="24"/>
          <w:szCs w:val="24"/>
        </w:rPr>
        <w:t xml:space="preserve">Scheidegger, A. E. 1954. Statistical hydrodynamics in porous media. </w:t>
      </w:r>
      <w:r w:rsidRPr="00284EC6">
        <w:rPr>
          <w:i/>
          <w:color w:val="000000" w:themeColor="text1"/>
          <w:sz w:val="24"/>
          <w:szCs w:val="24"/>
        </w:rPr>
        <w:t>Journal of Applied Physics</w:t>
      </w:r>
      <w:r w:rsidRPr="00284EC6">
        <w:rPr>
          <w:color w:val="000000" w:themeColor="text1"/>
          <w:sz w:val="24"/>
          <w:szCs w:val="24"/>
        </w:rPr>
        <w:t>, 25(8): 994-1001.</w:t>
      </w:r>
    </w:p>
    <w:p w14:paraId="33B8B9DB" w14:textId="77777777" w:rsidR="0041747C" w:rsidRPr="00284EC6" w:rsidRDefault="0041747C" w:rsidP="00284EC6">
      <w:pPr>
        <w:pStyle w:val="References"/>
        <w:spacing w:afterLines="120" w:after="288"/>
        <w:rPr>
          <w:color w:val="000000" w:themeColor="text1"/>
          <w:sz w:val="24"/>
          <w:szCs w:val="24"/>
        </w:rPr>
      </w:pPr>
      <w:r w:rsidRPr="00284EC6">
        <w:rPr>
          <w:color w:val="000000" w:themeColor="text1"/>
          <w:sz w:val="24"/>
          <w:szCs w:val="24"/>
        </w:rPr>
        <w:t xml:space="preserve">Sharma, A., Shook, G. M., and Pope, G. A. 2014. Rapid analysis of tracers for use in EOR flood optimization. Presented at the </w:t>
      </w:r>
      <w:r w:rsidRPr="00284EC6">
        <w:rPr>
          <w:iCs/>
          <w:color w:val="000000" w:themeColor="text1"/>
          <w:sz w:val="24"/>
          <w:szCs w:val="24"/>
        </w:rPr>
        <w:t>SPE Improved Oil Recovery Symposium</w:t>
      </w:r>
      <w:r w:rsidRPr="00284EC6">
        <w:rPr>
          <w:color w:val="000000" w:themeColor="text1"/>
          <w:sz w:val="24"/>
          <w:szCs w:val="24"/>
        </w:rPr>
        <w:t xml:space="preserve">, Tulsa, Oklahoma, USA, 12-16 April. </w:t>
      </w:r>
      <w:r w:rsidRPr="00284EC6">
        <w:rPr>
          <w:bCs/>
          <w:color w:val="000000" w:themeColor="text1"/>
          <w:sz w:val="24"/>
          <w:szCs w:val="24"/>
        </w:rPr>
        <w:t>http://dx.doi.org/10.2118/169109-MS</w:t>
      </w:r>
    </w:p>
    <w:p w14:paraId="50BECF2A" w14:textId="77777777" w:rsidR="0041747C" w:rsidRPr="00284EC6" w:rsidRDefault="0041747C" w:rsidP="00284EC6">
      <w:pPr>
        <w:pStyle w:val="References"/>
        <w:spacing w:afterLines="120" w:after="288"/>
        <w:rPr>
          <w:bCs/>
          <w:color w:val="000000" w:themeColor="text1"/>
          <w:sz w:val="24"/>
          <w:szCs w:val="24"/>
        </w:rPr>
      </w:pPr>
      <w:r w:rsidRPr="00284EC6">
        <w:rPr>
          <w:color w:val="000000" w:themeColor="text1"/>
          <w:sz w:val="24"/>
          <w:szCs w:val="24"/>
        </w:rPr>
        <w:t>Sheely Jr, C. Q., and Baldwin Jr, D. E. 1982. Single-well tracer tests for evaluating chemical enhanced oil recovery processes.</w:t>
      </w:r>
      <w:r w:rsidRPr="00284EC6">
        <w:rPr>
          <w:rStyle w:val="apple-converted-space"/>
          <w:color w:val="000000" w:themeColor="text1"/>
          <w:sz w:val="24"/>
          <w:szCs w:val="24"/>
        </w:rPr>
        <w:t> </w:t>
      </w:r>
      <w:r w:rsidRPr="00284EC6">
        <w:rPr>
          <w:i/>
          <w:iCs/>
          <w:color w:val="000000" w:themeColor="text1"/>
          <w:sz w:val="24"/>
          <w:szCs w:val="24"/>
        </w:rPr>
        <w:t>Journal of Petroleum Technology</w:t>
      </w:r>
      <w:r w:rsidRPr="00284EC6">
        <w:rPr>
          <w:color w:val="000000" w:themeColor="text1"/>
          <w:sz w:val="24"/>
          <w:szCs w:val="24"/>
        </w:rPr>
        <w:t>,</w:t>
      </w:r>
      <w:r w:rsidRPr="00284EC6">
        <w:rPr>
          <w:rStyle w:val="apple-converted-space"/>
          <w:color w:val="000000" w:themeColor="text1"/>
          <w:sz w:val="24"/>
          <w:szCs w:val="24"/>
        </w:rPr>
        <w:t> </w:t>
      </w:r>
      <w:r w:rsidRPr="00284EC6">
        <w:rPr>
          <w:iCs/>
          <w:color w:val="000000" w:themeColor="text1"/>
          <w:sz w:val="24"/>
          <w:szCs w:val="24"/>
        </w:rPr>
        <w:t>34</w:t>
      </w:r>
      <w:r w:rsidRPr="00284EC6">
        <w:rPr>
          <w:color w:val="000000" w:themeColor="text1"/>
          <w:sz w:val="24"/>
          <w:szCs w:val="24"/>
        </w:rPr>
        <w:t xml:space="preserve">(08): 1887-1896. </w:t>
      </w:r>
      <w:hyperlink r:id="rId88" w:history="1">
        <w:r w:rsidRPr="00284EC6">
          <w:rPr>
            <w:rStyle w:val="Hyperlink"/>
            <w:color w:val="000000" w:themeColor="text1"/>
            <w:sz w:val="24"/>
            <w:szCs w:val="24"/>
            <w:u w:val="none"/>
          </w:rPr>
          <w:t>http://dx.doi.org/10.2118/8838-PA</w:t>
        </w:r>
      </w:hyperlink>
      <w:r w:rsidRPr="00284EC6">
        <w:rPr>
          <w:bCs/>
          <w:color w:val="000000" w:themeColor="text1"/>
          <w:sz w:val="24"/>
          <w:szCs w:val="24"/>
        </w:rPr>
        <w:t>.</w:t>
      </w:r>
    </w:p>
    <w:p w14:paraId="431E5879" w14:textId="7F6B93EE" w:rsidR="00C11CA2" w:rsidRDefault="00C11CA2" w:rsidP="00284EC6">
      <w:pPr>
        <w:pStyle w:val="References"/>
        <w:spacing w:afterLines="120" w:after="288"/>
        <w:rPr>
          <w:color w:val="000000" w:themeColor="text1"/>
          <w:sz w:val="24"/>
          <w:szCs w:val="24"/>
        </w:rPr>
      </w:pPr>
      <w:r w:rsidRPr="00284EC6">
        <w:rPr>
          <w:color w:val="000000" w:themeColor="text1"/>
          <w:sz w:val="24"/>
          <w:szCs w:val="24"/>
        </w:rPr>
        <w:t>Shen, T., Rouzbeh, G. M., and Tian, W. 2016. Contribution of Dispersion and Permeability Variation on Propagation of Tracer Concentration in Permeable Media. Presented at the International Petroleum Technology Conference, Bangkok, Tailand, 13-16 Novermber. IPTC-18954-MS.</w:t>
      </w:r>
    </w:p>
    <w:p w14:paraId="49299B5B" w14:textId="67C67A2E" w:rsidR="005E1B7F" w:rsidRPr="00284EC6" w:rsidRDefault="005E1B7F" w:rsidP="005E1B7F">
      <w:pPr>
        <w:pStyle w:val="References"/>
        <w:spacing w:afterLines="120" w:after="288"/>
        <w:rPr>
          <w:color w:val="000000" w:themeColor="text1"/>
          <w:sz w:val="24"/>
          <w:szCs w:val="24"/>
        </w:rPr>
      </w:pPr>
      <w:r w:rsidRPr="00284EC6">
        <w:rPr>
          <w:color w:val="000000" w:themeColor="text1"/>
          <w:sz w:val="24"/>
          <w:szCs w:val="24"/>
        </w:rPr>
        <w:t>Shen, T., Rouzbeh, G. M., and Tian, W. 201</w:t>
      </w:r>
      <w:r>
        <w:rPr>
          <w:color w:val="000000" w:themeColor="text1"/>
          <w:sz w:val="24"/>
          <w:szCs w:val="24"/>
        </w:rPr>
        <w:t>7</w:t>
      </w:r>
      <w:r w:rsidRPr="00284EC6">
        <w:rPr>
          <w:color w:val="000000" w:themeColor="text1"/>
          <w:sz w:val="24"/>
          <w:szCs w:val="24"/>
        </w:rPr>
        <w:t xml:space="preserve">. </w:t>
      </w:r>
      <w:r w:rsidRPr="005E1B7F">
        <w:rPr>
          <w:color w:val="000000" w:themeColor="text1"/>
          <w:sz w:val="24"/>
          <w:szCs w:val="24"/>
        </w:rPr>
        <w:t>Interpretation of Interwell Chemical Tracer Tests in Layered Heterogeneous Reservoirs with Crossflow</w:t>
      </w:r>
      <w:r w:rsidRPr="00284EC6">
        <w:rPr>
          <w:color w:val="000000" w:themeColor="text1"/>
          <w:sz w:val="24"/>
          <w:szCs w:val="24"/>
        </w:rPr>
        <w:t xml:space="preserve">. Presented at the </w:t>
      </w:r>
      <w:r>
        <w:rPr>
          <w:color w:val="000000" w:themeColor="text1"/>
          <w:sz w:val="24"/>
          <w:szCs w:val="24"/>
        </w:rPr>
        <w:t>SPE ATCE</w:t>
      </w:r>
      <w:r w:rsidRPr="00284EC6">
        <w:rPr>
          <w:color w:val="000000" w:themeColor="text1"/>
          <w:sz w:val="24"/>
          <w:szCs w:val="24"/>
        </w:rPr>
        <w:t xml:space="preserve">, </w:t>
      </w:r>
      <w:r>
        <w:rPr>
          <w:color w:val="000000" w:themeColor="text1"/>
          <w:sz w:val="24"/>
          <w:szCs w:val="24"/>
        </w:rPr>
        <w:t>San Antonio. Texas</w:t>
      </w:r>
      <w:r w:rsidRPr="00284EC6">
        <w:rPr>
          <w:color w:val="000000" w:themeColor="text1"/>
          <w:sz w:val="24"/>
          <w:szCs w:val="24"/>
        </w:rPr>
        <w:t xml:space="preserve">, </w:t>
      </w:r>
      <w:r>
        <w:rPr>
          <w:color w:val="000000" w:themeColor="text1"/>
          <w:sz w:val="24"/>
          <w:szCs w:val="24"/>
        </w:rPr>
        <w:t>9-11 October. SPE-187400</w:t>
      </w:r>
      <w:r w:rsidRPr="00284EC6">
        <w:rPr>
          <w:color w:val="000000" w:themeColor="text1"/>
          <w:sz w:val="24"/>
          <w:szCs w:val="24"/>
        </w:rPr>
        <w:t>-MS.</w:t>
      </w:r>
    </w:p>
    <w:p w14:paraId="7E34E81B"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Shook, G. M., Ansley, S.L., and Wylie, A. 2004. Tracers and Tracer Testing: Design, Implementation, and Interpretation Methods. DOI, 10, 910642.</w:t>
      </w:r>
    </w:p>
    <w:p w14:paraId="4EB93EF5"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 xml:space="preserve">Shook, G.M., Pope, G.A., and Asakawa, K. 2009. Determining Reservoir Properties and Flood Performance from Tracer Test Analysis. Presented at SPE Annual Technical </w:t>
      </w:r>
      <w:r w:rsidRPr="00284EC6">
        <w:rPr>
          <w:color w:val="000000" w:themeColor="text1"/>
          <w:sz w:val="24"/>
          <w:szCs w:val="24"/>
        </w:rPr>
        <w:lastRenderedPageBreak/>
        <w:t xml:space="preserve">Conference and Exhibition, New Orleans, Louisiana, 4-7 October. SPE-124614-MS. </w:t>
      </w:r>
      <w:hyperlink r:id="rId89" w:tgtFrame="_blank" w:history="1">
        <w:r w:rsidRPr="00284EC6">
          <w:rPr>
            <w:color w:val="000000" w:themeColor="text1"/>
            <w:sz w:val="24"/>
            <w:szCs w:val="24"/>
          </w:rPr>
          <w:t>http://dx.doi.org/10.2118/124614-MS</w:t>
        </w:r>
      </w:hyperlink>
      <w:r w:rsidRPr="00284EC6">
        <w:rPr>
          <w:color w:val="000000" w:themeColor="text1"/>
          <w:sz w:val="24"/>
          <w:szCs w:val="24"/>
        </w:rPr>
        <w:t>.</w:t>
      </w:r>
    </w:p>
    <w:p w14:paraId="33B10D41" w14:textId="77777777" w:rsidR="002D015D" w:rsidRPr="00284EC6" w:rsidRDefault="002D015D" w:rsidP="00284EC6">
      <w:pPr>
        <w:pStyle w:val="References"/>
        <w:spacing w:afterLines="120" w:after="288"/>
        <w:rPr>
          <w:sz w:val="24"/>
          <w:szCs w:val="24"/>
        </w:rPr>
      </w:pPr>
      <w:r w:rsidRPr="00284EC6">
        <w:rPr>
          <w:sz w:val="24"/>
          <w:szCs w:val="24"/>
        </w:rPr>
        <w:t>Sobieski, W., and Trykozko, A. 2014. Darcy’s and Forchheimer’s laws in practice. Part 1. The experiment. Technical Sciences/University of Warmia and Mazury in Olsztyn.</w:t>
      </w:r>
    </w:p>
    <w:p w14:paraId="2A563EB2" w14:textId="77777777" w:rsidR="00CE0003" w:rsidRPr="00284EC6" w:rsidRDefault="00CE0003" w:rsidP="00284EC6">
      <w:pPr>
        <w:pStyle w:val="References"/>
        <w:spacing w:afterLines="120" w:after="288"/>
        <w:rPr>
          <w:color w:val="000000" w:themeColor="text1"/>
          <w:sz w:val="24"/>
          <w:szCs w:val="24"/>
        </w:rPr>
      </w:pPr>
      <w:r w:rsidRPr="00284EC6">
        <w:rPr>
          <w:color w:val="000000" w:themeColor="text1"/>
          <w:sz w:val="24"/>
          <w:szCs w:val="24"/>
        </w:rPr>
        <w:t>Stalgorova, E., and Babadagli, T. 2012. Modeling miscible injection in fractured porous media using random walk simulation. </w:t>
      </w:r>
      <w:r w:rsidRPr="00284EC6">
        <w:rPr>
          <w:i/>
          <w:color w:val="000000" w:themeColor="text1"/>
          <w:sz w:val="24"/>
          <w:szCs w:val="24"/>
        </w:rPr>
        <w:t>Chemical Engineering Science</w:t>
      </w:r>
      <w:r w:rsidRPr="00284EC6">
        <w:rPr>
          <w:color w:val="000000" w:themeColor="text1"/>
          <w:sz w:val="24"/>
          <w:szCs w:val="24"/>
        </w:rPr>
        <w:t>, 74: 93-104.</w:t>
      </w:r>
    </w:p>
    <w:p w14:paraId="49B00276" w14:textId="77777777" w:rsidR="00CE0003" w:rsidRPr="00284EC6" w:rsidRDefault="00CE0003" w:rsidP="00284EC6">
      <w:pPr>
        <w:pStyle w:val="References"/>
        <w:spacing w:afterLines="120" w:after="288"/>
        <w:rPr>
          <w:color w:val="000000" w:themeColor="text1"/>
          <w:sz w:val="24"/>
          <w:szCs w:val="24"/>
        </w:rPr>
      </w:pPr>
      <w:r w:rsidRPr="00284EC6">
        <w:rPr>
          <w:color w:val="000000" w:themeColor="text1"/>
          <w:sz w:val="24"/>
          <w:szCs w:val="24"/>
        </w:rPr>
        <w:t xml:space="preserve">Sun, J., and Schechter, D. S. 2015. Optimization-Based Unstructured Meshing Algorithms for Simulation of Hydraulically and Naturally Fractured Reservoirs with Variable Distribution of Fracture Aperture, Spacing, Length and Strike. </w:t>
      </w:r>
      <w:r w:rsidRPr="00284EC6">
        <w:rPr>
          <w:i/>
          <w:color w:val="000000" w:themeColor="text1"/>
          <w:sz w:val="24"/>
          <w:szCs w:val="24"/>
        </w:rPr>
        <w:t>SPE Reservoir Evaluation &amp; Engineering</w:t>
      </w:r>
      <w:r w:rsidRPr="00284EC6">
        <w:rPr>
          <w:color w:val="000000" w:themeColor="text1"/>
          <w:sz w:val="24"/>
          <w:szCs w:val="24"/>
        </w:rPr>
        <w:t>, 18 (04):463-480. http://dx.doi.org/10.2118/170703-PA.</w:t>
      </w:r>
    </w:p>
    <w:p w14:paraId="005B53DE"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Tang, J. S., and Harker, B. 1990. Mass Balance Method to Determine Residual Oil Saturation from Single Well Tracer Test Data. </w:t>
      </w:r>
      <w:r w:rsidRPr="00284EC6">
        <w:rPr>
          <w:i/>
          <w:color w:val="000000" w:themeColor="text1"/>
          <w:sz w:val="24"/>
          <w:szCs w:val="24"/>
        </w:rPr>
        <w:t>Journal of Canadian Petroleum Technology</w:t>
      </w:r>
      <w:r w:rsidRPr="00284EC6">
        <w:rPr>
          <w:color w:val="000000" w:themeColor="text1"/>
          <w:sz w:val="24"/>
          <w:szCs w:val="24"/>
        </w:rPr>
        <w:t xml:space="preserve"> 29(02). PETSOC-90-02-08. </w:t>
      </w:r>
      <w:r w:rsidRPr="00284EC6">
        <w:rPr>
          <w:bCs/>
          <w:color w:val="000000" w:themeColor="text1"/>
          <w:sz w:val="24"/>
          <w:szCs w:val="24"/>
          <w:shd w:val="clear" w:color="auto" w:fill="FFFFFF"/>
        </w:rPr>
        <w:t>http://dx.doi.org/10.2118/90-02-08.</w:t>
      </w:r>
    </w:p>
    <w:p w14:paraId="4AAD2DCF"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 xml:space="preserve">Tang, J.S. 1995. Partitioning Tracers and In-situ Fluid-Saturation Measurements. </w:t>
      </w:r>
      <w:r w:rsidRPr="00284EC6">
        <w:rPr>
          <w:i/>
          <w:color w:val="000000" w:themeColor="text1"/>
          <w:sz w:val="24"/>
          <w:szCs w:val="24"/>
        </w:rPr>
        <w:t>SPE Form Eval</w:t>
      </w:r>
      <w:r w:rsidRPr="00284EC6">
        <w:rPr>
          <w:color w:val="000000" w:themeColor="text1"/>
          <w:sz w:val="24"/>
          <w:szCs w:val="24"/>
        </w:rPr>
        <w:t xml:space="preserve"> 10(01): 33-39. SPE-22344-PA. </w:t>
      </w:r>
      <w:hyperlink r:id="rId90" w:tgtFrame="_blank" w:history="1">
        <w:r w:rsidRPr="00284EC6">
          <w:rPr>
            <w:color w:val="000000" w:themeColor="text1"/>
            <w:sz w:val="24"/>
            <w:szCs w:val="24"/>
          </w:rPr>
          <w:t>http://dx.doi.org/10.2118/22344-PA</w:t>
        </w:r>
      </w:hyperlink>
      <w:r w:rsidRPr="00284EC6">
        <w:rPr>
          <w:color w:val="000000" w:themeColor="text1"/>
          <w:sz w:val="24"/>
          <w:szCs w:val="24"/>
        </w:rPr>
        <w:t>.</w:t>
      </w:r>
    </w:p>
    <w:p w14:paraId="70C346F3"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 xml:space="preserve">Tang, J. S., and Zhang, P. 2000. Effect of Mobile Oil on Residual Oil Saturation Measurement by Interwell Tracing Method. Presented at International Oil and Gas Conference and Exhibition, Beijing, China, 7-10 November. SPE-64627-MS. </w:t>
      </w:r>
      <w:hyperlink r:id="rId91" w:tgtFrame="_blank" w:history="1">
        <w:r w:rsidRPr="00284EC6">
          <w:rPr>
            <w:color w:val="000000" w:themeColor="text1"/>
            <w:sz w:val="24"/>
            <w:szCs w:val="24"/>
          </w:rPr>
          <w:t>http://dx.doi.org/10.2118/64627-MS</w:t>
        </w:r>
      </w:hyperlink>
      <w:r w:rsidRPr="00284EC6">
        <w:rPr>
          <w:color w:val="000000" w:themeColor="text1"/>
          <w:sz w:val="24"/>
          <w:szCs w:val="24"/>
        </w:rPr>
        <w:t>.</w:t>
      </w:r>
    </w:p>
    <w:p w14:paraId="0E85BDF5" w14:textId="77777777" w:rsidR="002D015D" w:rsidRPr="00284EC6" w:rsidRDefault="002D015D" w:rsidP="00284EC6">
      <w:pPr>
        <w:pStyle w:val="References"/>
        <w:spacing w:afterLines="120" w:after="288"/>
        <w:rPr>
          <w:sz w:val="24"/>
          <w:szCs w:val="24"/>
        </w:rPr>
      </w:pPr>
      <w:r w:rsidRPr="00284EC6">
        <w:rPr>
          <w:sz w:val="24"/>
          <w:szCs w:val="24"/>
        </w:rPr>
        <w:t>Tanner, A. B. 1980. Radon migration in the ground: a supplementary review. Natural radiation environment III 1: 5-56.</w:t>
      </w:r>
    </w:p>
    <w:p w14:paraId="3BD52636" w14:textId="77777777" w:rsidR="0041747C" w:rsidRPr="00284EC6" w:rsidRDefault="0041747C" w:rsidP="00284EC6">
      <w:pPr>
        <w:pStyle w:val="References"/>
        <w:spacing w:afterLines="120" w:after="288"/>
        <w:rPr>
          <w:bCs/>
          <w:color w:val="000000" w:themeColor="text1"/>
          <w:sz w:val="24"/>
          <w:szCs w:val="24"/>
        </w:rPr>
      </w:pPr>
      <w:r w:rsidRPr="00284EC6">
        <w:rPr>
          <w:color w:val="000000" w:themeColor="text1"/>
          <w:sz w:val="24"/>
          <w:szCs w:val="24"/>
        </w:rPr>
        <w:t>Tomich, J. F., Dalton Jr, R. L., Deans, H. A., et al. 1973. Single-well tracer method to measure residual oil saturation.</w:t>
      </w:r>
      <w:r w:rsidRPr="00284EC6">
        <w:rPr>
          <w:rStyle w:val="apple-converted-space"/>
          <w:color w:val="000000" w:themeColor="text1"/>
          <w:sz w:val="24"/>
          <w:szCs w:val="24"/>
        </w:rPr>
        <w:t> </w:t>
      </w:r>
      <w:r w:rsidRPr="00284EC6">
        <w:rPr>
          <w:i/>
          <w:iCs/>
          <w:color w:val="000000" w:themeColor="text1"/>
          <w:sz w:val="24"/>
          <w:szCs w:val="24"/>
        </w:rPr>
        <w:t>Journal of Petroleum Technology</w:t>
      </w:r>
      <w:r w:rsidRPr="00284EC6">
        <w:rPr>
          <w:color w:val="000000" w:themeColor="text1"/>
          <w:sz w:val="24"/>
          <w:szCs w:val="24"/>
        </w:rPr>
        <w:t>,</w:t>
      </w:r>
      <w:r w:rsidRPr="00284EC6">
        <w:rPr>
          <w:rStyle w:val="apple-converted-space"/>
          <w:color w:val="000000" w:themeColor="text1"/>
          <w:sz w:val="24"/>
          <w:szCs w:val="24"/>
        </w:rPr>
        <w:t> </w:t>
      </w:r>
      <w:r w:rsidRPr="00284EC6">
        <w:rPr>
          <w:iCs/>
          <w:color w:val="000000" w:themeColor="text1"/>
          <w:sz w:val="24"/>
          <w:szCs w:val="24"/>
        </w:rPr>
        <w:t>25</w:t>
      </w:r>
      <w:r w:rsidRPr="00284EC6">
        <w:rPr>
          <w:color w:val="000000" w:themeColor="text1"/>
          <w:sz w:val="24"/>
          <w:szCs w:val="24"/>
        </w:rPr>
        <w:t xml:space="preserve">(02): 211-218. </w:t>
      </w:r>
      <w:r w:rsidRPr="00284EC6">
        <w:rPr>
          <w:bCs/>
          <w:color w:val="000000" w:themeColor="text1"/>
          <w:sz w:val="24"/>
          <w:szCs w:val="24"/>
        </w:rPr>
        <w:t>http://dx.doi.org/10.2118/3792-PA</w:t>
      </w:r>
    </w:p>
    <w:p w14:paraId="7B27C705" w14:textId="77777777" w:rsidR="002D015D" w:rsidRPr="00284EC6" w:rsidRDefault="002D015D" w:rsidP="00284EC6">
      <w:pPr>
        <w:shd w:val="clear" w:color="auto" w:fill="FFFFFF"/>
        <w:tabs>
          <w:tab w:val="clear" w:pos="7632"/>
        </w:tabs>
        <w:spacing w:afterLines="120" w:after="288" w:line="240" w:lineRule="auto"/>
        <w:ind w:left="374" w:hanging="374"/>
        <w:rPr>
          <w:noProof/>
        </w:rPr>
      </w:pPr>
      <w:r w:rsidRPr="00284EC6">
        <w:rPr>
          <w:color w:val="000000" w:themeColor="text1"/>
        </w:rPr>
        <w:t xml:space="preserve">USGS. 2012. </w:t>
      </w:r>
      <w:r w:rsidRPr="00284EC6">
        <w:rPr>
          <w:i/>
        </w:rPr>
        <w:t>Radon-222 Content of natural gas samples from Upper and Middle Devonian sandstone and shale reservoirs in Pennsylvania: Preliminary data.</w:t>
      </w:r>
      <w:r w:rsidRPr="00284EC6">
        <w:rPr>
          <w:color w:val="006621"/>
          <w:shd w:val="clear" w:color="auto" w:fill="FFFFFF"/>
        </w:rPr>
        <w:t xml:space="preserve"> </w:t>
      </w:r>
      <w:r w:rsidRPr="00284EC6">
        <w:rPr>
          <w:noProof/>
        </w:rPr>
        <w:t>Highlights of Open- file report series 2012-1159; U.S. Geological Survey: Reston, Virginia; http://pubs.usgs.gov/of/2012/1159.</w:t>
      </w:r>
    </w:p>
    <w:p w14:paraId="4B9D82F0" w14:textId="32963CA8" w:rsidR="00A64709" w:rsidRDefault="00A64709" w:rsidP="00284EC6">
      <w:pPr>
        <w:pStyle w:val="References"/>
        <w:spacing w:afterLines="120" w:after="288"/>
        <w:rPr>
          <w:color w:val="000000" w:themeColor="text1"/>
          <w:sz w:val="24"/>
          <w:szCs w:val="24"/>
        </w:rPr>
      </w:pPr>
      <w:r>
        <w:rPr>
          <w:color w:val="000000" w:themeColor="text1"/>
          <w:sz w:val="24"/>
          <w:szCs w:val="24"/>
        </w:rPr>
        <w:t>Wang, C., Yao, J., Wu, K.</w:t>
      </w:r>
      <w:r w:rsidR="00B81294">
        <w:rPr>
          <w:color w:val="000000" w:themeColor="text1"/>
          <w:sz w:val="24"/>
          <w:szCs w:val="24"/>
        </w:rPr>
        <w:t>,</w:t>
      </w:r>
      <w:r>
        <w:rPr>
          <w:color w:val="000000" w:themeColor="text1"/>
          <w:sz w:val="24"/>
          <w:szCs w:val="24"/>
        </w:rPr>
        <w:t xml:space="preserve"> et al. 2014. Organic and inorganic pore structure analysis in shale matrix with superposition method. </w:t>
      </w:r>
      <w:r w:rsidR="00B81294">
        <w:rPr>
          <w:color w:val="000000" w:themeColor="text1"/>
          <w:sz w:val="24"/>
          <w:szCs w:val="24"/>
        </w:rPr>
        <w:t xml:space="preserve">Presented at the Unconventional Resources Technology Conference, Denver, Colorado, USA, 25-27 August. </w:t>
      </w:r>
      <w:r w:rsidR="00B81294" w:rsidRPr="00B81294">
        <w:rPr>
          <w:color w:val="000000" w:themeColor="text1"/>
          <w:sz w:val="24"/>
          <w:szCs w:val="24"/>
        </w:rPr>
        <w:br/>
        <w:t>https://doi-org.ezproxy.lib.ou.edu/10.15530/URTEC-2014-1922283</w:t>
      </w:r>
      <w:r w:rsidR="00B81294">
        <w:rPr>
          <w:color w:val="000000" w:themeColor="text1"/>
          <w:sz w:val="24"/>
          <w:szCs w:val="24"/>
        </w:rPr>
        <w:t xml:space="preserve">. </w:t>
      </w:r>
    </w:p>
    <w:p w14:paraId="400B101D" w14:textId="1B6EF1D3" w:rsidR="0041747C" w:rsidRPr="00284EC6" w:rsidRDefault="0041747C" w:rsidP="00284EC6">
      <w:pPr>
        <w:pStyle w:val="References"/>
        <w:spacing w:afterLines="120" w:after="288"/>
        <w:rPr>
          <w:bCs/>
          <w:color w:val="000000" w:themeColor="text1"/>
          <w:sz w:val="24"/>
          <w:szCs w:val="24"/>
        </w:rPr>
      </w:pPr>
      <w:r w:rsidRPr="00284EC6">
        <w:rPr>
          <w:color w:val="000000" w:themeColor="text1"/>
          <w:sz w:val="24"/>
          <w:szCs w:val="24"/>
        </w:rPr>
        <w:lastRenderedPageBreak/>
        <w:t xml:space="preserve">Warpinski, N. R., Branagan, P. T., Peterson, R. E., et al. 1998. Mapping hydraulic fracture growth and geometry using microseismic events detected by a wireline retrievable accelerometer array. Presented at the </w:t>
      </w:r>
      <w:r w:rsidRPr="00284EC6">
        <w:rPr>
          <w:iCs/>
          <w:color w:val="000000" w:themeColor="text1"/>
          <w:sz w:val="24"/>
          <w:szCs w:val="24"/>
        </w:rPr>
        <w:t>SPE Gas Technology Symposium</w:t>
      </w:r>
      <w:r w:rsidRPr="00284EC6">
        <w:rPr>
          <w:color w:val="000000" w:themeColor="text1"/>
          <w:sz w:val="24"/>
          <w:szCs w:val="24"/>
        </w:rPr>
        <w:t>, Calgary, Alberta, Canada,</w:t>
      </w:r>
      <w:r w:rsidRPr="00284EC6">
        <w:rPr>
          <w:iCs/>
          <w:color w:val="000000" w:themeColor="text1"/>
          <w:sz w:val="24"/>
          <w:szCs w:val="24"/>
        </w:rPr>
        <w:t xml:space="preserve"> </w:t>
      </w:r>
      <w:r w:rsidRPr="00284EC6">
        <w:rPr>
          <w:color w:val="000000" w:themeColor="text1"/>
          <w:sz w:val="24"/>
          <w:szCs w:val="24"/>
        </w:rPr>
        <w:t xml:space="preserve">15-18 March. </w:t>
      </w:r>
      <w:r w:rsidR="00B81294" w:rsidRPr="00B81294">
        <w:rPr>
          <w:color w:val="000000" w:themeColor="text1"/>
          <w:sz w:val="24"/>
          <w:szCs w:val="24"/>
        </w:rPr>
        <w:t>http://dx.doi.org/10.2118/40014-MS</w:t>
      </w:r>
      <w:r w:rsidR="00B81294">
        <w:rPr>
          <w:color w:val="000000" w:themeColor="text1"/>
          <w:sz w:val="24"/>
          <w:szCs w:val="24"/>
        </w:rPr>
        <w:t xml:space="preserve">. </w:t>
      </w:r>
    </w:p>
    <w:p w14:paraId="037607C6" w14:textId="77777777" w:rsidR="002D015D" w:rsidRPr="00284EC6" w:rsidRDefault="002D015D" w:rsidP="00284EC6">
      <w:pPr>
        <w:pStyle w:val="References"/>
        <w:spacing w:afterLines="120" w:after="288"/>
        <w:rPr>
          <w:sz w:val="24"/>
          <w:szCs w:val="24"/>
        </w:rPr>
      </w:pPr>
      <w:r w:rsidRPr="00284EC6">
        <w:rPr>
          <w:sz w:val="24"/>
          <w:szCs w:val="24"/>
        </w:rPr>
        <w:t>Weigel, F. 1978. RADON. Chemiker-Zeitung 9: 287-299.</w:t>
      </w:r>
    </w:p>
    <w:p w14:paraId="6214E53C" w14:textId="77777777" w:rsidR="00C11CA2" w:rsidRPr="00284EC6" w:rsidRDefault="00C11CA2" w:rsidP="00284EC6">
      <w:pPr>
        <w:pStyle w:val="StyleReferences10pt"/>
        <w:spacing w:afterLines="120" w:after="288"/>
        <w:rPr>
          <w:color w:val="000000" w:themeColor="text1"/>
          <w:sz w:val="24"/>
          <w:szCs w:val="24"/>
        </w:rPr>
      </w:pPr>
      <w:r w:rsidRPr="00284EC6">
        <w:rPr>
          <w:color w:val="000000" w:themeColor="text1"/>
          <w:sz w:val="24"/>
          <w:szCs w:val="24"/>
        </w:rPr>
        <w:t xml:space="preserve">Wellington, S.L., and Richardson, E.A. 1994. Redesigned Ester Single-Well Tracer Test that Incorporates pH-Driven Hydrolysis Rate Changes. </w:t>
      </w:r>
      <w:r w:rsidRPr="00284EC6">
        <w:rPr>
          <w:i/>
          <w:color w:val="000000" w:themeColor="text1"/>
          <w:sz w:val="24"/>
          <w:szCs w:val="24"/>
        </w:rPr>
        <w:t>SPE Res Eng</w:t>
      </w:r>
      <w:r w:rsidRPr="00284EC6">
        <w:rPr>
          <w:color w:val="000000" w:themeColor="text1"/>
          <w:sz w:val="24"/>
          <w:szCs w:val="24"/>
        </w:rPr>
        <w:t xml:space="preserve"> 9 (04): 233-239. SPE-24135-PA. </w:t>
      </w:r>
      <w:hyperlink r:id="rId92" w:tgtFrame="_blank" w:history="1">
        <w:r w:rsidRPr="00284EC6">
          <w:rPr>
            <w:color w:val="000000" w:themeColor="text1"/>
            <w:sz w:val="24"/>
            <w:szCs w:val="24"/>
          </w:rPr>
          <w:t>http://dx.doi.org/10.2118/24135-PA</w:t>
        </w:r>
      </w:hyperlink>
      <w:r w:rsidRPr="00284EC6">
        <w:rPr>
          <w:color w:val="000000" w:themeColor="text1"/>
          <w:sz w:val="24"/>
          <w:szCs w:val="24"/>
        </w:rPr>
        <w:t>.</w:t>
      </w:r>
    </w:p>
    <w:p w14:paraId="56AB1260" w14:textId="77777777" w:rsidR="00CE0003" w:rsidRPr="00284EC6" w:rsidRDefault="00CE0003" w:rsidP="00284EC6">
      <w:pPr>
        <w:pStyle w:val="References"/>
        <w:spacing w:afterLines="120" w:after="288"/>
        <w:rPr>
          <w:sz w:val="24"/>
          <w:szCs w:val="24"/>
        </w:rPr>
      </w:pPr>
      <w:r w:rsidRPr="00284EC6">
        <w:rPr>
          <w:noProof/>
          <w:sz w:val="24"/>
          <w:szCs w:val="24"/>
        </w:rPr>
        <w:t xml:space="preserve">Wu, X. 2006. </w:t>
      </w:r>
      <w:r w:rsidRPr="00284EC6">
        <w:rPr>
          <w:i/>
          <w:noProof/>
          <w:sz w:val="24"/>
          <w:szCs w:val="24"/>
        </w:rPr>
        <w:t xml:space="preserve">An investigation of partitioning chemical tracers for characterizing geothermal reservoirs and predicting enthalpy production. </w:t>
      </w:r>
      <w:r w:rsidRPr="00284EC6">
        <w:rPr>
          <w:sz w:val="24"/>
          <w:szCs w:val="24"/>
        </w:rPr>
        <w:t>Ph.D dissertation, The University of Texas at Austin, Austin, Texas.</w:t>
      </w:r>
    </w:p>
    <w:p w14:paraId="7BECD612" w14:textId="77777777" w:rsidR="00CE0003" w:rsidRPr="00284EC6" w:rsidRDefault="00CE0003" w:rsidP="00284EC6">
      <w:pPr>
        <w:pStyle w:val="References"/>
        <w:spacing w:afterLines="120" w:after="288"/>
        <w:rPr>
          <w:color w:val="000000" w:themeColor="text1"/>
          <w:sz w:val="24"/>
          <w:szCs w:val="24"/>
        </w:rPr>
      </w:pPr>
      <w:r w:rsidRPr="00284EC6">
        <w:rPr>
          <w:color w:val="000000" w:themeColor="text1"/>
          <w:sz w:val="24"/>
          <w:szCs w:val="24"/>
        </w:rPr>
        <w:t>Yi, T., Daltaban, T. S., and Dawe, R. A. 1994. Prediction of interwell tracer flow behaviour in heterogeneous reservoirs. </w:t>
      </w:r>
      <w:r w:rsidRPr="00284EC6">
        <w:rPr>
          <w:i/>
          <w:color w:val="000000" w:themeColor="text1"/>
          <w:sz w:val="24"/>
          <w:szCs w:val="24"/>
        </w:rPr>
        <w:t>Transport in porous media</w:t>
      </w:r>
      <w:r w:rsidRPr="00284EC6">
        <w:rPr>
          <w:color w:val="000000" w:themeColor="text1"/>
          <w:sz w:val="24"/>
          <w:szCs w:val="24"/>
        </w:rPr>
        <w:t>, 17(1): 59-75.</w:t>
      </w:r>
    </w:p>
    <w:p w14:paraId="47DD71A4" w14:textId="77777777" w:rsidR="0041747C" w:rsidRDefault="0041747C" w:rsidP="0041747C">
      <w:pPr>
        <w:pStyle w:val="StyleReferences10pt"/>
        <w:spacing w:after="200"/>
        <w:rPr>
          <w:color w:val="000000" w:themeColor="text1"/>
          <w:sz w:val="24"/>
          <w:szCs w:val="24"/>
        </w:rPr>
      </w:pPr>
    </w:p>
    <w:p w14:paraId="155D7939" w14:textId="77777777" w:rsidR="006B074D" w:rsidRDefault="00AA0B13" w:rsidP="006B074D">
      <w:pPr>
        <w:pStyle w:val="Heading1Modified"/>
      </w:pPr>
      <w:r>
        <w:br w:type="page"/>
      </w:r>
      <w:bookmarkStart w:id="288" w:name="_Toc310579475"/>
      <w:bookmarkStart w:id="289" w:name="_Toc494014254"/>
      <w:r>
        <w:lastRenderedPageBreak/>
        <w:t xml:space="preserve">Appendix A: </w:t>
      </w:r>
      <w:bookmarkEnd w:id="288"/>
      <w:r w:rsidR="006B074D">
        <w:t>Derivation of Modified MoM</w:t>
      </w:r>
      <w:bookmarkEnd w:id="289"/>
    </w:p>
    <w:p w14:paraId="3E002E9D" w14:textId="77777777" w:rsidR="006B074D" w:rsidRPr="00B33055" w:rsidRDefault="006B074D" w:rsidP="006B074D">
      <w:r w:rsidRPr="00B33055">
        <w:t xml:space="preserve">The derivation of our proposed MoM follows Asakawa (2005), but it is modified for the new SWCTT. The mass conservation equation of a tracer component k anywhere in the reservoir free of tracer decay, adsorption and reaction is expressed by </w:t>
      </w:r>
    </w:p>
    <w:p w14:paraId="28090BA3" w14:textId="77777777" w:rsidR="006B074D" w:rsidRPr="00B33055" w:rsidRDefault="00A53410" w:rsidP="006B074D">
      <w:pPr>
        <w:rPr>
          <w:rFonts w:ascii="Cambria Math" w:hAnsi="Cambria Math"/>
        </w:rPr>
      </w:pPr>
      <m:oMath>
        <m:f>
          <m:fPr>
            <m:ctrlPr>
              <w:rPr>
                <w:rFonts w:ascii="Cambria Math" w:hAnsi="Cambria Math"/>
              </w:rPr>
            </m:ctrlPr>
          </m:fPr>
          <m:num>
            <m:r>
              <m:rPr>
                <m:sty m:val="p"/>
              </m:rPr>
              <w:rPr>
                <w:rFonts w:ascii="Cambria Math" w:hAnsi="Cambria Math"/>
              </w:rPr>
              <m:t>∂</m:t>
            </m:r>
          </m:num>
          <m:den>
            <m:r>
              <m:rPr>
                <m:sty m:val="p"/>
              </m:rPr>
              <w:rPr>
                <w:rFonts w:ascii="Cambria Math" w:hAnsi="Cambria Math"/>
              </w:rPr>
              <m:t>∂t</m:t>
            </m:r>
          </m:den>
        </m:f>
        <m:d>
          <m:dPr>
            <m:ctrlPr>
              <w:rPr>
                <w:rFonts w:ascii="Cambria Math" w:hAnsi="Cambria Math"/>
              </w:rPr>
            </m:ctrlPr>
          </m:dPr>
          <m:e>
            <m:r>
              <m:rPr>
                <m:sty m:val="p"/>
              </m:rPr>
              <w:rPr>
                <w:rFonts w:ascii="Cambria Math" w:hAnsi="Cambria Math"/>
              </w:rPr>
              <m:t>ϕ</m:t>
            </m:r>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2</m:t>
                </m:r>
              </m:sup>
              <m:e>
                <m:sSub>
                  <m:sSubPr>
                    <m:ctrlPr>
                      <w:rPr>
                        <w:rFonts w:ascii="Cambria Math" w:hAnsi="Cambria Math"/>
                      </w:rPr>
                    </m:ctrlPr>
                  </m:sSubPr>
                  <m:e>
                    <m:r>
                      <m:rPr>
                        <m:sty m:val="p"/>
                      </m:rPr>
                      <w:rPr>
                        <w:rFonts w:ascii="Cambria Math" w:hAnsi="Cambria Math"/>
                      </w:rPr>
                      <m:t>S</m:t>
                    </m:r>
                  </m:e>
                  <m:sub>
                    <m:r>
                      <m:rPr>
                        <m:sty m:val="p"/>
                      </m:rPr>
                      <w:rPr>
                        <w:rFonts w:ascii="Cambria Math" w:hAnsi="Cambria Math"/>
                      </w:rPr>
                      <m:t>l</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kl</m:t>
                    </m:r>
                  </m:sub>
                </m:sSub>
              </m:e>
            </m:nary>
          </m:e>
        </m:d>
        <m:r>
          <m:rPr>
            <m:sty m:val="p"/>
          </m:rPr>
          <w:rPr>
            <w:rFonts w:ascii="Cambria Math" w:hAnsi="Cambria Math"/>
          </w:rPr>
          <m:t>+∇∙</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r>
          <m:rPr>
            <m:sty m:val="p"/>
          </m:rPr>
          <w:rPr>
            <w:rFonts w:ascii="Cambria Math" w:hAnsi="Cambria Math"/>
          </w:rPr>
          <m:t>=0</m:t>
        </m:r>
      </m:oMath>
      <w:r w:rsidR="006B074D" w:rsidRPr="00B33055">
        <w:rPr>
          <w:rFonts w:ascii="Cambria Math" w:hAnsi="Cambria Math"/>
        </w:rPr>
        <w:t xml:space="preserve"> </w:t>
      </w:r>
      <w:r w:rsidR="006B074D" w:rsidRPr="00B33055">
        <w:rPr>
          <w:rFonts w:ascii="Cambria Math" w:hAnsi="Cambria Math"/>
        </w:rPr>
        <w:tab/>
        <w:t xml:space="preserve">(A-1) </w:t>
      </w:r>
    </w:p>
    <w:p w14:paraId="7E103471" w14:textId="77777777" w:rsidR="006B074D" w:rsidRPr="00B33055" w:rsidRDefault="006B074D" w:rsidP="006B074D">
      <w:r w:rsidRPr="00B33055">
        <w:t xml:space="preserve">Where </w:t>
      </w:r>
      <m:oMath>
        <m:sSub>
          <m:sSubPr>
            <m:ctrlPr>
              <w:rPr>
                <w:rFonts w:ascii="Cambria Math" w:hAnsi="Cambria Math"/>
                <w:i/>
              </w:rPr>
            </m:ctrlPr>
          </m:sSubPr>
          <m:e>
            <m:r>
              <w:rPr>
                <w:rFonts w:ascii="Cambria Math" w:hAnsi="Cambria Math"/>
              </w:rPr>
              <m:t>C</m:t>
            </m:r>
          </m:e>
          <m:sub>
            <m:r>
              <w:rPr>
                <w:rFonts w:ascii="Cambria Math" w:hAnsi="Cambria Math"/>
              </w:rPr>
              <m:t>kl</m:t>
            </m:r>
          </m:sub>
        </m:sSub>
      </m:oMath>
      <w:r w:rsidRPr="00B33055">
        <w:t xml:space="preserve"> is the concentration of</w:t>
      </w:r>
      <w:r w:rsidRPr="00B33055">
        <w:rPr>
          <w:i/>
        </w:rPr>
        <w:t xml:space="preserve"> k</w:t>
      </w:r>
      <w:r w:rsidRPr="00B33055">
        <w:t xml:space="preserve"> in phase </w:t>
      </w:r>
      <w:r w:rsidRPr="00B33055">
        <w:rPr>
          <w:i/>
        </w:rPr>
        <w:t xml:space="preserve">l </w:t>
      </w:r>
      <w:r w:rsidRPr="00B33055">
        <w:t xml:space="preserve">(subscript 1 for water and 2 for oil), and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N</m:t>
                </m:r>
              </m:e>
              <m:sub>
                <m:r>
                  <w:rPr>
                    <w:rFonts w:ascii="Cambria Math" w:hAnsi="Cambria Math"/>
                  </w:rPr>
                  <m:t>k</m:t>
                </m:r>
              </m:sub>
            </m:sSub>
          </m:e>
        </m:acc>
      </m:oMath>
      <w:r w:rsidRPr="00B33055">
        <w:t xml:space="preserve"> is the total flux of the tracer component </w:t>
      </w:r>
      <w:r w:rsidRPr="00B33055">
        <w:rPr>
          <w:i/>
        </w:rPr>
        <w:t>k</w:t>
      </w:r>
      <w:r w:rsidRPr="00B33055">
        <w:t>, including both the convection and dispersion. The expression is</w:t>
      </w:r>
    </w:p>
    <w:p w14:paraId="4EB8D726" w14:textId="77777777" w:rsidR="006B074D" w:rsidRPr="00B33055" w:rsidRDefault="00A53410" w:rsidP="006B074D">
      <w:pPr>
        <w:rPr>
          <w:rFonts w:ascii="Cambria Math" w:hAnsi="Cambria Math"/>
        </w:rPr>
      </w:pPr>
      <m:oMath>
        <m:acc>
          <m:accPr>
            <m:chr m:val="⃗"/>
            <m:ctrlPr>
              <w:rPr>
                <w:rFonts w:ascii="Cambria Math" w:hAnsi="Cambria Math"/>
              </w:rPr>
            </m:ctrlPr>
          </m:accPr>
          <m:e>
            <m:sSub>
              <m:sSubPr>
                <m:ctrlPr>
                  <w:rPr>
                    <w:rFonts w:ascii="Cambria Math" w:hAnsi="Cambria Math"/>
                  </w:rPr>
                </m:ctrlPr>
              </m:sSubPr>
              <m:e>
                <m:r>
                  <w:rPr>
                    <w:rFonts w:ascii="Cambria Math" w:hAnsi="Cambria Math"/>
                  </w:rPr>
                  <m:t>N</m:t>
                </m:r>
              </m:e>
              <m:sub>
                <m:r>
                  <w:rPr>
                    <w:rFonts w:ascii="Cambria Math" w:hAnsi="Cambria Math"/>
                  </w:rPr>
                  <m:t>k</m:t>
                </m:r>
              </m:sub>
            </m:sSub>
          </m:e>
        </m:acc>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m:rPr>
                <m:sty m:val="p"/>
              </m:rPr>
              <w:rPr>
                <w:rFonts w:ascii="Cambria Math" w:hAnsi="Cambria Math"/>
              </w:rPr>
              <m:t>2</m:t>
            </m:r>
          </m:sup>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kl</m:t>
                    </m:r>
                  </m:sub>
                </m:sSub>
                <m:acc>
                  <m:accPr>
                    <m:chr m:val="⃗"/>
                    <m:ctrlPr>
                      <w:rPr>
                        <w:rFonts w:ascii="Cambria Math" w:hAnsi="Cambria Math"/>
                      </w:rPr>
                    </m:ctrlPr>
                  </m:accPr>
                  <m:e>
                    <m:sSub>
                      <m:sSubPr>
                        <m:ctrlPr>
                          <w:rPr>
                            <w:rFonts w:ascii="Cambria Math" w:hAnsi="Cambria Math"/>
                          </w:rPr>
                        </m:ctrlPr>
                      </m:sSubPr>
                      <m:e>
                        <m:r>
                          <w:rPr>
                            <w:rFonts w:ascii="Cambria Math" w:hAnsi="Cambria Math"/>
                          </w:rPr>
                          <m:t>u</m:t>
                        </m:r>
                      </m:e>
                      <m:sub>
                        <m:r>
                          <w:rPr>
                            <w:rFonts w:ascii="Cambria Math" w:hAnsi="Cambria Math"/>
                          </w:rPr>
                          <m:t>l</m:t>
                        </m:r>
                      </m:sub>
                    </m:sSub>
                  </m:e>
                </m:acc>
                <m:r>
                  <m:rPr>
                    <m:sty m:val="p"/>
                  </m:rPr>
                  <w:rPr>
                    <w:rFonts w:ascii="Cambria Math" w:hAnsi="Cambria Math"/>
                  </w:rPr>
                  <m:t>-</m:t>
                </m:r>
                <m:r>
                  <w:rPr>
                    <w:rFonts w:ascii="Cambria Math" w:hAnsi="Cambria Math"/>
                  </w:rPr>
                  <m:t>ϕ</m:t>
                </m:r>
                <m:sSub>
                  <m:sSubPr>
                    <m:ctrlPr>
                      <w:rPr>
                        <w:rFonts w:ascii="Cambria Math" w:hAnsi="Cambria Math"/>
                      </w:rPr>
                    </m:ctrlPr>
                  </m:sSubPr>
                  <m:e>
                    <m:r>
                      <w:rPr>
                        <w:rFonts w:ascii="Cambria Math" w:hAnsi="Cambria Math"/>
                      </w:rPr>
                      <m:t>S</m:t>
                    </m:r>
                  </m:e>
                  <m:sub>
                    <m:r>
                      <w:rPr>
                        <w:rFonts w:ascii="Cambria Math" w:hAnsi="Cambria Math"/>
                      </w:rPr>
                      <m:t>l</m:t>
                    </m:r>
                  </m:sub>
                </m:sSub>
                <m:acc>
                  <m:accPr>
                    <m:chr m:val="̿"/>
                    <m:ctrlPr>
                      <w:rPr>
                        <w:rFonts w:ascii="Cambria Math" w:hAnsi="Cambria Math"/>
                      </w:rPr>
                    </m:ctrlPr>
                  </m:accPr>
                  <m:e>
                    <m:r>
                      <w:rPr>
                        <w:rFonts w:ascii="Cambria Math" w:hAnsi="Cambria Math"/>
                      </w:rPr>
                      <m:t>K</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kl</m:t>
                    </m:r>
                  </m:sub>
                </m:sSub>
              </m:e>
            </m:d>
          </m:e>
        </m:nary>
      </m:oMath>
      <w:r w:rsidR="006B074D" w:rsidRPr="00B33055">
        <w:rPr>
          <w:rFonts w:ascii="Cambria Math" w:hAnsi="Cambria Math"/>
        </w:rPr>
        <w:tab/>
        <w:t>(A-2)</w:t>
      </w:r>
    </w:p>
    <w:p w14:paraId="2422AFA3" w14:textId="77777777" w:rsidR="006B074D" w:rsidRPr="00B33055" w:rsidRDefault="006B074D" w:rsidP="006B074D">
      <w:r w:rsidRPr="00B33055">
        <w:t>The first term</w:t>
      </w:r>
      <w:r>
        <w:t xml:space="preserve"> in the right </w:t>
      </w:r>
      <w:r w:rsidRPr="00B33055">
        <w:t xml:space="preserve">hand side is mass conservation equation and the second in the right hand side </w:t>
      </w:r>
      <w:r>
        <w:t xml:space="preserve">is the transport term in Eq. </w:t>
      </w:r>
      <w:r w:rsidRPr="00B33055">
        <w:t>A-</w:t>
      </w:r>
      <w:r>
        <w:t>1</w:t>
      </w:r>
      <w:r w:rsidRPr="00B33055">
        <w:t xml:space="preserve">. </w:t>
      </w:r>
    </w:p>
    <w:p w14:paraId="61B8CA18" w14:textId="77777777" w:rsidR="006B074D" w:rsidRPr="00B33055" w:rsidRDefault="006B074D" w:rsidP="006B074D">
      <w:r w:rsidRPr="00B33055">
        <w:t xml:space="preserve">If the porosity is constant, Eq. </w:t>
      </w:r>
      <w:r>
        <w:t>A</w:t>
      </w:r>
      <w:r w:rsidRPr="00B33055">
        <w:t>-1 can be transformed to</w:t>
      </w:r>
    </w:p>
    <w:p w14:paraId="092DD84F" w14:textId="77777777" w:rsidR="006B074D" w:rsidRPr="00B33055" w:rsidRDefault="006B074D" w:rsidP="006B074D">
      <w:pPr>
        <w:rPr>
          <w:rFonts w:ascii="Cambria Math" w:hAnsi="Cambria Math"/>
        </w:rPr>
      </w:pPr>
      <m:oMath>
        <m:r>
          <m:rPr>
            <m:sty m:val="p"/>
          </m:rPr>
          <w:rPr>
            <w:rFonts w:ascii="Cambria Math" w:hAnsi="Cambria Math"/>
          </w:rPr>
          <m:t>ϕ</m:t>
        </m:r>
        <m:f>
          <m:fPr>
            <m:ctrlPr>
              <w:rPr>
                <w:rFonts w:ascii="Cambria Math" w:hAnsi="Cambria Math"/>
              </w:rPr>
            </m:ctrlPr>
          </m:fPr>
          <m:num>
            <m:r>
              <m:rPr>
                <m:sty m:val="p"/>
              </m:rPr>
              <w:rPr>
                <w:rFonts w:ascii="Cambria Math" w:hAnsi="Cambria Math"/>
              </w:rPr>
              <m:t>∂</m:t>
            </m:r>
          </m:num>
          <m:den>
            <m:r>
              <m:rPr>
                <m:sty m:val="p"/>
              </m:rPr>
              <w:rPr>
                <w:rFonts w:ascii="Cambria Math" w:hAnsi="Cambria Math"/>
              </w:rPr>
              <m:t>∂t</m:t>
            </m:r>
          </m:den>
        </m:f>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r>
          <m:rPr>
            <m:sty m:val="p"/>
          </m:rPr>
          <w:rPr>
            <w:rFonts w:ascii="Cambria Math" w:hAnsi="Cambria Math"/>
          </w:rPr>
          <m:t>+∇∙</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r>
          <m:rPr>
            <m:sty m:val="p"/>
          </m:rPr>
          <w:rPr>
            <w:rFonts w:ascii="Cambria Math" w:hAnsi="Cambria Math"/>
          </w:rPr>
          <m:t>=0</m:t>
        </m:r>
      </m:oMath>
      <w:r w:rsidRPr="00B33055">
        <w:rPr>
          <w:rFonts w:ascii="Cambria Math" w:hAnsi="Cambria Math"/>
        </w:rPr>
        <w:t xml:space="preserve"> </w:t>
      </w:r>
      <w:r w:rsidRPr="00B33055">
        <w:rPr>
          <w:rFonts w:ascii="Cambria Math" w:hAnsi="Cambria Math"/>
        </w:rPr>
        <w:tab/>
        <w:t>(A-3)</w:t>
      </w:r>
    </w:p>
    <w:p w14:paraId="3ECFFD28" w14:textId="77777777" w:rsidR="006B074D" w:rsidRPr="00B33055" w:rsidRDefault="006B074D" w:rsidP="006B074D">
      <w:r w:rsidRPr="00B33055">
        <w:t xml:space="preserve">Where </w:t>
      </w:r>
      <w:r w:rsidRPr="00B33055">
        <w:rPr>
          <w:noProof/>
          <w:position w:val="-12"/>
          <w:lang w:eastAsia="zh-CN" w:bidi="ar-SA"/>
        </w:rPr>
        <w:drawing>
          <wp:inline distT="0" distB="0" distL="0" distR="0" wp14:anchorId="0A91E484" wp14:editId="19F84385">
            <wp:extent cx="185420" cy="219710"/>
            <wp:effectExtent l="0" t="0" r="0" b="0"/>
            <wp:docPr id="2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85420" cy="219710"/>
                    </a:xfrm>
                    <a:prstGeom prst="rect">
                      <a:avLst/>
                    </a:prstGeom>
                    <a:noFill/>
                    <a:ln>
                      <a:noFill/>
                    </a:ln>
                  </pic:spPr>
                </pic:pic>
              </a:graphicData>
            </a:graphic>
          </wp:inline>
        </w:drawing>
      </w:r>
      <w:r w:rsidRPr="00B33055">
        <w:t xml:space="preserve"> is the overall fluid phase concentration of the tracer k, and it is defined as:</w:t>
      </w:r>
    </w:p>
    <w:p w14:paraId="4C2FB2AF" w14:textId="77777777" w:rsidR="006B074D" w:rsidRPr="00B33055" w:rsidRDefault="00A53410" w:rsidP="006B074D">
      <w:pPr>
        <w:rPr>
          <w:rFonts w:ascii="Cambria Math" w:hAnsi="Cambria Math"/>
        </w:rPr>
      </w:pP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r>
          <m:rPr>
            <m:sty m:val="p"/>
          </m:rPr>
          <w:rPr>
            <w:rFonts w:ascii="Cambria Math" w:hAnsi="Cambria Math"/>
          </w:rPr>
          <m:t>=</m:t>
        </m:r>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2</m:t>
            </m:r>
          </m:sup>
          <m:e>
            <m:sSub>
              <m:sSubPr>
                <m:ctrlPr>
                  <w:rPr>
                    <w:rFonts w:ascii="Cambria Math" w:hAnsi="Cambria Math"/>
                  </w:rPr>
                </m:ctrlPr>
              </m:sSubPr>
              <m:e>
                <m:r>
                  <m:rPr>
                    <m:sty m:val="p"/>
                  </m:rPr>
                  <w:rPr>
                    <w:rFonts w:ascii="Cambria Math" w:hAnsi="Cambria Math"/>
                  </w:rPr>
                  <m:t>S</m:t>
                </m:r>
              </m:e>
              <m:sub>
                <m:r>
                  <m:rPr>
                    <m:sty m:val="p"/>
                  </m:rPr>
                  <w:rPr>
                    <w:rFonts w:ascii="Cambria Math" w:hAnsi="Cambria Math"/>
                  </w:rPr>
                  <m:t>l</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kl</m:t>
                </m:r>
              </m:sub>
            </m:sSub>
          </m:e>
        </m:nary>
      </m:oMath>
      <w:r w:rsidR="006B074D" w:rsidRPr="00B33055">
        <w:rPr>
          <w:rFonts w:ascii="Cambria Math" w:hAnsi="Cambria Math"/>
        </w:rPr>
        <w:tab/>
        <w:t>(A-4)</w:t>
      </w:r>
    </w:p>
    <w:p w14:paraId="5CE6C488" w14:textId="77777777" w:rsidR="006B074D" w:rsidRPr="00B33055" w:rsidRDefault="006B074D" w:rsidP="006B074D">
      <w:r w:rsidRPr="00B33055">
        <w:t xml:space="preserve">Replacing </w:t>
      </w:r>
      <w:r>
        <w:t xml:space="preserve">t in Eq. </w:t>
      </w:r>
      <w:r w:rsidRPr="00B33055">
        <w:t>A-</w:t>
      </w:r>
      <w:r>
        <w:t>3</w:t>
      </w:r>
      <w:r w:rsidRPr="00B33055">
        <w:t xml:space="preserve"> by </w:t>
      </w:r>
      <m:oMath>
        <m:r>
          <w:rPr>
            <w:rFonts w:ascii="Cambria Math" w:hAnsi="Cambria Math"/>
          </w:rPr>
          <m:t>τ</m:t>
        </m:r>
      </m:oMath>
      <w:r w:rsidRPr="00B33055">
        <w:t xml:space="preserve"> for integration </w:t>
      </w:r>
    </w:p>
    <w:p w14:paraId="1C0E70E5" w14:textId="77777777" w:rsidR="006B074D" w:rsidRPr="00B33055" w:rsidRDefault="006B074D" w:rsidP="006B074D">
      <w:pPr>
        <w:rPr>
          <w:rFonts w:ascii="Cambria Math" w:hAnsi="Cambria Math"/>
        </w:rPr>
      </w:pPr>
      <m:oMath>
        <m:r>
          <m:rPr>
            <m:sty m:val="p"/>
          </m:rPr>
          <w:rPr>
            <w:rFonts w:ascii="Cambria Math" w:hAnsi="Cambria Math"/>
          </w:rPr>
          <m:t>ϕ</m:t>
        </m:r>
        <m:f>
          <m:fPr>
            <m:ctrlPr>
              <w:rPr>
                <w:rFonts w:ascii="Cambria Math" w:hAnsi="Cambria Math"/>
              </w:rPr>
            </m:ctrlPr>
          </m:fPr>
          <m:num>
            <m:r>
              <m:rPr>
                <m:sty m:val="p"/>
              </m:rPr>
              <w:rPr>
                <w:rFonts w:ascii="Cambria Math" w:hAnsi="Cambria Math"/>
              </w:rPr>
              <m:t>∂</m:t>
            </m:r>
          </m:num>
          <m:den>
            <m:r>
              <m:rPr>
                <m:sty m:val="p"/>
              </m:rPr>
              <w:rPr>
                <w:rFonts w:ascii="Cambria Math" w:hAnsi="Cambria Math"/>
              </w:rPr>
              <m:t>∂τ</m:t>
            </m:r>
          </m:den>
        </m:f>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r>
          <m:rPr>
            <m:sty m:val="p"/>
          </m:rPr>
          <w:rPr>
            <w:rFonts w:ascii="Cambria Math" w:hAnsi="Cambria Math"/>
          </w:rPr>
          <m:t>+∇∙</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r>
          <m:rPr>
            <m:sty m:val="p"/>
          </m:rPr>
          <w:rPr>
            <w:rFonts w:ascii="Cambria Math" w:hAnsi="Cambria Math"/>
          </w:rPr>
          <m:t>=0</m:t>
        </m:r>
      </m:oMath>
      <w:r w:rsidRPr="00B33055">
        <w:rPr>
          <w:rFonts w:ascii="Cambria Math" w:hAnsi="Cambria Math"/>
        </w:rPr>
        <w:tab/>
        <w:t>(A-5)</w:t>
      </w:r>
    </w:p>
    <w:p w14:paraId="710DD2B6" w14:textId="77777777" w:rsidR="006B074D" w:rsidRPr="00B33055" w:rsidRDefault="006B074D" w:rsidP="006B074D">
      <w:r w:rsidRPr="00B33055">
        <w:t xml:space="preserve">Multiplying above equation by time </w:t>
      </w:r>
      <m:oMath>
        <m:r>
          <w:rPr>
            <w:rFonts w:ascii="Cambria Math" w:hAnsi="Cambria Math"/>
          </w:rPr>
          <m:t>τ</m:t>
        </m:r>
      </m:oMath>
      <w:r w:rsidRPr="00B33055">
        <w:t xml:space="preserve"> and to obtain the first temporal moment and integrating it from 0 to t gives</w:t>
      </w:r>
    </w:p>
    <w:p w14:paraId="3A5981EF" w14:textId="77777777" w:rsidR="006B074D" w:rsidRPr="00B33055" w:rsidRDefault="00A53410" w:rsidP="006B074D">
      <w:pPr>
        <w:rPr>
          <w:rFonts w:ascii="Cambria Math" w:hAnsi="Cambria Math"/>
        </w:rPr>
      </w:pPr>
      <m:oMath>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τϕ</m:t>
            </m:r>
            <m:f>
              <m:fPr>
                <m:ctrlPr>
                  <w:rPr>
                    <w:rFonts w:ascii="Cambria Math" w:hAnsi="Cambria Math"/>
                  </w:rPr>
                </m:ctrlPr>
              </m:fPr>
              <m:num>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num>
              <m:den>
                <m:r>
                  <m:rPr>
                    <m:sty m:val="p"/>
                  </m:rPr>
                  <w:rPr>
                    <w:rFonts w:ascii="Cambria Math" w:hAnsi="Cambria Math"/>
                  </w:rPr>
                  <m:t>∂τ</m:t>
                </m:r>
              </m:den>
            </m:f>
            <m:r>
              <m:rPr>
                <m:sty m:val="p"/>
              </m:rPr>
              <w:rPr>
                <w:rFonts w:ascii="Cambria Math" w:hAnsi="Cambria Math"/>
              </w:rPr>
              <m:t>dτ</m:t>
            </m:r>
          </m:e>
        </m:nary>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τ∇∙</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dτ=0</m:t>
        </m:r>
      </m:oMath>
      <w:r w:rsidR="006B074D" w:rsidRPr="00B33055">
        <w:rPr>
          <w:rFonts w:ascii="Cambria Math" w:hAnsi="Cambria Math"/>
        </w:rPr>
        <w:t xml:space="preserve"> </w:t>
      </w:r>
      <w:r w:rsidR="006B074D" w:rsidRPr="00B33055">
        <w:rPr>
          <w:rFonts w:ascii="Cambria Math" w:hAnsi="Cambria Math"/>
        </w:rPr>
        <w:tab/>
        <w:t>(A-6)</w:t>
      </w:r>
    </w:p>
    <w:p w14:paraId="16DA845F" w14:textId="473CED87" w:rsidR="006B074D" w:rsidRPr="00B33055" w:rsidRDefault="006B074D" w:rsidP="006B074D">
      <w:r w:rsidRPr="00B33055">
        <w:lastRenderedPageBreak/>
        <w:t xml:space="preserve">Since porosity is constant and switching the order of the time integration and the delta operator in </w:t>
      </w:r>
      <w:r>
        <w:t xml:space="preserve">the second term, Eq. </w:t>
      </w:r>
      <w:r w:rsidRPr="00B33055">
        <w:t>A-</w:t>
      </w:r>
      <w:r>
        <w:t>6</w:t>
      </w:r>
      <w:r w:rsidRPr="00B33055">
        <w:t xml:space="preserve"> </w:t>
      </w:r>
      <w:r w:rsidR="00B721FC">
        <w:t>is rewritten as</w:t>
      </w:r>
      <w:r w:rsidRPr="00B33055">
        <w:t xml:space="preserve"> </w:t>
      </w:r>
    </w:p>
    <w:p w14:paraId="5814DC1E" w14:textId="77777777" w:rsidR="006B074D" w:rsidRPr="00B33055" w:rsidRDefault="006B074D" w:rsidP="006B074D">
      <w:pPr>
        <w:rPr>
          <w:rFonts w:ascii="Cambria Math" w:hAnsi="Cambria Math"/>
        </w:rPr>
      </w:pPr>
      <m:oMath>
        <m:r>
          <m:rPr>
            <m:sty m:val="p"/>
          </m:rPr>
          <w:rPr>
            <w:rFonts w:ascii="Cambria Math" w:hAnsi="Cambria Math"/>
          </w:rPr>
          <m:t>ϕ</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τ</m:t>
            </m:r>
            <m:f>
              <m:fPr>
                <m:ctrlPr>
                  <w:rPr>
                    <w:rFonts w:ascii="Cambria Math" w:hAnsi="Cambria Math"/>
                  </w:rPr>
                </m:ctrlPr>
              </m:fPr>
              <m:num>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num>
              <m:den>
                <m:r>
                  <m:rPr>
                    <m:sty m:val="p"/>
                  </m:rPr>
                  <w:rPr>
                    <w:rFonts w:ascii="Cambria Math" w:hAnsi="Cambria Math"/>
                  </w:rPr>
                  <m:t>∂τ</m:t>
                </m:r>
              </m:den>
            </m:f>
            <m:r>
              <m:rPr>
                <m:sty m:val="p"/>
              </m:rPr>
              <w:rPr>
                <w:rFonts w:ascii="Cambria Math" w:hAnsi="Cambria Math"/>
              </w:rPr>
              <m:t>dτ</m:t>
            </m:r>
          </m:e>
        </m:nary>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τ</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dτ=0</m:t>
        </m:r>
      </m:oMath>
      <w:r w:rsidRPr="00B33055">
        <w:rPr>
          <w:rFonts w:ascii="Cambria Math" w:hAnsi="Cambria Math"/>
        </w:rPr>
        <w:tab/>
        <w:t>(A-7)</w:t>
      </w:r>
    </w:p>
    <w:p w14:paraId="334D602A" w14:textId="77777777" w:rsidR="006B074D" w:rsidRPr="00B33055" w:rsidRDefault="006B074D" w:rsidP="006B074D">
      <w:r w:rsidRPr="00B33055">
        <w:t>Now, integrate the first term</w:t>
      </w:r>
    </w:p>
    <w:p w14:paraId="3A6EE900" w14:textId="77777777" w:rsidR="006B074D" w:rsidRPr="00B33055" w:rsidRDefault="00A53410" w:rsidP="006B074D">
      <w:pPr>
        <w:rPr>
          <w:rFonts w:ascii="Cambria Math" w:hAnsi="Cambria Math"/>
        </w:rPr>
      </w:pPr>
      <m:oMath>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τ</m:t>
            </m:r>
            <m:f>
              <m:fPr>
                <m:ctrlPr>
                  <w:rPr>
                    <w:rFonts w:ascii="Cambria Math" w:hAnsi="Cambria Math"/>
                  </w:rPr>
                </m:ctrlPr>
              </m:fPr>
              <m:num>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num>
              <m:den>
                <m:r>
                  <m:rPr>
                    <m:sty m:val="p"/>
                  </m:rPr>
                  <w:rPr>
                    <w:rFonts w:ascii="Cambria Math" w:hAnsi="Cambria Math"/>
                  </w:rPr>
                  <m:t>∂τ</m:t>
                </m:r>
              </m:den>
            </m:f>
            <m:r>
              <m:rPr>
                <m:sty m:val="p"/>
              </m:rPr>
              <w:rPr>
                <w:rFonts w:ascii="Cambria Math" w:hAnsi="Cambria Math"/>
              </w:rPr>
              <m:t>dτ</m:t>
            </m:r>
          </m:e>
        </m:nary>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m:t>
            </m:r>
            <m:f>
              <m:fPr>
                <m:ctrlPr>
                  <w:rPr>
                    <w:rFonts w:ascii="Cambria Math" w:hAnsi="Cambria Math"/>
                  </w:rPr>
                </m:ctrlPr>
              </m:fPr>
              <m:num>
                <m:r>
                  <m:rPr>
                    <m:sty m:val="p"/>
                  </m:rPr>
                  <w:rPr>
                    <w:rFonts w:ascii="Cambria Math" w:hAnsi="Cambria Math"/>
                  </w:rPr>
                  <m:t>∂(τ</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r>
                  <m:rPr>
                    <m:sty m:val="p"/>
                  </m:rPr>
                  <w:rPr>
                    <w:rFonts w:ascii="Cambria Math" w:hAnsi="Cambria Math"/>
                  </w:rPr>
                  <m:t>)</m:t>
                </m:r>
              </m:num>
              <m:den>
                <m:r>
                  <m:rPr>
                    <m:sty m:val="p"/>
                  </m:rPr>
                  <w:rPr>
                    <w:rFonts w:ascii="Cambria Math" w:hAnsi="Cambria Math"/>
                  </w:rPr>
                  <m:t>∂τ</m:t>
                </m:r>
              </m:den>
            </m:f>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r>
              <m:rPr>
                <m:sty m:val="p"/>
              </m:rPr>
              <w:rPr>
                <w:rFonts w:ascii="Cambria Math" w:hAnsi="Cambria Math"/>
              </w:rPr>
              <m:t>)dτ</m:t>
            </m:r>
          </m:e>
        </m:nary>
        <m:r>
          <m:rPr>
            <m:sty m:val="p"/>
          </m:rPr>
          <w:rPr>
            <w:rFonts w:ascii="Cambria Math" w:hAnsi="Cambria Math"/>
          </w:rPr>
          <m:t>=</m:t>
        </m:r>
        <m:sSubSup>
          <m:sSubSupPr>
            <m:ctrlPr>
              <w:rPr>
                <w:rFonts w:ascii="Cambria Math" w:hAnsi="Cambria Math"/>
              </w:rPr>
            </m:ctrlPr>
          </m:sSubSupPr>
          <m:e>
            <m:r>
              <m:rPr>
                <m:sty m:val="p"/>
              </m:rPr>
              <w:rPr>
                <w:rFonts w:ascii="Cambria Math" w:hAnsi="Cambria Math"/>
              </w:rPr>
              <m:t>[τ</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r>
              <m:rPr>
                <m:sty m:val="p"/>
              </m:rPr>
              <w:rPr>
                <w:rFonts w:ascii="Cambria Math" w:hAnsi="Cambria Math"/>
              </w:rPr>
              <m:t>]</m:t>
            </m:r>
          </m:e>
          <m:sub>
            <m:r>
              <m:rPr>
                <m:sty m:val="p"/>
              </m:rPr>
              <w:rPr>
                <w:rFonts w:ascii="Cambria Math" w:hAnsi="Cambria Math"/>
              </w:rPr>
              <m:t>0</m:t>
            </m:r>
          </m:sub>
          <m:sup>
            <m:r>
              <m:rPr>
                <m:sty m:val="p"/>
              </m:rPr>
              <w:rPr>
                <w:rFonts w:ascii="Cambria Math" w:hAnsi="Cambria Math"/>
              </w:rPr>
              <m:t>t</m:t>
            </m:r>
          </m:sup>
        </m:sSubSup>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r>
              <m:rPr>
                <m:sty m:val="p"/>
              </m:rPr>
              <w:rPr>
                <w:rFonts w:ascii="Cambria Math" w:hAnsi="Cambria Math"/>
              </w:rPr>
              <m:t>dτ</m:t>
            </m:r>
          </m:e>
        </m:nary>
      </m:oMath>
      <w:r w:rsidR="006B074D" w:rsidRPr="00B33055">
        <w:rPr>
          <w:rFonts w:ascii="Cambria Math" w:hAnsi="Cambria Math"/>
        </w:rPr>
        <w:tab/>
        <w:t>(A-8)</w:t>
      </w:r>
    </w:p>
    <w:p w14:paraId="4BED7240" w14:textId="77777777" w:rsidR="006B074D" w:rsidRPr="00B33055" w:rsidRDefault="006B074D" w:rsidP="006B074D">
      <w:r w:rsidRPr="00B33055">
        <w:t>Assuming that the initial concentration is</w:t>
      </w:r>
      <w:r>
        <w:t xml:space="preserve"> zero, the first term in Eq. </w:t>
      </w:r>
      <w:r w:rsidRPr="00B33055">
        <w:t>A-</w:t>
      </w:r>
      <w:r>
        <w:t>7</w:t>
      </w:r>
      <w:r w:rsidRPr="00B33055">
        <w:t xml:space="preserve"> becomes </w:t>
      </w:r>
    </w:p>
    <w:p w14:paraId="6F44E580" w14:textId="77777777" w:rsidR="006B074D" w:rsidRPr="00B33055" w:rsidRDefault="006B074D" w:rsidP="006B074D">
      <w:pPr>
        <w:rPr>
          <w:rFonts w:ascii="Cambria Math" w:hAnsi="Cambria Math"/>
        </w:rPr>
      </w:pPr>
      <m:oMath>
        <m:r>
          <m:rPr>
            <m:sty m:val="p"/>
          </m:rPr>
          <w:rPr>
            <w:rFonts w:ascii="Cambria Math" w:hAnsi="Cambria Math"/>
          </w:rPr>
          <m:t>ϕ</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τ</m:t>
            </m:r>
            <m:f>
              <m:fPr>
                <m:ctrlPr>
                  <w:rPr>
                    <w:rFonts w:ascii="Cambria Math" w:hAnsi="Cambria Math"/>
                  </w:rPr>
                </m:ctrlPr>
              </m:fPr>
              <m:num>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num>
              <m:den>
                <m:r>
                  <m:rPr>
                    <m:sty m:val="p"/>
                  </m:rPr>
                  <w:rPr>
                    <w:rFonts w:ascii="Cambria Math" w:hAnsi="Cambria Math"/>
                  </w:rPr>
                  <m:t>∂τ</m:t>
                </m:r>
              </m:den>
            </m:f>
            <m:r>
              <m:rPr>
                <m:sty m:val="p"/>
              </m:rPr>
              <w:rPr>
                <w:rFonts w:ascii="Cambria Math" w:hAnsi="Cambria Math"/>
              </w:rPr>
              <m:t>dτ</m:t>
            </m:r>
          </m:e>
        </m:nary>
        <m:r>
          <m:rPr>
            <m:sty m:val="p"/>
          </m:rPr>
          <w:rPr>
            <w:rFonts w:ascii="Cambria Math" w:hAnsi="Cambria Math"/>
          </w:rPr>
          <m:t>=-ϕ</m:t>
        </m:r>
        <m:d>
          <m:dPr>
            <m:begChr m:val="["/>
            <m:endChr m:val="]"/>
            <m:ctrlPr>
              <w:rPr>
                <w:rFonts w:ascii="Cambria Math" w:hAnsi="Cambria Math"/>
              </w:rPr>
            </m:ctrlPr>
          </m:dPr>
          <m:e>
            <m:r>
              <m:rPr>
                <m:sty m:val="p"/>
              </m:rPr>
              <w:rPr>
                <w:rFonts w:ascii="Cambria Math" w:hAnsi="Cambria Math"/>
              </w:rPr>
              <m:t>-t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k,τ=t</m:t>
                </m:r>
              </m:sub>
            </m:sSub>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r>
                  <m:rPr>
                    <m:sty m:val="p"/>
                  </m:rPr>
                  <w:rPr>
                    <w:rFonts w:ascii="Cambria Math" w:hAnsi="Cambria Math"/>
                  </w:rPr>
                  <m:t>dτ</m:t>
                </m:r>
              </m:e>
            </m:nary>
          </m:e>
        </m:d>
      </m:oMath>
      <w:r w:rsidRPr="00B33055">
        <w:rPr>
          <w:rFonts w:ascii="Cambria Math" w:hAnsi="Cambria Math"/>
        </w:rPr>
        <w:tab/>
        <w:t>(A-9)</w:t>
      </w:r>
    </w:p>
    <w:p w14:paraId="4125610D" w14:textId="6F241C1E" w:rsidR="006B074D" w:rsidRPr="00B33055" w:rsidRDefault="000D000C" w:rsidP="006B074D">
      <w:r>
        <w:t>T</w:t>
      </w:r>
      <w:r w:rsidR="006B074D" w:rsidRPr="00B33055">
        <w:t xml:space="preserve">he Eq. (A-7) comes to </w:t>
      </w:r>
    </w:p>
    <w:p w14:paraId="52090BCF" w14:textId="77777777" w:rsidR="006B074D" w:rsidRPr="00B33055" w:rsidRDefault="006B074D" w:rsidP="006B074D">
      <w:pPr>
        <w:rPr>
          <w:rFonts w:ascii="Cambria Math" w:hAnsi="Cambria Math"/>
        </w:rPr>
      </w:pPr>
      <m:oMath>
        <m:r>
          <m:rPr>
            <m:sty m:val="p"/>
          </m:rPr>
          <w:rPr>
            <w:rFonts w:ascii="Cambria Math" w:hAnsi="Cambria Math"/>
          </w:rPr>
          <m:t>-ϕ</m:t>
        </m:r>
        <m:d>
          <m:dPr>
            <m:begChr m:val="["/>
            <m:endChr m:val="]"/>
            <m:ctrlPr>
              <w:rPr>
                <w:rFonts w:ascii="Cambria Math" w:hAnsi="Cambria Math"/>
              </w:rPr>
            </m:ctrlPr>
          </m:dPr>
          <m:e>
            <m:r>
              <m:rPr>
                <m:sty m:val="p"/>
              </m:rPr>
              <w:rPr>
                <w:rFonts w:ascii="Cambria Math" w:hAnsi="Cambria Math"/>
              </w:rPr>
              <m:t>-t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k,τ=t</m:t>
                </m:r>
              </m:sub>
            </m:sSub>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r>
                  <m:rPr>
                    <m:sty m:val="p"/>
                  </m:rPr>
                  <w:rPr>
                    <w:rFonts w:ascii="Cambria Math" w:hAnsi="Cambria Math"/>
                  </w:rPr>
                  <m:t>dτ</m:t>
                </m:r>
              </m:e>
            </m:nary>
          </m:e>
        </m:d>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τ</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dτ=0</m:t>
        </m:r>
      </m:oMath>
      <w:r w:rsidRPr="00B33055">
        <w:rPr>
          <w:rFonts w:ascii="Cambria Math" w:hAnsi="Cambria Math"/>
        </w:rPr>
        <w:tab/>
        <w:t>(A-10)</w:t>
      </w:r>
    </w:p>
    <w:p w14:paraId="4016E71B" w14:textId="77777777" w:rsidR="006B074D" w:rsidRPr="00B33055" w:rsidRDefault="008F03BC" w:rsidP="006B074D">
      <w:r>
        <w:t xml:space="preserve">Multiplying Eq. </w:t>
      </w:r>
      <w:r w:rsidR="006B074D" w:rsidRPr="00B33055">
        <w:t>A-5 by time t and integrate it from t to infinity gives</w:t>
      </w:r>
    </w:p>
    <w:p w14:paraId="49ACC7A8" w14:textId="77777777" w:rsidR="006B074D" w:rsidRPr="00B33055" w:rsidRDefault="00A53410" w:rsidP="006B074D">
      <w:pPr>
        <w:rPr>
          <w:rFonts w:ascii="Cambria Math" w:hAnsi="Cambria Math"/>
        </w:rPr>
      </w:pPr>
      <m:oMath>
        <m:nary>
          <m:naryPr>
            <m:limLoc m:val="subSup"/>
            <m:ctrlPr>
              <w:rPr>
                <w:rFonts w:ascii="Cambria Math" w:hAnsi="Cambria Math"/>
              </w:rPr>
            </m:ctrlPr>
          </m:naryPr>
          <m:sub>
            <m:r>
              <m:rPr>
                <m:sty m:val="p"/>
              </m:rPr>
              <w:rPr>
                <w:rFonts w:ascii="Cambria Math" w:hAnsi="Cambria Math"/>
              </w:rPr>
              <m:t>t</m:t>
            </m:r>
          </m:sub>
          <m:sup>
            <m:r>
              <m:rPr>
                <m:sty m:val="p"/>
              </m:rPr>
              <w:rPr>
                <w:rFonts w:ascii="Cambria Math" w:hAnsi="Cambria Math"/>
              </w:rPr>
              <m:t>∞</m:t>
            </m:r>
          </m:sup>
          <m:e>
            <m:r>
              <m:rPr>
                <m:sty m:val="p"/>
              </m:rPr>
              <w:rPr>
                <w:rFonts w:ascii="Cambria Math" w:hAnsi="Cambria Math"/>
              </w:rPr>
              <m:t>tϕ</m:t>
            </m:r>
            <m:f>
              <m:fPr>
                <m:ctrlPr>
                  <w:rPr>
                    <w:rFonts w:ascii="Cambria Math" w:hAnsi="Cambria Math"/>
                  </w:rPr>
                </m:ctrlPr>
              </m:fPr>
              <m:num>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num>
              <m:den>
                <m:r>
                  <m:rPr>
                    <m:sty m:val="p"/>
                  </m:rPr>
                  <w:rPr>
                    <w:rFonts w:ascii="Cambria Math" w:hAnsi="Cambria Math"/>
                  </w:rPr>
                  <m:t>∂τ</m:t>
                </m:r>
              </m:den>
            </m:f>
            <m:r>
              <m:rPr>
                <m:sty m:val="p"/>
              </m:rPr>
              <w:rPr>
                <w:rFonts w:ascii="Cambria Math" w:hAnsi="Cambria Math"/>
              </w:rPr>
              <m:t>dτ</m:t>
            </m:r>
          </m:e>
        </m:nary>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t</m:t>
            </m:r>
          </m:sub>
          <m:sup>
            <m:r>
              <m:rPr>
                <m:sty m:val="p"/>
              </m:rPr>
              <w:rPr>
                <w:rFonts w:ascii="Cambria Math" w:hAnsi="Cambria Math"/>
              </w:rPr>
              <m:t>∞</m:t>
            </m:r>
          </m:sup>
          <m:e>
            <m:r>
              <m:rPr>
                <m:sty m:val="p"/>
              </m:rPr>
              <w:rPr>
                <w:rFonts w:ascii="Cambria Math" w:hAnsi="Cambria Math"/>
              </w:rPr>
              <m:t>t∇∙</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dτ=0</m:t>
        </m:r>
      </m:oMath>
      <w:r w:rsidR="006B074D" w:rsidRPr="00B33055">
        <w:rPr>
          <w:rFonts w:ascii="Cambria Math" w:hAnsi="Cambria Math"/>
        </w:rPr>
        <w:tab/>
        <w:t>(A-11)</w:t>
      </w:r>
    </w:p>
    <w:p w14:paraId="04745180" w14:textId="77777777" w:rsidR="006B074D" w:rsidRPr="00B33055" w:rsidRDefault="006B074D" w:rsidP="006B074D">
      <w:r w:rsidRPr="00B33055">
        <w:t xml:space="preserve">Similarly, the first term can be integrated as </w:t>
      </w:r>
    </w:p>
    <w:p w14:paraId="7D674A54" w14:textId="77777777" w:rsidR="006B074D" w:rsidRPr="00B33055" w:rsidRDefault="00A53410" w:rsidP="006B074D">
      <w:pPr>
        <w:rPr>
          <w:rFonts w:ascii="Cambria Math" w:hAnsi="Cambria Math"/>
        </w:rPr>
      </w:pPr>
      <m:oMath>
        <m:nary>
          <m:naryPr>
            <m:limLoc m:val="subSup"/>
            <m:ctrlPr>
              <w:rPr>
                <w:rFonts w:ascii="Cambria Math" w:hAnsi="Cambria Math"/>
              </w:rPr>
            </m:ctrlPr>
          </m:naryPr>
          <m:sub>
            <m:r>
              <m:rPr>
                <m:sty m:val="p"/>
              </m:rPr>
              <w:rPr>
                <w:rFonts w:ascii="Cambria Math" w:hAnsi="Cambria Math"/>
              </w:rPr>
              <m:t>t</m:t>
            </m:r>
          </m:sub>
          <m:sup>
            <m:r>
              <m:rPr>
                <m:sty m:val="p"/>
              </m:rPr>
              <w:rPr>
                <w:rFonts w:ascii="Cambria Math" w:hAnsi="Cambria Math"/>
              </w:rPr>
              <m:t>∞</m:t>
            </m:r>
          </m:sup>
          <m:e>
            <m:r>
              <m:rPr>
                <m:sty m:val="p"/>
              </m:rPr>
              <w:rPr>
                <w:rFonts w:ascii="Cambria Math" w:hAnsi="Cambria Math"/>
              </w:rPr>
              <m:t>t</m:t>
            </m:r>
            <m:f>
              <m:fPr>
                <m:ctrlPr>
                  <w:rPr>
                    <w:rFonts w:ascii="Cambria Math" w:hAnsi="Cambria Math"/>
                  </w:rPr>
                </m:ctrlPr>
              </m:fPr>
              <m:num>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num>
              <m:den>
                <m:r>
                  <m:rPr>
                    <m:sty m:val="p"/>
                  </m:rPr>
                  <w:rPr>
                    <w:rFonts w:ascii="Cambria Math" w:hAnsi="Cambria Math"/>
                  </w:rPr>
                  <m:t>∂τ</m:t>
                </m:r>
              </m:den>
            </m:f>
            <m:r>
              <m:rPr>
                <m:sty m:val="p"/>
              </m:rPr>
              <w:rPr>
                <w:rFonts w:ascii="Cambria Math" w:hAnsi="Cambria Math"/>
              </w:rPr>
              <m:t>dτ=t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r>
                  <m:rPr>
                    <m:sty m:val="p"/>
                  </m:rPr>
                  <w:rPr>
                    <w:rFonts w:ascii="Cambria Math" w:hAnsi="Cambria Math"/>
                  </w:rPr>
                  <m:t>d</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e>
            </m:nary>
          </m:e>
        </m:nary>
        <m:r>
          <m:rPr>
            <m:sty m:val="p"/>
          </m:rPr>
          <w:rPr>
            <w:rFonts w:ascii="Cambria Math" w:hAnsi="Cambria Math"/>
          </w:rPr>
          <m:t>=t</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e>
            </m:d>
          </m:e>
          <m:sub>
            <m:r>
              <m:rPr>
                <m:sty m:val="p"/>
              </m:rPr>
              <w:rPr>
                <w:rFonts w:ascii="Cambria Math" w:hAnsi="Cambria Math"/>
              </w:rPr>
              <m:t>τ→∞</m:t>
            </m:r>
          </m:sub>
        </m:sSub>
        <m:r>
          <m:rPr>
            <m:sty m:val="p"/>
          </m:rPr>
          <w:rPr>
            <w:rFonts w:ascii="Cambria Math" w:hAnsi="Cambria Math"/>
          </w:rPr>
          <m:t>-t</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e>
            </m:d>
          </m:e>
          <m:sub>
            <m:r>
              <m:rPr>
                <m:sty m:val="p"/>
              </m:rPr>
              <w:rPr>
                <w:rFonts w:ascii="Cambria Math" w:hAnsi="Cambria Math"/>
              </w:rPr>
              <m:t>τ=t</m:t>
            </m:r>
          </m:sub>
        </m:sSub>
      </m:oMath>
      <w:r w:rsidR="006B074D" w:rsidRPr="00B33055">
        <w:rPr>
          <w:rFonts w:ascii="Cambria Math" w:hAnsi="Cambria Math"/>
        </w:rPr>
        <w:tab/>
        <w:t>(A-12)</w:t>
      </w:r>
    </w:p>
    <w:p w14:paraId="7E9B6682" w14:textId="77777777" w:rsidR="006B074D" w:rsidRPr="00B33055" w:rsidRDefault="006B074D" w:rsidP="006B074D">
      <w:r w:rsidRPr="00B33055">
        <w:t>When time goes to infinite, then, C</w:t>
      </w:r>
      <w:r w:rsidRPr="00B33055">
        <w:rPr>
          <w:vertAlign w:val="subscript"/>
        </w:rPr>
        <w:t>k</w:t>
      </w:r>
      <w:r w:rsidRPr="00B33055">
        <w:t xml:space="preserve"> is zero, hence above equation turns to</w:t>
      </w:r>
    </w:p>
    <w:p w14:paraId="2AB87BF2" w14:textId="77777777" w:rsidR="006B074D" w:rsidRPr="00B33055" w:rsidRDefault="00A53410" w:rsidP="006B074D">
      <w:pPr>
        <w:rPr>
          <w:rFonts w:ascii="Cambria Math" w:hAnsi="Cambria Math"/>
        </w:rPr>
      </w:pPr>
      <m:oMath>
        <m:nary>
          <m:naryPr>
            <m:limLoc m:val="subSup"/>
            <m:ctrlPr>
              <w:rPr>
                <w:rFonts w:ascii="Cambria Math" w:hAnsi="Cambria Math"/>
              </w:rPr>
            </m:ctrlPr>
          </m:naryPr>
          <m:sub>
            <m:r>
              <m:rPr>
                <m:sty m:val="p"/>
              </m:rPr>
              <w:rPr>
                <w:rFonts w:ascii="Cambria Math" w:hAnsi="Cambria Math"/>
              </w:rPr>
              <m:t>t</m:t>
            </m:r>
          </m:sub>
          <m:sup>
            <m:r>
              <m:rPr>
                <m:sty m:val="p"/>
              </m:rPr>
              <w:rPr>
                <w:rFonts w:ascii="Cambria Math" w:hAnsi="Cambria Math"/>
              </w:rPr>
              <m:t>∞</m:t>
            </m:r>
          </m:sup>
          <m:e>
            <m:r>
              <m:rPr>
                <m:sty m:val="p"/>
              </m:rPr>
              <w:rPr>
                <w:rFonts w:ascii="Cambria Math" w:hAnsi="Cambria Math"/>
              </w:rPr>
              <m:t>t</m:t>
            </m:r>
            <m:f>
              <m:fPr>
                <m:ctrlPr>
                  <w:rPr>
                    <w:rFonts w:ascii="Cambria Math" w:hAnsi="Cambria Math"/>
                  </w:rPr>
                </m:ctrlPr>
              </m:fPr>
              <m:num>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num>
              <m:den>
                <m:r>
                  <m:rPr>
                    <m:sty m:val="p"/>
                  </m:rPr>
                  <w:rPr>
                    <w:rFonts w:ascii="Cambria Math" w:hAnsi="Cambria Math"/>
                  </w:rPr>
                  <m:t>∂τ</m:t>
                </m:r>
              </m:den>
            </m:f>
            <m:r>
              <m:rPr>
                <m:sty m:val="p"/>
              </m:rPr>
              <w:rPr>
                <w:rFonts w:ascii="Cambria Math" w:hAnsi="Cambria Math"/>
              </w:rPr>
              <m:t>dτ</m:t>
            </m:r>
          </m:e>
        </m:nary>
        <m:r>
          <m:rPr>
            <m:sty m:val="p"/>
          </m:rPr>
          <w:rPr>
            <w:rFonts w:ascii="Cambria Math" w:hAnsi="Cambria Math"/>
          </w:rPr>
          <m:t>=-t</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e>
            </m:d>
          </m:e>
          <m:sub>
            <m:r>
              <m:rPr>
                <m:sty m:val="p"/>
              </m:rPr>
              <w:rPr>
                <w:rFonts w:ascii="Cambria Math" w:hAnsi="Cambria Math"/>
              </w:rPr>
              <m:t>τ=t</m:t>
            </m:r>
          </m:sub>
        </m:sSub>
      </m:oMath>
      <w:r w:rsidR="006B074D" w:rsidRPr="00B33055">
        <w:rPr>
          <w:rFonts w:ascii="Cambria Math" w:hAnsi="Cambria Math"/>
        </w:rPr>
        <w:tab/>
        <w:t>(A-13)</w:t>
      </w:r>
    </w:p>
    <w:p w14:paraId="0277A9FE" w14:textId="77777777" w:rsidR="006B074D" w:rsidRPr="00B33055" w:rsidRDefault="008F03BC" w:rsidP="006B074D">
      <w:r>
        <w:t xml:space="preserve">Now, the Eq. </w:t>
      </w:r>
      <w:r w:rsidR="006B074D" w:rsidRPr="00B33055">
        <w:t xml:space="preserve">A-11 becomes as </w:t>
      </w:r>
    </w:p>
    <w:p w14:paraId="43C115CB" w14:textId="77777777" w:rsidR="006B074D" w:rsidRPr="00B33055" w:rsidRDefault="006B074D" w:rsidP="006B074D">
      <w:pPr>
        <w:rPr>
          <w:rFonts w:ascii="Cambria Math" w:hAnsi="Cambria Math"/>
        </w:rPr>
      </w:pPr>
      <m:oMath>
        <m:r>
          <m:rPr>
            <m:sty m:val="p"/>
          </m:rPr>
          <w:rPr>
            <w:rFonts w:ascii="Cambria Math" w:hAnsi="Cambria Math"/>
          </w:rPr>
          <m:t>-ϕt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k,τ=t</m:t>
            </m:r>
          </m:sub>
        </m:sSub>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t</m:t>
            </m:r>
          </m:sub>
          <m:sup>
            <m:r>
              <m:rPr>
                <m:sty m:val="p"/>
              </m:rPr>
              <w:rPr>
                <w:rFonts w:ascii="Cambria Math" w:hAnsi="Cambria Math"/>
              </w:rPr>
              <m:t>∞</m:t>
            </m:r>
          </m:sup>
          <m:e>
            <m:r>
              <m:rPr>
                <m:sty m:val="p"/>
              </m:rPr>
              <w:rPr>
                <w:rFonts w:ascii="Cambria Math" w:hAnsi="Cambria Math"/>
              </w:rPr>
              <m:t>t</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dτ=0</m:t>
        </m:r>
      </m:oMath>
      <w:r w:rsidRPr="00B33055">
        <w:rPr>
          <w:rFonts w:ascii="Cambria Math" w:hAnsi="Cambria Math"/>
        </w:rPr>
        <w:tab/>
        <w:t>(A-14)</w:t>
      </w:r>
    </w:p>
    <w:p w14:paraId="616DE024" w14:textId="3BA72357" w:rsidR="006B074D" w:rsidRPr="00B33055" w:rsidRDefault="006B074D" w:rsidP="006B074D">
      <w:r w:rsidRPr="00B33055">
        <w:t xml:space="preserve">Combining </w:t>
      </w:r>
      <w:r w:rsidR="008F03BC">
        <w:t>Eq. A-14</w:t>
      </w:r>
      <w:r w:rsidRPr="00B33055">
        <w:t xml:space="preserve"> and Eq. A-10, </w:t>
      </w:r>
    </w:p>
    <w:p w14:paraId="4F3CBC4A" w14:textId="77777777" w:rsidR="006B074D" w:rsidRDefault="006B074D" w:rsidP="006B074D">
      <w:pPr>
        <w:rPr>
          <w:rFonts w:ascii="Cambria Math" w:hAnsi="Cambria Math"/>
        </w:rPr>
      </w:pPr>
      <m:oMath>
        <m:r>
          <m:rPr>
            <m:sty m:val="p"/>
          </m:rPr>
          <w:rPr>
            <w:rFonts w:ascii="Cambria Math" w:hAnsi="Cambria Math"/>
          </w:rPr>
          <m:t>-ϕ</m:t>
        </m:r>
        <m:d>
          <m:dPr>
            <m:begChr m:val="["/>
            <m:endChr m:val="]"/>
            <m:ctrlPr>
              <w:rPr>
                <w:rFonts w:ascii="Cambria Math" w:hAnsi="Cambria Math"/>
              </w:rPr>
            </m:ctrlPr>
          </m:dPr>
          <m:e>
            <m:r>
              <m:rPr>
                <m:sty m:val="p"/>
              </m:rPr>
              <w:rPr>
                <w:rFonts w:ascii="Cambria Math" w:hAnsi="Cambria Math"/>
              </w:rPr>
              <m:t>-τ</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k,τ=t</m:t>
                </m:r>
              </m:sub>
            </m:sSub>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r>
                  <m:rPr>
                    <m:sty m:val="p"/>
                  </m:rPr>
                  <w:rPr>
                    <w:rFonts w:ascii="Cambria Math" w:hAnsi="Cambria Math"/>
                  </w:rPr>
                  <m:t>dτ</m:t>
                </m:r>
              </m:e>
            </m:nary>
          </m:e>
        </m:d>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τ</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dτ+(-ϕt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k,τ=t</m:t>
            </m:r>
          </m:sub>
        </m:sSub>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t</m:t>
            </m:r>
          </m:sub>
          <m:sup>
            <m:r>
              <m:rPr>
                <m:sty m:val="p"/>
              </m:rPr>
              <w:rPr>
                <w:rFonts w:ascii="Cambria Math" w:hAnsi="Cambria Math"/>
              </w:rPr>
              <m:t>∞</m:t>
            </m:r>
          </m:sup>
          <m:e>
            <m:r>
              <m:rPr>
                <m:sty m:val="p"/>
              </m:rPr>
              <w:rPr>
                <w:rFonts w:ascii="Cambria Math" w:hAnsi="Cambria Math"/>
              </w:rPr>
              <m:t>t</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dτ)=0</m:t>
        </m:r>
      </m:oMath>
      <w:r w:rsidRPr="00B33055">
        <w:rPr>
          <w:rFonts w:ascii="Cambria Math" w:hAnsi="Cambria Math"/>
        </w:rPr>
        <w:tab/>
        <w:t>(A-15)</w:t>
      </w:r>
    </w:p>
    <w:p w14:paraId="68103C58" w14:textId="77777777" w:rsidR="008F03BC" w:rsidRPr="00B33055" w:rsidRDefault="008F03BC" w:rsidP="006B074D">
      <w:pPr>
        <w:rPr>
          <w:rFonts w:ascii="Cambria Math" w:hAnsi="Cambria Math"/>
        </w:rPr>
      </w:pPr>
    </w:p>
    <w:p w14:paraId="51E7F786" w14:textId="77777777" w:rsidR="006B074D" w:rsidRPr="00B33055" w:rsidRDefault="006B074D" w:rsidP="006B074D">
      <w:r w:rsidRPr="00B33055">
        <w:lastRenderedPageBreak/>
        <w:t xml:space="preserve">Rearranging the equation yields: </w:t>
      </w:r>
    </w:p>
    <w:p w14:paraId="4B0FBDAD" w14:textId="77777777" w:rsidR="006B074D" w:rsidRPr="00B33055" w:rsidRDefault="006B074D" w:rsidP="006B074D">
      <w:pPr>
        <w:rPr>
          <w:rFonts w:ascii="Cambria Math" w:hAnsi="Cambria Math"/>
        </w:rPr>
      </w:pPr>
      <m:oMath>
        <m:r>
          <m:rPr>
            <m:sty m:val="p"/>
          </m:rPr>
          <w:rPr>
            <w:rFonts w:ascii="Cambria Math" w:hAnsi="Cambria Math"/>
          </w:rPr>
          <m:t>-ϕ</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r>
              <m:rPr>
                <m:sty m:val="p"/>
              </m:rPr>
              <w:rPr>
                <w:rFonts w:ascii="Cambria Math" w:hAnsi="Cambria Math"/>
              </w:rPr>
              <m:t>dτ</m:t>
            </m:r>
          </m:e>
        </m:nary>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τ</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m:t>
        </m:r>
        <m:nary>
          <m:naryPr>
            <m:limLoc m:val="subSup"/>
            <m:ctrlPr>
              <w:rPr>
                <w:rFonts w:ascii="Cambria Math" w:hAnsi="Cambria Math"/>
              </w:rPr>
            </m:ctrlPr>
          </m:naryPr>
          <m:sub>
            <m:r>
              <m:rPr>
                <m:sty m:val="p"/>
              </m:rPr>
              <w:rPr>
                <w:rFonts w:ascii="Cambria Math" w:hAnsi="Cambria Math"/>
              </w:rPr>
              <m:t>t</m:t>
            </m:r>
          </m:sub>
          <m:sup>
            <m:r>
              <m:rPr>
                <m:sty m:val="p"/>
              </m:rPr>
              <w:rPr>
                <w:rFonts w:ascii="Cambria Math" w:hAnsi="Cambria Math"/>
              </w:rPr>
              <m:t>∞</m:t>
            </m:r>
          </m:sup>
          <m:e>
            <m:r>
              <m:rPr>
                <m:sty m:val="p"/>
              </m:rPr>
              <w:rPr>
                <w:rFonts w:ascii="Cambria Math" w:hAnsi="Cambria Math"/>
              </w:rPr>
              <m:t>t</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dτ=0</m:t>
        </m:r>
      </m:oMath>
      <w:r w:rsidRPr="00B33055">
        <w:rPr>
          <w:rFonts w:ascii="Cambria Math" w:hAnsi="Cambria Math"/>
        </w:rPr>
        <w:tab/>
        <w:t>(A-16)</w:t>
      </w:r>
    </w:p>
    <w:p w14:paraId="35EC6233" w14:textId="77777777" w:rsidR="006B074D" w:rsidRPr="00B33055" w:rsidRDefault="006B074D" w:rsidP="006B074D">
      <w:r w:rsidRPr="00B33055">
        <w:t>Defining zeroth temporal moment of tracer concentration:</w:t>
      </w:r>
    </w:p>
    <w:p w14:paraId="48801BE3" w14:textId="77777777" w:rsidR="006B074D" w:rsidRPr="00B33055" w:rsidRDefault="00A53410" w:rsidP="006B074D">
      <w:pPr>
        <w:rPr>
          <w:rFonts w:ascii="Cambria Math" w:hAnsi="Cambria Math"/>
        </w:rPr>
      </w:pPr>
      <m:oMath>
        <m:sSub>
          <m:sSubPr>
            <m:ctrlPr>
              <w:rPr>
                <w:rFonts w:ascii="Cambria Math" w:hAnsi="Cambria Math"/>
              </w:rPr>
            </m:ctrlPr>
          </m:sSubPr>
          <m:e>
            <m:r>
              <m:rPr>
                <m:sty m:val="p"/>
              </m:rPr>
              <w:rPr>
                <w:rFonts w:ascii="Cambria Math" w:hAnsi="Cambria Math"/>
              </w:rPr>
              <m:t>m</m:t>
            </m:r>
          </m:e>
          <m:sub>
            <m:r>
              <m:rPr>
                <m:sty m:val="p"/>
              </m:rPr>
              <w:rPr>
                <w:rFonts w:ascii="Cambria Math" w:hAnsi="Cambria Math"/>
              </w:rPr>
              <m:t>0k</m:t>
            </m:r>
          </m:sub>
        </m:sSub>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r>
              <m:rPr>
                <m:sty m:val="p"/>
              </m:rPr>
              <w:rPr>
                <w:rFonts w:ascii="Cambria Math" w:hAnsi="Cambria Math"/>
              </w:rPr>
              <m:t>dτ</m:t>
            </m:r>
          </m:e>
        </m:nary>
      </m:oMath>
      <w:r w:rsidR="006B074D" w:rsidRPr="00B33055">
        <w:rPr>
          <w:rFonts w:ascii="Cambria Math" w:hAnsi="Cambria Math"/>
        </w:rPr>
        <w:tab/>
        <w:t>(A-17)</w:t>
      </w:r>
    </w:p>
    <w:p w14:paraId="75BAB9BD" w14:textId="0B0C0944" w:rsidR="006B074D" w:rsidRPr="00B33055" w:rsidRDefault="006B074D" w:rsidP="006B074D">
      <w:r w:rsidRPr="00B33055">
        <w:t xml:space="preserve">With this, </w:t>
      </w:r>
      <w:r w:rsidR="008F03BC">
        <w:t xml:space="preserve">Eq. </w:t>
      </w:r>
      <w:r w:rsidRPr="00B33055">
        <w:t>A-</w:t>
      </w:r>
      <w:r w:rsidR="008F03BC">
        <w:t>16</w:t>
      </w:r>
      <w:r w:rsidR="00B721FC">
        <w:t xml:space="preserve"> is transformed</w:t>
      </w:r>
      <w:r w:rsidRPr="00B33055">
        <w:t xml:space="preserve"> as:</w:t>
      </w:r>
    </w:p>
    <w:p w14:paraId="1774858B" w14:textId="77777777" w:rsidR="006B074D" w:rsidRPr="00B33055" w:rsidRDefault="00A53410" w:rsidP="006B074D">
      <w:pPr>
        <w:rPr>
          <w:rFonts w:ascii="Cambria Math" w:hAnsi="Cambria Math"/>
        </w:rPr>
      </w:pPr>
      <m:oMath>
        <m:sSub>
          <m:sSubPr>
            <m:ctrlPr>
              <w:rPr>
                <w:rFonts w:ascii="Cambria Math" w:hAnsi="Cambria Math"/>
              </w:rPr>
            </m:ctrlPr>
          </m:sSubPr>
          <m:e>
            <m:r>
              <m:rPr>
                <m:sty m:val="p"/>
              </m:rPr>
              <w:rPr>
                <w:rFonts w:ascii="Cambria Math" w:hAnsi="Cambria Math"/>
              </w:rPr>
              <m:t>-ϕm</m:t>
            </m:r>
          </m:e>
          <m:sub>
            <m:r>
              <m:rPr>
                <m:sty m:val="p"/>
              </m:rPr>
              <w:rPr>
                <w:rFonts w:ascii="Cambria Math" w:hAnsi="Cambria Math"/>
              </w:rPr>
              <m:t>0k</m:t>
            </m:r>
          </m:sub>
        </m:sSub>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τ</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m:t>
        </m:r>
        <m:nary>
          <m:naryPr>
            <m:limLoc m:val="subSup"/>
            <m:ctrlPr>
              <w:rPr>
                <w:rFonts w:ascii="Cambria Math" w:hAnsi="Cambria Math"/>
              </w:rPr>
            </m:ctrlPr>
          </m:naryPr>
          <m:sub>
            <m:r>
              <m:rPr>
                <m:sty m:val="p"/>
              </m:rPr>
              <w:rPr>
                <w:rFonts w:ascii="Cambria Math" w:hAnsi="Cambria Math"/>
              </w:rPr>
              <m:t>t</m:t>
            </m:r>
          </m:sub>
          <m:sup>
            <m:r>
              <m:rPr>
                <m:sty m:val="p"/>
              </m:rPr>
              <w:rPr>
                <w:rFonts w:ascii="Cambria Math" w:hAnsi="Cambria Math"/>
              </w:rPr>
              <m:t>∞</m:t>
            </m:r>
          </m:sup>
          <m:e>
            <m:r>
              <m:rPr>
                <m:sty m:val="p"/>
              </m:rPr>
              <w:rPr>
                <w:rFonts w:ascii="Cambria Math" w:hAnsi="Cambria Math"/>
              </w:rPr>
              <m:t>t</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dτ=0</m:t>
        </m:r>
      </m:oMath>
      <w:r w:rsidR="006B074D" w:rsidRPr="00B33055">
        <w:rPr>
          <w:rFonts w:ascii="Cambria Math" w:hAnsi="Cambria Math"/>
        </w:rPr>
        <w:tab/>
        <w:t>(A-18)</w:t>
      </w:r>
    </w:p>
    <w:p w14:paraId="6C33DEF7" w14:textId="77777777" w:rsidR="006B074D" w:rsidRPr="00B33055" w:rsidRDefault="008F03BC" w:rsidP="006B074D">
      <w:r>
        <w:t xml:space="preserve">Integrating Eq. </w:t>
      </w:r>
      <w:r w:rsidR="006B074D" w:rsidRPr="00B33055">
        <w:t>A-18 in the domain swept by the tracer gives:</w:t>
      </w:r>
    </w:p>
    <w:p w14:paraId="1CFD8FC9" w14:textId="77777777" w:rsidR="006B074D" w:rsidRPr="00B33055" w:rsidRDefault="006B074D" w:rsidP="006B074D">
      <w:pPr>
        <w:rPr>
          <w:rFonts w:ascii="Cambria Math" w:hAnsi="Cambria Math"/>
        </w:rPr>
      </w:pPr>
      <m:oMath>
        <m:r>
          <m:rPr>
            <m:sty m:val="p"/>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p"/>
                  </m:rPr>
                  <w:rPr>
                    <w:rFonts w:ascii="Cambria Math" w:hAnsi="Cambria Math"/>
                  </w:rPr>
                  <m:t>ϕm</m:t>
                </m:r>
              </m:e>
              <m:sub>
                <m:r>
                  <m:rPr>
                    <m:sty m:val="p"/>
                  </m:rPr>
                  <w:rPr>
                    <w:rFonts w:ascii="Cambria Math" w:hAnsi="Cambria Math"/>
                  </w:rPr>
                  <m:t>0k</m:t>
                </m:r>
              </m:sub>
            </m:sSub>
            <m:r>
              <m:rPr>
                <m:sty m:val="p"/>
              </m:rPr>
              <w:rPr>
                <w:rFonts w:ascii="Cambria Math" w:hAnsi="Cambria Math"/>
              </w:rPr>
              <m:t>d</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R</m:t>
                </m:r>
              </m:sub>
            </m:sSub>
          </m:e>
        </m:nary>
        <m:r>
          <m:rPr>
            <m:sty m:val="p"/>
          </m:rPr>
          <w:rPr>
            <w:rFonts w:ascii="Cambria Math" w:hAnsi="Cambria Math"/>
          </w:rPr>
          <m:t>+</m:t>
        </m:r>
        <m:nary>
          <m:naryPr>
            <m:chr m:val="∭"/>
            <m:limLoc m:val="undOvr"/>
            <m:subHide m:val="1"/>
            <m:supHide m:val="1"/>
            <m:ctrlPr>
              <w:rPr>
                <w:rFonts w:ascii="Cambria Math" w:hAnsi="Cambria Math"/>
              </w:rPr>
            </m:ctrlPr>
          </m:naryPr>
          <m:sub/>
          <m:sup/>
          <m:e>
            <m:d>
              <m:dPr>
                <m:ctrlPr>
                  <w:rPr>
                    <w:rFonts w:ascii="Cambria Math" w:hAnsi="Cambria Math"/>
                  </w:rPr>
                </m:ctrlPr>
              </m:dPr>
              <m:e>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τ</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m:t>
                </m:r>
                <m:nary>
                  <m:naryPr>
                    <m:limLoc m:val="subSup"/>
                    <m:ctrlPr>
                      <w:rPr>
                        <w:rFonts w:ascii="Cambria Math" w:hAnsi="Cambria Math"/>
                      </w:rPr>
                    </m:ctrlPr>
                  </m:naryPr>
                  <m:sub>
                    <m:r>
                      <m:rPr>
                        <m:sty m:val="p"/>
                      </m:rPr>
                      <w:rPr>
                        <w:rFonts w:ascii="Cambria Math" w:hAnsi="Cambria Math"/>
                      </w:rPr>
                      <m:t>t</m:t>
                    </m:r>
                  </m:sub>
                  <m:sup>
                    <m:r>
                      <m:rPr>
                        <m:sty m:val="p"/>
                      </m:rPr>
                      <w:rPr>
                        <w:rFonts w:ascii="Cambria Math" w:hAnsi="Cambria Math"/>
                      </w:rPr>
                      <m:t>∞</m:t>
                    </m:r>
                  </m:sup>
                  <m:e>
                    <m:r>
                      <m:rPr>
                        <m:sty m:val="p"/>
                      </m:rPr>
                      <w:rPr>
                        <w:rFonts w:ascii="Cambria Math" w:hAnsi="Cambria Math"/>
                      </w:rPr>
                      <m:t>t</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m:t>
                </m:r>
              </m:e>
            </m:d>
            <m:r>
              <m:rPr>
                <m:sty m:val="p"/>
              </m:rPr>
              <w:rPr>
                <w:rFonts w:ascii="Cambria Math" w:hAnsi="Cambria Math"/>
              </w:rPr>
              <m:t>d</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R</m:t>
                </m:r>
              </m:sub>
            </m:sSub>
          </m:e>
        </m:nary>
        <m:r>
          <m:rPr>
            <m:sty m:val="p"/>
          </m:rPr>
          <w:rPr>
            <w:rFonts w:ascii="Cambria Math" w:hAnsi="Cambria Math"/>
          </w:rPr>
          <m:t>=0</m:t>
        </m:r>
      </m:oMath>
      <w:r w:rsidRPr="00B33055">
        <w:rPr>
          <w:rFonts w:ascii="Cambria Math" w:hAnsi="Cambria Math"/>
        </w:rPr>
        <w:tab/>
        <w:t>(A-19)</w:t>
      </w:r>
    </w:p>
    <w:p w14:paraId="4681D4C8" w14:textId="77777777" w:rsidR="006B074D" w:rsidRPr="00B33055" w:rsidRDefault="008F03BC" w:rsidP="006B074D">
      <w:r>
        <w:t xml:space="preserve">Applying Gauss theorem, Eq. </w:t>
      </w:r>
      <w:r w:rsidR="006B074D" w:rsidRPr="00B33055">
        <w:t>A-19 can be written as:</w:t>
      </w:r>
    </w:p>
    <w:p w14:paraId="7DCCD06C" w14:textId="77777777" w:rsidR="006B074D" w:rsidRPr="00B33055" w:rsidRDefault="006B074D" w:rsidP="006B074D">
      <w:pPr>
        <w:rPr>
          <w:rFonts w:ascii="Cambria Math" w:hAnsi="Cambria Math"/>
        </w:rPr>
      </w:pPr>
      <m:oMath>
        <m:r>
          <m:rPr>
            <m:sty m:val="p"/>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p"/>
                  </m:rPr>
                  <w:rPr>
                    <w:rFonts w:ascii="Cambria Math" w:hAnsi="Cambria Math"/>
                  </w:rPr>
                  <m:t>ϕm</m:t>
                </m:r>
              </m:e>
              <m:sub>
                <m:r>
                  <m:rPr>
                    <m:sty m:val="p"/>
                  </m:rPr>
                  <w:rPr>
                    <w:rFonts w:ascii="Cambria Math" w:hAnsi="Cambria Math"/>
                  </w:rPr>
                  <m:t>0k</m:t>
                </m:r>
              </m:sub>
            </m:sSub>
            <m:r>
              <m:rPr>
                <m:sty m:val="p"/>
              </m:rPr>
              <w:rPr>
                <w:rFonts w:ascii="Cambria Math" w:hAnsi="Cambria Math"/>
              </w:rPr>
              <m:t>d</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R</m:t>
                </m:r>
              </m:sub>
            </m:sSub>
          </m:e>
        </m:nary>
        <m:r>
          <m:rPr>
            <m:sty m:val="p"/>
          </m:rPr>
          <w:rPr>
            <w:rFonts w:ascii="Cambria Math" w:hAnsi="Cambria Math"/>
          </w:rPr>
          <m:t>+</m:t>
        </m:r>
        <m:nary>
          <m:naryPr>
            <m:chr m:val="∬"/>
            <m:limLoc m:val="undOvr"/>
            <m:subHide m:val="1"/>
            <m:supHide m:val="1"/>
            <m:ctrlPr>
              <w:rPr>
                <w:rFonts w:ascii="Cambria Math" w:hAnsi="Cambria Math"/>
              </w:rPr>
            </m:ctrlPr>
          </m:naryPr>
          <m:sub/>
          <m:sup/>
          <m:e>
            <m:d>
              <m:dPr>
                <m:ctrlPr>
                  <w:rPr>
                    <w:rFonts w:ascii="Cambria Math" w:hAnsi="Cambria Math"/>
                  </w:rPr>
                </m:ctrlPr>
              </m:dPr>
              <m:e>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τ</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m:t>
                </m:r>
                <m:nary>
                  <m:naryPr>
                    <m:limLoc m:val="subSup"/>
                    <m:ctrlPr>
                      <w:rPr>
                        <w:rFonts w:ascii="Cambria Math" w:hAnsi="Cambria Math"/>
                      </w:rPr>
                    </m:ctrlPr>
                  </m:naryPr>
                  <m:sub>
                    <m:r>
                      <m:rPr>
                        <m:sty m:val="p"/>
                      </m:rPr>
                      <w:rPr>
                        <w:rFonts w:ascii="Cambria Math" w:hAnsi="Cambria Math"/>
                      </w:rPr>
                      <m:t>t</m:t>
                    </m:r>
                  </m:sub>
                  <m:sup>
                    <m:r>
                      <m:rPr>
                        <m:sty m:val="p"/>
                      </m:rPr>
                      <w:rPr>
                        <w:rFonts w:ascii="Cambria Math" w:hAnsi="Cambria Math"/>
                      </w:rPr>
                      <m:t>∞</m:t>
                    </m:r>
                  </m:sup>
                  <m:e>
                    <m:r>
                      <m:rPr>
                        <m:sty m:val="p"/>
                      </m:rPr>
                      <w:rPr>
                        <w:rFonts w:ascii="Cambria Math" w:hAnsi="Cambria Math"/>
                      </w:rPr>
                      <m:t>t</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m:t>
                </m:r>
              </m:e>
            </m:d>
            <m:r>
              <m:rPr>
                <m:sty m:val="p"/>
              </m:rPr>
              <w:rPr>
                <w:rFonts w:ascii="Cambria Math" w:hAnsi="Cambria Math"/>
              </w:rPr>
              <m:t>∙</m:t>
            </m:r>
            <m:acc>
              <m:accPr>
                <m:chr m:val="⃗"/>
                <m:ctrlPr>
                  <w:rPr>
                    <w:rFonts w:ascii="Cambria Math" w:hAnsi="Cambria Math"/>
                  </w:rPr>
                </m:ctrlPr>
              </m:accPr>
              <m:e>
                <m:r>
                  <m:rPr>
                    <m:sty m:val="p"/>
                  </m:rPr>
                  <w:rPr>
                    <w:rFonts w:ascii="Cambria Math" w:hAnsi="Cambria Math"/>
                  </w:rPr>
                  <m:t>n</m:t>
                </m:r>
              </m:e>
            </m:acc>
            <m:r>
              <m:rPr>
                <m:sty m:val="p"/>
              </m:rPr>
              <w:rPr>
                <w:rFonts w:ascii="Cambria Math" w:hAnsi="Cambria Math"/>
              </w:rPr>
              <m:t>dA</m:t>
            </m:r>
          </m:e>
        </m:nary>
        <m:r>
          <m:rPr>
            <m:sty m:val="p"/>
          </m:rPr>
          <w:rPr>
            <w:rFonts w:ascii="Cambria Math" w:hAnsi="Cambria Math"/>
          </w:rPr>
          <m:t>=0</m:t>
        </m:r>
      </m:oMath>
      <w:r w:rsidRPr="00B33055">
        <w:rPr>
          <w:rFonts w:ascii="Cambria Math" w:hAnsi="Cambria Math"/>
        </w:rPr>
        <w:tab/>
        <w:t>(A-20)</w:t>
      </w:r>
    </w:p>
    <w:p w14:paraId="3564C249" w14:textId="77777777" w:rsidR="006B074D" w:rsidRPr="00B33055" w:rsidRDefault="006B074D" w:rsidP="006B074D">
      <w:r w:rsidRPr="00B33055">
        <w:t>The second term is only calculated at the well since there is no other tracer mass transfer in other places. For this sake, the second term on the left side of above equation can be written as</w:t>
      </w:r>
    </w:p>
    <w:p w14:paraId="757E3884" w14:textId="77777777" w:rsidR="006B074D" w:rsidRPr="00B33055" w:rsidRDefault="00A53410" w:rsidP="006B074D">
      <w:pPr>
        <w:rPr>
          <w:rFonts w:ascii="Cambria Math" w:hAnsi="Cambria Math"/>
        </w:rPr>
      </w:pPr>
      <m:oMath>
        <m:nary>
          <m:naryPr>
            <m:chr m:val="∬"/>
            <m:limLoc m:val="undOvr"/>
            <m:subHide m:val="1"/>
            <m:supHide m:val="1"/>
            <m:ctrlPr>
              <w:rPr>
                <w:rFonts w:ascii="Cambria Math" w:hAnsi="Cambria Math"/>
              </w:rPr>
            </m:ctrlPr>
          </m:naryPr>
          <m:sub/>
          <m:sup/>
          <m:e>
            <m:d>
              <m:dPr>
                <m:ctrlPr>
                  <w:rPr>
                    <w:rFonts w:ascii="Cambria Math" w:hAnsi="Cambria Math"/>
                  </w:rPr>
                </m:ctrlPr>
              </m:dPr>
              <m:e>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τ</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m:t>
                </m:r>
                <m:nary>
                  <m:naryPr>
                    <m:limLoc m:val="subSup"/>
                    <m:ctrlPr>
                      <w:rPr>
                        <w:rFonts w:ascii="Cambria Math" w:hAnsi="Cambria Math"/>
                      </w:rPr>
                    </m:ctrlPr>
                  </m:naryPr>
                  <m:sub>
                    <m:r>
                      <m:rPr>
                        <m:sty m:val="p"/>
                      </m:rPr>
                      <w:rPr>
                        <w:rFonts w:ascii="Cambria Math" w:hAnsi="Cambria Math"/>
                      </w:rPr>
                      <m:t>t</m:t>
                    </m:r>
                  </m:sub>
                  <m:sup>
                    <m:r>
                      <m:rPr>
                        <m:sty m:val="p"/>
                      </m:rPr>
                      <w:rPr>
                        <w:rFonts w:ascii="Cambria Math" w:hAnsi="Cambria Math"/>
                      </w:rPr>
                      <m:t>∞</m:t>
                    </m:r>
                  </m:sup>
                  <m:e>
                    <m:r>
                      <m:rPr>
                        <m:sty m:val="p"/>
                      </m:rPr>
                      <w:rPr>
                        <w:rFonts w:ascii="Cambria Math" w:hAnsi="Cambria Math"/>
                      </w:rPr>
                      <m:t>t</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m:t>
                </m:r>
              </m:e>
            </m:d>
            <m:r>
              <m:rPr>
                <m:sty m:val="p"/>
              </m:rPr>
              <w:rPr>
                <w:rFonts w:ascii="Cambria Math" w:hAnsi="Cambria Math"/>
              </w:rPr>
              <m:t>∙</m:t>
            </m:r>
            <m:acc>
              <m:accPr>
                <m:chr m:val="⃗"/>
                <m:ctrlPr>
                  <w:rPr>
                    <w:rFonts w:ascii="Cambria Math" w:hAnsi="Cambria Math"/>
                  </w:rPr>
                </m:ctrlPr>
              </m:accPr>
              <m:e>
                <m:r>
                  <m:rPr>
                    <m:sty m:val="p"/>
                  </m:rPr>
                  <w:rPr>
                    <w:rFonts w:ascii="Cambria Math" w:hAnsi="Cambria Math"/>
                  </w:rPr>
                  <m:t>n</m:t>
                </m:r>
              </m:e>
            </m:acc>
            <m:r>
              <m:rPr>
                <m:sty m:val="p"/>
              </m:rPr>
              <w:rPr>
                <w:rFonts w:ascii="Cambria Math" w:hAnsi="Cambria Math"/>
              </w:rPr>
              <m:t>dA</m:t>
            </m:r>
          </m:e>
        </m:nary>
      </m:oMath>
      <w:r w:rsidR="006B074D" w:rsidRPr="00B33055">
        <w:rPr>
          <w:rFonts w:ascii="Cambria Math" w:hAnsi="Cambria Math"/>
        </w:rPr>
        <w:t xml:space="preserve"> </w:t>
      </w:r>
    </w:p>
    <w:p w14:paraId="064B2388" w14:textId="77777777" w:rsidR="006B074D" w:rsidRPr="00B33055" w:rsidRDefault="006B074D" w:rsidP="006B074D">
      <w:pPr>
        <w:rPr>
          <w:rFonts w:ascii="Cambria Math" w:hAnsi="Cambria Math"/>
        </w:rPr>
      </w:pPr>
      <m:oMath>
        <m:r>
          <m:rPr>
            <m:sty m:val="p"/>
          </m:rPr>
          <w:rPr>
            <w:rFonts w:ascii="Cambria Math" w:hAnsi="Cambria Math"/>
          </w:rPr>
          <m:t>=</m:t>
        </m:r>
        <m:nary>
          <m:naryPr>
            <m:chr m:val="∬"/>
            <m:limLoc m:val="undOvr"/>
            <m:subHide m:val="1"/>
            <m:supHide m:val="1"/>
            <m:ctrlPr>
              <w:rPr>
                <w:rFonts w:ascii="Cambria Math" w:hAnsi="Cambria Math"/>
              </w:rPr>
            </m:ctrlPr>
          </m:naryPr>
          <m:sub/>
          <m:sup/>
          <m:e>
            <m:d>
              <m:dPr>
                <m:ctrlPr>
                  <w:rPr>
                    <w:rFonts w:ascii="Cambria Math" w:hAnsi="Cambria Math"/>
                  </w:rPr>
                </m:ctrlPr>
              </m:dPr>
              <m:e>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τ</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m:t>
                </m:r>
              </m:e>
            </m:d>
            <m:r>
              <m:rPr>
                <m:sty m:val="p"/>
              </m:rPr>
              <w:rPr>
                <w:rFonts w:ascii="Cambria Math" w:hAnsi="Cambria Math"/>
              </w:rPr>
              <m:t>∙</m:t>
            </m:r>
            <m:acc>
              <m:accPr>
                <m:chr m:val="⃗"/>
                <m:ctrlPr>
                  <w:rPr>
                    <w:rFonts w:ascii="Cambria Math" w:hAnsi="Cambria Math"/>
                  </w:rPr>
                </m:ctrlPr>
              </m:accPr>
              <m:e>
                <m:r>
                  <m:rPr>
                    <m:sty m:val="p"/>
                  </m:rPr>
                  <w:rPr>
                    <w:rFonts w:ascii="Cambria Math" w:hAnsi="Cambria Math"/>
                  </w:rPr>
                  <m:t>n</m:t>
                </m:r>
              </m:e>
            </m:acc>
            <m:r>
              <m:rPr>
                <m:sty m:val="p"/>
              </m:rPr>
              <w:rPr>
                <w:rFonts w:ascii="Cambria Math" w:hAnsi="Cambria Math"/>
              </w:rPr>
              <m:t>dA</m:t>
            </m:r>
          </m:e>
        </m:nary>
        <m:r>
          <m:rPr>
            <m:sty m:val="p"/>
          </m:rPr>
          <w:rPr>
            <w:rFonts w:ascii="Cambria Math" w:hAnsi="Cambria Math"/>
          </w:rPr>
          <m:t>+</m:t>
        </m:r>
        <m:nary>
          <m:naryPr>
            <m:chr m:val="∬"/>
            <m:limLoc m:val="undOvr"/>
            <m:subHide m:val="1"/>
            <m:supHide m:val="1"/>
            <m:ctrlPr>
              <w:rPr>
                <w:rFonts w:ascii="Cambria Math" w:hAnsi="Cambria Math"/>
              </w:rPr>
            </m:ctrlPr>
          </m:naryPr>
          <m:sub/>
          <m:sup/>
          <m:e>
            <m:d>
              <m:dPr>
                <m:ctrlPr>
                  <w:rPr>
                    <w:rFonts w:ascii="Cambria Math" w:hAnsi="Cambria Math"/>
                  </w:rPr>
                </m:ctrlPr>
              </m:dPr>
              <m:e>
                <m:nary>
                  <m:naryPr>
                    <m:limLoc m:val="subSup"/>
                    <m:ctrlPr>
                      <w:rPr>
                        <w:rFonts w:ascii="Cambria Math" w:hAnsi="Cambria Math"/>
                      </w:rPr>
                    </m:ctrlPr>
                  </m:naryPr>
                  <m:sub>
                    <m:r>
                      <m:rPr>
                        <m:sty m:val="p"/>
                      </m:rPr>
                      <w:rPr>
                        <w:rFonts w:ascii="Cambria Math" w:hAnsi="Cambria Math"/>
                      </w:rPr>
                      <m:t>t</m:t>
                    </m:r>
                  </m:sub>
                  <m:sup>
                    <m:r>
                      <m:rPr>
                        <m:sty m:val="p"/>
                      </m:rPr>
                      <w:rPr>
                        <w:rFonts w:ascii="Cambria Math" w:hAnsi="Cambria Math"/>
                      </w:rPr>
                      <m:t>∞</m:t>
                    </m:r>
                  </m:sup>
                  <m:e>
                    <m:r>
                      <m:rPr>
                        <m:sty m:val="p"/>
                      </m:rPr>
                      <w:rPr>
                        <w:rFonts w:ascii="Cambria Math" w:hAnsi="Cambria Math"/>
                      </w:rPr>
                      <m:t>t</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m:t>
                </m:r>
              </m:e>
            </m:d>
            <m:r>
              <m:rPr>
                <m:sty m:val="p"/>
              </m:rPr>
              <w:rPr>
                <w:rFonts w:ascii="Cambria Math" w:hAnsi="Cambria Math"/>
              </w:rPr>
              <m:t>∙</m:t>
            </m:r>
            <m:acc>
              <m:accPr>
                <m:chr m:val="⃗"/>
                <m:ctrlPr>
                  <w:rPr>
                    <w:rFonts w:ascii="Cambria Math" w:hAnsi="Cambria Math"/>
                  </w:rPr>
                </m:ctrlPr>
              </m:accPr>
              <m:e>
                <m:r>
                  <m:rPr>
                    <m:sty m:val="p"/>
                  </m:rPr>
                  <w:rPr>
                    <w:rFonts w:ascii="Cambria Math" w:hAnsi="Cambria Math"/>
                  </w:rPr>
                  <m:t>n</m:t>
                </m:r>
              </m:e>
            </m:acc>
            <m:r>
              <m:rPr>
                <m:sty m:val="p"/>
              </m:rPr>
              <w:rPr>
                <w:rFonts w:ascii="Cambria Math" w:hAnsi="Cambria Math"/>
              </w:rPr>
              <m:t>dA</m:t>
            </m:r>
          </m:e>
        </m:nary>
      </m:oMath>
      <w:r w:rsidRPr="00B33055">
        <w:rPr>
          <w:rFonts w:ascii="Cambria Math" w:hAnsi="Cambria Math"/>
        </w:rPr>
        <w:tab/>
        <w:t xml:space="preserve"> (A-21)</w:t>
      </w:r>
    </w:p>
    <w:p w14:paraId="0B9ECA63" w14:textId="77777777" w:rsidR="006B074D" w:rsidRPr="00B33055" w:rsidRDefault="006B074D" w:rsidP="006B074D">
      <w:r w:rsidRPr="00B33055">
        <w:t>Assuming there is no diff</w:t>
      </w:r>
      <w:r w:rsidR="008F03BC">
        <w:t xml:space="preserve">usion and combining with Eq. </w:t>
      </w:r>
      <w:r w:rsidRPr="00B33055">
        <w:t>A-2</w:t>
      </w:r>
      <w:r w:rsidR="008F03BC">
        <w:t xml:space="preserve">, Eq. </w:t>
      </w:r>
      <w:r w:rsidRPr="00B33055">
        <w:t xml:space="preserve">A-21 is further revised as </w:t>
      </w:r>
    </w:p>
    <w:p w14:paraId="65C6F15C" w14:textId="77777777" w:rsidR="006B074D" w:rsidRPr="00B33055" w:rsidRDefault="00A53410" w:rsidP="006B074D">
      <w:pPr>
        <w:rPr>
          <w:rFonts w:ascii="Cambria Math" w:hAnsi="Cambria Math"/>
        </w:rPr>
      </w:pPr>
      <m:oMath>
        <m:nary>
          <m:naryPr>
            <m:chr m:val="∬"/>
            <m:limLoc m:val="undOvr"/>
            <m:subHide m:val="1"/>
            <m:supHide m:val="1"/>
            <m:ctrlPr>
              <w:rPr>
                <w:rFonts w:ascii="Cambria Math" w:hAnsi="Cambria Math"/>
              </w:rPr>
            </m:ctrlPr>
          </m:naryPr>
          <m:sub/>
          <m:sup/>
          <m:e>
            <m:d>
              <m:dPr>
                <m:ctrlPr>
                  <w:rPr>
                    <w:rFonts w:ascii="Cambria Math" w:hAnsi="Cambria Math"/>
                  </w:rPr>
                </m:ctrlPr>
              </m:dPr>
              <m:e>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τ</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m:t>
                </m:r>
              </m:e>
            </m:d>
            <m:r>
              <m:rPr>
                <m:sty m:val="p"/>
              </m:rPr>
              <w:rPr>
                <w:rFonts w:ascii="Cambria Math" w:hAnsi="Cambria Math"/>
              </w:rPr>
              <m:t>∙</m:t>
            </m:r>
            <m:acc>
              <m:accPr>
                <m:chr m:val="⃗"/>
                <m:ctrlPr>
                  <w:rPr>
                    <w:rFonts w:ascii="Cambria Math" w:hAnsi="Cambria Math"/>
                  </w:rPr>
                </m:ctrlPr>
              </m:accPr>
              <m:e>
                <m:r>
                  <m:rPr>
                    <m:sty m:val="p"/>
                  </m:rPr>
                  <w:rPr>
                    <w:rFonts w:ascii="Cambria Math" w:hAnsi="Cambria Math"/>
                  </w:rPr>
                  <m:t>n</m:t>
                </m:r>
              </m:e>
            </m:acc>
            <m:r>
              <m:rPr>
                <m:sty m:val="p"/>
              </m:rPr>
              <w:rPr>
                <w:rFonts w:ascii="Cambria Math" w:hAnsi="Cambria Math"/>
              </w:rPr>
              <m:t>dA</m:t>
            </m:r>
          </m:e>
        </m:nary>
        <m:r>
          <m:rPr>
            <m:sty m:val="p"/>
          </m:rPr>
          <w:rPr>
            <w:rFonts w:ascii="Cambria Math" w:hAnsi="Cambria Math"/>
          </w:rPr>
          <m:t>+</m:t>
        </m:r>
        <m:nary>
          <m:naryPr>
            <m:chr m:val="∬"/>
            <m:limLoc m:val="undOvr"/>
            <m:subHide m:val="1"/>
            <m:supHide m:val="1"/>
            <m:ctrlPr>
              <w:rPr>
                <w:rFonts w:ascii="Cambria Math" w:hAnsi="Cambria Math"/>
              </w:rPr>
            </m:ctrlPr>
          </m:naryPr>
          <m:sub/>
          <m:sup/>
          <m:e>
            <m:d>
              <m:dPr>
                <m:ctrlPr>
                  <w:rPr>
                    <w:rFonts w:ascii="Cambria Math" w:hAnsi="Cambria Math"/>
                  </w:rPr>
                </m:ctrlPr>
              </m:dPr>
              <m:e>
                <m:nary>
                  <m:naryPr>
                    <m:limLoc m:val="subSup"/>
                    <m:ctrlPr>
                      <w:rPr>
                        <w:rFonts w:ascii="Cambria Math" w:hAnsi="Cambria Math"/>
                      </w:rPr>
                    </m:ctrlPr>
                  </m:naryPr>
                  <m:sub>
                    <m:r>
                      <m:rPr>
                        <m:sty m:val="p"/>
                      </m:rPr>
                      <w:rPr>
                        <w:rFonts w:ascii="Cambria Math" w:hAnsi="Cambria Math"/>
                      </w:rPr>
                      <m:t>t</m:t>
                    </m:r>
                  </m:sub>
                  <m:sup>
                    <m:r>
                      <m:rPr>
                        <m:sty m:val="p"/>
                      </m:rPr>
                      <w:rPr>
                        <w:rFonts w:ascii="Cambria Math" w:hAnsi="Cambria Math"/>
                      </w:rPr>
                      <m:t>∞</m:t>
                    </m:r>
                  </m:sup>
                  <m:e>
                    <m:r>
                      <m:rPr>
                        <m:sty m:val="p"/>
                      </m:rPr>
                      <w:rPr>
                        <w:rFonts w:ascii="Cambria Math" w:hAnsi="Cambria Math"/>
                      </w:rPr>
                      <m:t>t</m:t>
                    </m:r>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k</m:t>
                            </m:r>
                          </m:sub>
                        </m:sSub>
                      </m:e>
                    </m:acc>
                  </m:e>
                </m:nary>
                <m:r>
                  <m:rPr>
                    <m:sty m:val="p"/>
                  </m:rPr>
                  <w:rPr>
                    <w:rFonts w:ascii="Cambria Math" w:hAnsi="Cambria Math"/>
                  </w:rPr>
                  <m:t>dτ</m:t>
                </m:r>
              </m:e>
            </m:d>
            <m:r>
              <m:rPr>
                <m:sty m:val="p"/>
              </m:rPr>
              <w:rPr>
                <w:rFonts w:ascii="Cambria Math" w:hAnsi="Cambria Math"/>
              </w:rPr>
              <m:t>∙</m:t>
            </m:r>
            <m:acc>
              <m:accPr>
                <m:chr m:val="⃗"/>
                <m:ctrlPr>
                  <w:rPr>
                    <w:rFonts w:ascii="Cambria Math" w:hAnsi="Cambria Math"/>
                  </w:rPr>
                </m:ctrlPr>
              </m:accPr>
              <m:e>
                <m:r>
                  <m:rPr>
                    <m:sty m:val="p"/>
                  </m:rPr>
                  <w:rPr>
                    <w:rFonts w:ascii="Cambria Math" w:hAnsi="Cambria Math"/>
                  </w:rPr>
                  <m:t>n</m:t>
                </m:r>
              </m:e>
            </m:acc>
            <m:r>
              <m:rPr>
                <m:sty m:val="p"/>
              </m:rPr>
              <w:rPr>
                <w:rFonts w:ascii="Cambria Math" w:hAnsi="Cambria Math"/>
              </w:rPr>
              <m:t>dA</m:t>
            </m:r>
          </m:e>
        </m:nary>
      </m:oMath>
      <w:r w:rsidR="006B074D" w:rsidRPr="00B33055">
        <w:rPr>
          <w:rFonts w:ascii="Cambria Math" w:hAnsi="Cambria Math"/>
        </w:rPr>
        <w:t xml:space="preserve"> </w:t>
      </w:r>
    </w:p>
    <w:p w14:paraId="1C263582" w14:textId="77777777" w:rsidR="006B074D" w:rsidRPr="00B33055" w:rsidRDefault="006B074D" w:rsidP="006B074D">
      <w:pPr>
        <w:rPr>
          <w:rFonts w:ascii="Cambria Math" w:hAnsi="Cambria Math"/>
        </w:rPr>
      </w:pPr>
      <m:oMath>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qτ</m:t>
            </m:r>
            <m:d>
              <m:dPr>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l=1</m:t>
                    </m:r>
                  </m:sub>
                  <m:sup>
                    <m:r>
                      <m:rPr>
                        <m:sty m:val="p"/>
                      </m:rPr>
                      <w:rPr>
                        <w:rFonts w:ascii="Cambria Math" w:hAnsi="Cambria Math"/>
                      </w:rPr>
                      <m:t>2</m:t>
                    </m:r>
                  </m:sup>
                  <m:e>
                    <m:f>
                      <m:fPr>
                        <m:ctrlPr>
                          <w:rPr>
                            <w:rFonts w:ascii="Cambria Math" w:hAnsi="Cambria Math"/>
                          </w:rPr>
                        </m:ctrlPr>
                      </m:fPr>
                      <m:num>
                        <m:sSub>
                          <m:sSubPr>
                            <m:ctrlPr>
                              <w:rPr>
                                <w:rFonts w:ascii="Cambria Math" w:hAnsi="Cambria Math"/>
                              </w:rPr>
                            </m:ctrlPr>
                          </m:sSubPr>
                          <m:e>
                            <m:r>
                              <m:rPr>
                                <m:sty m:val="p"/>
                              </m:rPr>
                              <w:rPr>
                                <w:rFonts w:ascii="Cambria Math" w:hAnsi="Cambria Math"/>
                              </w:rPr>
                              <m:t>q</m:t>
                            </m:r>
                          </m:e>
                          <m:sub>
                            <m:r>
                              <m:rPr>
                                <m:sty m:val="p"/>
                              </m:rPr>
                              <w:rPr>
                                <w:rFonts w:ascii="Cambria Math" w:hAnsi="Cambria Math"/>
                              </w:rPr>
                              <m:t>l</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kl</m:t>
                            </m:r>
                          </m:sub>
                        </m:sSub>
                      </m:num>
                      <m:den>
                        <m:r>
                          <m:rPr>
                            <m:sty m:val="p"/>
                          </m:rPr>
                          <w:rPr>
                            <w:rFonts w:ascii="Cambria Math" w:hAnsi="Cambria Math"/>
                          </w:rPr>
                          <m:t>q</m:t>
                        </m:r>
                      </m:den>
                    </m:f>
                  </m:e>
                </m:nary>
              </m:e>
            </m:d>
            <m:r>
              <m:rPr>
                <m:sty m:val="p"/>
              </m:rPr>
              <w:rPr>
                <w:rFonts w:ascii="Cambria Math" w:hAnsi="Cambria Math"/>
              </w:rPr>
              <m:t>dτ</m:t>
            </m:r>
          </m:e>
        </m:nary>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t</m:t>
            </m:r>
          </m:sub>
          <m:sup>
            <m:r>
              <m:rPr>
                <m:sty m:val="p"/>
              </m:rPr>
              <w:rPr>
                <w:rFonts w:ascii="Cambria Math" w:hAnsi="Cambria Math"/>
              </w:rPr>
              <m:t>∞</m:t>
            </m:r>
          </m:sup>
          <m:e>
            <m:r>
              <m:rPr>
                <m:sty m:val="p"/>
              </m:rPr>
              <w:rPr>
                <w:rFonts w:ascii="Cambria Math" w:hAnsi="Cambria Math"/>
              </w:rPr>
              <m:t>qt</m:t>
            </m:r>
            <m:d>
              <m:dPr>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l=1</m:t>
                    </m:r>
                  </m:sub>
                  <m:sup>
                    <m:r>
                      <m:rPr>
                        <m:sty m:val="p"/>
                      </m:rPr>
                      <w:rPr>
                        <w:rFonts w:ascii="Cambria Math" w:hAnsi="Cambria Math"/>
                      </w:rPr>
                      <m:t>2</m:t>
                    </m:r>
                  </m:sup>
                  <m:e>
                    <m:f>
                      <m:fPr>
                        <m:ctrlPr>
                          <w:rPr>
                            <w:rFonts w:ascii="Cambria Math" w:hAnsi="Cambria Math"/>
                          </w:rPr>
                        </m:ctrlPr>
                      </m:fPr>
                      <m:num>
                        <m:sSub>
                          <m:sSubPr>
                            <m:ctrlPr>
                              <w:rPr>
                                <w:rFonts w:ascii="Cambria Math" w:hAnsi="Cambria Math"/>
                              </w:rPr>
                            </m:ctrlPr>
                          </m:sSubPr>
                          <m:e>
                            <m:r>
                              <m:rPr>
                                <m:sty m:val="p"/>
                              </m:rPr>
                              <w:rPr>
                                <w:rFonts w:ascii="Cambria Math" w:hAnsi="Cambria Math"/>
                              </w:rPr>
                              <m:t>q</m:t>
                            </m:r>
                          </m:e>
                          <m:sub>
                            <m:r>
                              <m:rPr>
                                <m:sty m:val="p"/>
                              </m:rPr>
                              <w:rPr>
                                <w:rFonts w:ascii="Cambria Math" w:hAnsi="Cambria Math"/>
                              </w:rPr>
                              <m:t>l</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kl</m:t>
                            </m:r>
                          </m:sub>
                        </m:sSub>
                      </m:num>
                      <m:den>
                        <m:r>
                          <m:rPr>
                            <m:sty m:val="p"/>
                          </m:rPr>
                          <w:rPr>
                            <w:rFonts w:ascii="Cambria Math" w:hAnsi="Cambria Math"/>
                          </w:rPr>
                          <m:t>q</m:t>
                        </m:r>
                      </m:den>
                    </m:f>
                  </m:e>
                </m:nary>
              </m:e>
            </m:d>
            <m:r>
              <m:rPr>
                <m:sty m:val="p"/>
              </m:rPr>
              <w:rPr>
                <w:rFonts w:ascii="Cambria Math" w:hAnsi="Cambria Math"/>
              </w:rPr>
              <m:t>dτ</m:t>
            </m:r>
          </m:e>
        </m:nary>
      </m:oMath>
      <w:r w:rsidRPr="00B33055">
        <w:rPr>
          <w:rFonts w:ascii="Cambria Math" w:hAnsi="Cambria Math"/>
        </w:rPr>
        <w:t xml:space="preserve"> </w:t>
      </w:r>
      <w:r w:rsidRPr="00B33055">
        <w:rPr>
          <w:rFonts w:ascii="Cambria Math" w:hAnsi="Cambria Math"/>
        </w:rPr>
        <w:tab/>
        <w:t>(A-22)</w:t>
      </w:r>
    </w:p>
    <w:p w14:paraId="00DF82F7" w14:textId="77777777" w:rsidR="006B074D" w:rsidRPr="00B33055" w:rsidRDefault="006B074D" w:rsidP="006B074D">
      <w:r w:rsidRPr="00B33055">
        <w:t xml:space="preserve">Define </w:t>
      </w:r>
    </w:p>
    <w:p w14:paraId="19AFDCD4" w14:textId="77777777" w:rsidR="006B074D" w:rsidRPr="00B33055" w:rsidRDefault="00A53410" w:rsidP="006B074D">
      <w:pPr>
        <w:rPr>
          <w:rFonts w:ascii="Cambria Math" w:hAnsi="Cambria Math"/>
        </w:rPr>
      </w:pPr>
      <m:oMath>
        <m:sSub>
          <m:sSubPr>
            <m:ctrlPr>
              <w:rPr>
                <w:rFonts w:ascii="Cambria Math" w:hAnsi="Cambria Math"/>
              </w:rPr>
            </m:ctrlPr>
          </m:sSubPr>
          <m:e>
            <m:r>
              <m:rPr>
                <m:sty m:val="p"/>
              </m:rPr>
              <w:rPr>
                <w:rFonts w:ascii="Cambria Math" w:hAnsi="Cambria Math"/>
              </w:rPr>
              <m:t>m</m:t>
            </m:r>
          </m:e>
          <m:sub>
            <m:r>
              <m:rPr>
                <m:sty m:val="p"/>
              </m:rPr>
              <w:rPr>
                <w:rFonts w:ascii="Cambria Math" w:hAnsi="Cambria Math"/>
              </w:rPr>
              <m:t>1k</m:t>
            </m:r>
          </m:sub>
        </m:sSub>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τ</m:t>
            </m:r>
            <m:d>
              <m:dPr>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l=1</m:t>
                    </m:r>
                  </m:sub>
                  <m:sup>
                    <m:r>
                      <m:rPr>
                        <m:sty m:val="p"/>
                      </m:rPr>
                      <w:rPr>
                        <w:rFonts w:ascii="Cambria Math" w:hAnsi="Cambria Math"/>
                      </w:rPr>
                      <m:t>2</m:t>
                    </m:r>
                  </m:sup>
                  <m:e>
                    <m:f>
                      <m:fPr>
                        <m:ctrlPr>
                          <w:rPr>
                            <w:rFonts w:ascii="Cambria Math" w:hAnsi="Cambria Math"/>
                          </w:rPr>
                        </m:ctrlPr>
                      </m:fPr>
                      <m:num>
                        <m:sSub>
                          <m:sSubPr>
                            <m:ctrlPr>
                              <w:rPr>
                                <w:rFonts w:ascii="Cambria Math" w:hAnsi="Cambria Math"/>
                              </w:rPr>
                            </m:ctrlPr>
                          </m:sSubPr>
                          <m:e>
                            <m:r>
                              <m:rPr>
                                <m:sty m:val="p"/>
                              </m:rPr>
                              <w:rPr>
                                <w:rFonts w:ascii="Cambria Math" w:hAnsi="Cambria Math"/>
                              </w:rPr>
                              <m:t>q</m:t>
                            </m:r>
                          </m:e>
                          <m:sub>
                            <m:r>
                              <m:rPr>
                                <m:sty m:val="p"/>
                              </m:rPr>
                              <w:rPr>
                                <w:rFonts w:ascii="Cambria Math" w:hAnsi="Cambria Math"/>
                              </w:rPr>
                              <m:t>l</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kl</m:t>
                            </m:r>
                          </m:sub>
                        </m:sSub>
                      </m:num>
                      <m:den>
                        <m:r>
                          <m:rPr>
                            <m:sty m:val="p"/>
                          </m:rPr>
                          <w:rPr>
                            <w:rFonts w:ascii="Cambria Math" w:hAnsi="Cambria Math"/>
                          </w:rPr>
                          <m:t>q</m:t>
                        </m:r>
                      </m:den>
                    </m:f>
                  </m:e>
                </m:nary>
              </m:e>
            </m:d>
            <m:r>
              <m:rPr>
                <m:sty m:val="p"/>
              </m:rPr>
              <w:rPr>
                <w:rFonts w:ascii="Cambria Math" w:hAnsi="Cambria Math"/>
              </w:rPr>
              <m:t>dτ</m:t>
            </m:r>
          </m:e>
        </m:nary>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τ</m:t>
            </m:r>
            <m:d>
              <m:dPr>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l=1</m:t>
                    </m:r>
                  </m:sub>
                  <m:sup>
                    <m:r>
                      <m:rPr>
                        <m:sty m:val="p"/>
                      </m:rPr>
                      <w:rPr>
                        <w:rFonts w:ascii="Cambria Math" w:hAnsi="Cambria Math"/>
                      </w:rPr>
                      <m:t>2</m:t>
                    </m:r>
                  </m:sup>
                  <m:e>
                    <m:sSub>
                      <m:sSubPr>
                        <m:ctrlPr>
                          <w:rPr>
                            <w:rFonts w:ascii="Cambria Math" w:hAnsi="Cambria Math"/>
                          </w:rPr>
                        </m:ctrlPr>
                      </m:sSubPr>
                      <m:e>
                        <m:r>
                          <m:rPr>
                            <m:sty m:val="p"/>
                          </m:rPr>
                          <w:rPr>
                            <w:rFonts w:ascii="Cambria Math" w:hAnsi="Cambria Math"/>
                          </w:rPr>
                          <m:t>f</m:t>
                        </m:r>
                      </m:e>
                      <m:sub>
                        <m:r>
                          <m:rPr>
                            <m:sty m:val="p"/>
                          </m:rPr>
                          <w:rPr>
                            <w:rFonts w:ascii="Cambria Math" w:hAnsi="Cambria Math"/>
                          </w:rPr>
                          <m:t>l</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kl</m:t>
                        </m:r>
                      </m:sub>
                    </m:sSub>
                  </m:e>
                </m:nary>
              </m:e>
            </m:d>
            <m:r>
              <m:rPr>
                <m:sty m:val="p"/>
              </m:rPr>
              <w:rPr>
                <w:rFonts w:ascii="Cambria Math" w:hAnsi="Cambria Math"/>
              </w:rPr>
              <m:t>dτ</m:t>
            </m:r>
          </m:e>
        </m:nary>
      </m:oMath>
      <w:r w:rsidR="006B074D" w:rsidRPr="00B33055">
        <w:rPr>
          <w:rFonts w:ascii="Cambria Math" w:hAnsi="Cambria Math"/>
        </w:rPr>
        <w:tab/>
        <w:t>(A-23)</w:t>
      </w:r>
    </w:p>
    <w:p w14:paraId="0AB7731B" w14:textId="77777777" w:rsidR="006B074D" w:rsidRPr="00B33055" w:rsidRDefault="00A53410" w:rsidP="006B074D">
      <w:pPr>
        <w:rPr>
          <w:rFonts w:ascii="Cambria Math" w:hAnsi="Cambria Math"/>
        </w:rPr>
      </w:pP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1k</m:t>
            </m:r>
          </m:sub>
        </m:sSub>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r>
              <m:rPr>
                <m:sty m:val="p"/>
              </m:rPr>
              <w:rPr>
                <w:rFonts w:ascii="Cambria Math" w:hAnsi="Cambria Math"/>
              </w:rPr>
              <m:t>t</m:t>
            </m:r>
            <m:d>
              <m:dPr>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l=1</m:t>
                    </m:r>
                  </m:sub>
                  <m:sup>
                    <m:r>
                      <m:rPr>
                        <m:sty m:val="p"/>
                      </m:rPr>
                      <w:rPr>
                        <w:rFonts w:ascii="Cambria Math" w:hAnsi="Cambria Math"/>
                      </w:rPr>
                      <m:t>2</m:t>
                    </m:r>
                  </m:sup>
                  <m:e>
                    <m:f>
                      <m:fPr>
                        <m:ctrlPr>
                          <w:rPr>
                            <w:rFonts w:ascii="Cambria Math" w:hAnsi="Cambria Math"/>
                          </w:rPr>
                        </m:ctrlPr>
                      </m:fPr>
                      <m:num>
                        <m:sSub>
                          <m:sSubPr>
                            <m:ctrlPr>
                              <w:rPr>
                                <w:rFonts w:ascii="Cambria Math" w:hAnsi="Cambria Math"/>
                              </w:rPr>
                            </m:ctrlPr>
                          </m:sSubPr>
                          <m:e>
                            <m:r>
                              <m:rPr>
                                <m:sty m:val="p"/>
                              </m:rPr>
                              <w:rPr>
                                <w:rFonts w:ascii="Cambria Math" w:hAnsi="Cambria Math"/>
                              </w:rPr>
                              <m:t>q</m:t>
                            </m:r>
                          </m:e>
                          <m:sub>
                            <m:r>
                              <m:rPr>
                                <m:sty m:val="p"/>
                              </m:rPr>
                              <w:rPr>
                                <w:rFonts w:ascii="Cambria Math" w:hAnsi="Cambria Math"/>
                              </w:rPr>
                              <m:t>l</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kl</m:t>
                            </m:r>
                          </m:sub>
                        </m:sSub>
                      </m:num>
                      <m:den>
                        <m:r>
                          <m:rPr>
                            <m:sty m:val="p"/>
                          </m:rPr>
                          <w:rPr>
                            <w:rFonts w:ascii="Cambria Math" w:hAnsi="Cambria Math"/>
                          </w:rPr>
                          <m:t>q</m:t>
                        </m:r>
                      </m:den>
                    </m:f>
                  </m:e>
                </m:nary>
              </m:e>
            </m:d>
            <m:r>
              <m:rPr>
                <m:sty m:val="p"/>
              </m:rPr>
              <w:rPr>
                <w:rFonts w:ascii="Cambria Math" w:hAnsi="Cambria Math"/>
              </w:rPr>
              <m:t>dτ</m:t>
            </m:r>
          </m:e>
        </m:nary>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r>
              <m:rPr>
                <m:sty m:val="p"/>
              </m:rPr>
              <w:rPr>
                <w:rFonts w:ascii="Cambria Math" w:hAnsi="Cambria Math"/>
              </w:rPr>
              <m:t>t</m:t>
            </m:r>
            <m:d>
              <m:dPr>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l=1</m:t>
                    </m:r>
                  </m:sub>
                  <m:sup>
                    <m:r>
                      <m:rPr>
                        <m:sty m:val="p"/>
                      </m:rPr>
                      <w:rPr>
                        <w:rFonts w:ascii="Cambria Math" w:hAnsi="Cambria Math"/>
                      </w:rPr>
                      <m:t>2</m:t>
                    </m:r>
                  </m:sup>
                  <m:e>
                    <m:sSub>
                      <m:sSubPr>
                        <m:ctrlPr>
                          <w:rPr>
                            <w:rFonts w:ascii="Cambria Math" w:hAnsi="Cambria Math"/>
                          </w:rPr>
                        </m:ctrlPr>
                      </m:sSubPr>
                      <m:e>
                        <m:r>
                          <m:rPr>
                            <m:sty m:val="p"/>
                          </m:rPr>
                          <w:rPr>
                            <w:rFonts w:ascii="Cambria Math" w:hAnsi="Cambria Math"/>
                          </w:rPr>
                          <m:t>f</m:t>
                        </m:r>
                      </m:e>
                      <m:sub>
                        <m:r>
                          <m:rPr>
                            <m:sty m:val="p"/>
                          </m:rPr>
                          <w:rPr>
                            <w:rFonts w:ascii="Cambria Math" w:hAnsi="Cambria Math"/>
                          </w:rPr>
                          <m:t>l</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kl</m:t>
                        </m:r>
                      </m:sub>
                    </m:sSub>
                  </m:e>
                </m:nary>
              </m:e>
            </m:d>
            <m:r>
              <m:rPr>
                <m:sty m:val="p"/>
              </m:rPr>
              <w:rPr>
                <w:rFonts w:ascii="Cambria Math" w:hAnsi="Cambria Math"/>
              </w:rPr>
              <m:t>dτ</m:t>
            </m:r>
          </m:e>
        </m:nary>
      </m:oMath>
      <w:r w:rsidR="006B074D" w:rsidRPr="00B33055">
        <w:rPr>
          <w:rFonts w:ascii="Cambria Math" w:hAnsi="Cambria Math"/>
        </w:rPr>
        <w:tab/>
        <w:t>(A-24)</w:t>
      </w:r>
    </w:p>
    <w:p w14:paraId="3AC799BB" w14:textId="77777777" w:rsidR="006B074D" w:rsidRPr="00B33055" w:rsidRDefault="006B074D" w:rsidP="006B074D">
      <w:r w:rsidRPr="00B33055">
        <w:t>Where</w:t>
      </w:r>
    </w:p>
    <w:p w14:paraId="16615EA2" w14:textId="77777777" w:rsidR="006B074D" w:rsidRPr="00B33055" w:rsidRDefault="00A53410" w:rsidP="006B074D">
      <w:pPr>
        <w:rPr>
          <w:rFonts w:ascii="Cambria Math" w:hAnsi="Cambria Math"/>
        </w:rPr>
      </w:pPr>
      <m:oMath>
        <m:sSub>
          <m:sSubPr>
            <m:ctrlPr>
              <w:rPr>
                <w:rFonts w:ascii="Cambria Math" w:hAnsi="Cambria Math"/>
              </w:rPr>
            </m:ctrlPr>
          </m:sSubPr>
          <m:e>
            <m:r>
              <m:rPr>
                <m:sty m:val="p"/>
              </m:rPr>
              <w:rPr>
                <w:rFonts w:ascii="Cambria Math" w:hAnsi="Cambria Math"/>
              </w:rPr>
              <m:t>f</m:t>
            </m:r>
          </m:e>
          <m:sub>
            <m:r>
              <m:rPr>
                <m:sty m:val="p"/>
              </m:rPr>
              <w:rPr>
                <w:rFonts w:ascii="Cambria Math" w:hAnsi="Cambria Math"/>
              </w:rPr>
              <m:t>l</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q</m:t>
                </m:r>
              </m:e>
              <m:sub>
                <m:r>
                  <m:rPr>
                    <m:sty m:val="p"/>
                  </m:rPr>
                  <w:rPr>
                    <w:rFonts w:ascii="Cambria Math" w:hAnsi="Cambria Math"/>
                  </w:rPr>
                  <m:t>l</m:t>
                </m:r>
              </m:sub>
            </m:sSub>
          </m:num>
          <m:den>
            <m:r>
              <m:rPr>
                <m:sty m:val="p"/>
              </m:rPr>
              <w:rPr>
                <w:rFonts w:ascii="Cambria Math" w:hAnsi="Cambria Math"/>
              </w:rPr>
              <m:t>q</m:t>
            </m:r>
          </m:den>
        </m:f>
      </m:oMath>
      <w:r w:rsidR="006B074D" w:rsidRPr="00B33055">
        <w:rPr>
          <w:rFonts w:ascii="Cambria Math" w:hAnsi="Cambria Math"/>
        </w:rPr>
        <w:tab/>
        <w:t>(A-25)</w:t>
      </w:r>
    </w:p>
    <w:p w14:paraId="307837C8" w14:textId="77777777" w:rsidR="006B074D" w:rsidRPr="00B33055" w:rsidRDefault="006B074D" w:rsidP="006B074D">
      <m:oMath>
        <m:r>
          <w:rPr>
            <w:rFonts w:ascii="Cambria Math" w:hAnsi="Cambria Math"/>
          </w:rPr>
          <m:t>l=</m:t>
        </m:r>
      </m:oMath>
      <w:r w:rsidRPr="00B33055">
        <w:t xml:space="preserve">1 stands for water and </w:t>
      </w:r>
      <m:oMath>
        <m:r>
          <w:rPr>
            <w:rFonts w:ascii="Cambria Math" w:hAnsi="Cambria Math"/>
          </w:rPr>
          <m:t>l=2</m:t>
        </m:r>
      </m:oMath>
      <w:r w:rsidRPr="00B33055">
        <w:t xml:space="preserve"> is oil, respectively.</w:t>
      </w:r>
    </w:p>
    <w:p w14:paraId="0F00BFB6" w14:textId="27EC84C0" w:rsidR="006B074D" w:rsidRPr="00B33055" w:rsidRDefault="006B074D" w:rsidP="006B074D">
      <w:r w:rsidRPr="00B33055">
        <w:t>Substituting Eq. A-23 and A-24</w:t>
      </w:r>
      <w:r w:rsidR="008F03BC">
        <w:t xml:space="preserve"> into </w:t>
      </w:r>
      <w:r w:rsidRPr="00B33055">
        <w:t>A-</w:t>
      </w:r>
      <w:r w:rsidR="008F03BC">
        <w:t>22</w:t>
      </w:r>
      <w:r w:rsidRPr="00B33055">
        <w:t xml:space="preserve"> get</w:t>
      </w:r>
    </w:p>
    <w:p w14:paraId="2AC76A9B" w14:textId="77777777" w:rsidR="006B074D" w:rsidRPr="00B33055" w:rsidRDefault="00A53410" w:rsidP="006B074D">
      <w:pPr>
        <w:rPr>
          <w:rFonts w:ascii="Cambria Math" w:hAnsi="Cambria Math"/>
        </w:rPr>
      </w:pPr>
      <m:oMath>
        <m:nary>
          <m:naryPr>
            <m:limLoc m:val="undOvr"/>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r>
              <m:rPr>
                <m:sty m:val="p"/>
              </m:rPr>
              <w:rPr>
                <w:rFonts w:ascii="Cambria Math" w:hAnsi="Cambria Math"/>
              </w:rPr>
              <m:t>qτ</m:t>
            </m:r>
            <m:d>
              <m:dPr>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l=1</m:t>
                    </m:r>
                  </m:sub>
                  <m:sup>
                    <m:r>
                      <m:rPr>
                        <m:sty m:val="p"/>
                      </m:rPr>
                      <w:rPr>
                        <w:rFonts w:ascii="Cambria Math" w:hAnsi="Cambria Math"/>
                      </w:rPr>
                      <m:t>2</m:t>
                    </m:r>
                  </m:sup>
                  <m:e>
                    <m:f>
                      <m:fPr>
                        <m:ctrlPr>
                          <w:rPr>
                            <w:rFonts w:ascii="Cambria Math" w:hAnsi="Cambria Math"/>
                          </w:rPr>
                        </m:ctrlPr>
                      </m:fPr>
                      <m:num>
                        <m:sSub>
                          <m:sSubPr>
                            <m:ctrlPr>
                              <w:rPr>
                                <w:rFonts w:ascii="Cambria Math" w:hAnsi="Cambria Math"/>
                              </w:rPr>
                            </m:ctrlPr>
                          </m:sSubPr>
                          <m:e>
                            <m:r>
                              <m:rPr>
                                <m:sty m:val="p"/>
                              </m:rPr>
                              <w:rPr>
                                <w:rFonts w:ascii="Cambria Math" w:hAnsi="Cambria Math"/>
                              </w:rPr>
                              <m:t>q</m:t>
                            </m:r>
                          </m:e>
                          <m:sub>
                            <m:r>
                              <m:rPr>
                                <m:sty m:val="p"/>
                              </m:rPr>
                              <w:rPr>
                                <w:rFonts w:ascii="Cambria Math" w:hAnsi="Cambria Math"/>
                              </w:rPr>
                              <m:t>l</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kl</m:t>
                            </m:r>
                          </m:sub>
                        </m:sSub>
                      </m:num>
                      <m:den>
                        <m:r>
                          <m:rPr>
                            <m:sty m:val="p"/>
                          </m:rPr>
                          <w:rPr>
                            <w:rFonts w:ascii="Cambria Math" w:hAnsi="Cambria Math"/>
                          </w:rPr>
                          <m:t>q</m:t>
                        </m:r>
                      </m:den>
                    </m:f>
                  </m:e>
                </m:nary>
              </m:e>
            </m:d>
            <m:r>
              <m:rPr>
                <m:sty m:val="p"/>
              </m:rPr>
              <w:rPr>
                <w:rFonts w:ascii="Cambria Math" w:hAnsi="Cambria Math"/>
              </w:rPr>
              <m:t>dτ</m:t>
            </m:r>
          </m:e>
        </m:nary>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t</m:t>
            </m:r>
          </m:sub>
          <m:sup>
            <m:r>
              <m:rPr>
                <m:sty m:val="p"/>
              </m:rPr>
              <w:rPr>
                <w:rFonts w:ascii="Cambria Math" w:hAnsi="Cambria Math"/>
              </w:rPr>
              <m:t>∞</m:t>
            </m:r>
          </m:sup>
          <m:e>
            <m:r>
              <m:rPr>
                <m:sty m:val="p"/>
              </m:rPr>
              <w:rPr>
                <w:rFonts w:ascii="Cambria Math" w:hAnsi="Cambria Math"/>
              </w:rPr>
              <m:t>qt</m:t>
            </m:r>
            <m:d>
              <m:dPr>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l=1</m:t>
                    </m:r>
                  </m:sub>
                  <m:sup>
                    <m:r>
                      <m:rPr>
                        <m:sty m:val="p"/>
                      </m:rPr>
                      <w:rPr>
                        <w:rFonts w:ascii="Cambria Math" w:hAnsi="Cambria Math"/>
                      </w:rPr>
                      <m:t>2</m:t>
                    </m:r>
                  </m:sup>
                  <m:e>
                    <m:f>
                      <m:fPr>
                        <m:ctrlPr>
                          <w:rPr>
                            <w:rFonts w:ascii="Cambria Math" w:hAnsi="Cambria Math"/>
                          </w:rPr>
                        </m:ctrlPr>
                      </m:fPr>
                      <m:num>
                        <m:sSub>
                          <m:sSubPr>
                            <m:ctrlPr>
                              <w:rPr>
                                <w:rFonts w:ascii="Cambria Math" w:hAnsi="Cambria Math"/>
                              </w:rPr>
                            </m:ctrlPr>
                          </m:sSubPr>
                          <m:e>
                            <m:r>
                              <m:rPr>
                                <m:sty m:val="p"/>
                              </m:rPr>
                              <w:rPr>
                                <w:rFonts w:ascii="Cambria Math" w:hAnsi="Cambria Math"/>
                              </w:rPr>
                              <m:t>q</m:t>
                            </m:r>
                          </m:e>
                          <m:sub>
                            <m:r>
                              <m:rPr>
                                <m:sty m:val="p"/>
                              </m:rPr>
                              <w:rPr>
                                <w:rFonts w:ascii="Cambria Math" w:hAnsi="Cambria Math"/>
                              </w:rPr>
                              <m:t>l</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kl</m:t>
                            </m:r>
                          </m:sub>
                        </m:sSub>
                      </m:num>
                      <m:den>
                        <m:r>
                          <m:rPr>
                            <m:sty m:val="p"/>
                          </m:rPr>
                          <w:rPr>
                            <w:rFonts w:ascii="Cambria Math" w:hAnsi="Cambria Math"/>
                          </w:rPr>
                          <m:t>q</m:t>
                        </m:r>
                      </m:den>
                    </m:f>
                  </m:e>
                </m:nary>
              </m:e>
            </m:d>
            <m:r>
              <m:rPr>
                <m:sty m:val="p"/>
              </m:rPr>
              <w:rPr>
                <w:rFonts w:ascii="Cambria Math" w:hAnsi="Cambria Math"/>
              </w:rPr>
              <m:t>dτ</m:t>
            </m:r>
          </m:e>
        </m:nary>
        <m:r>
          <m:rPr>
            <m:sty m:val="p"/>
          </m:rPr>
          <w:rPr>
            <w:rFonts w:ascii="Cambria Math" w:hAnsi="Cambria Math"/>
          </w:rPr>
          <m:t>=q</m:t>
        </m:r>
        <m:d>
          <m:dPr>
            <m:ctrlPr>
              <w:rPr>
                <w:rFonts w:ascii="Cambria Math" w:hAnsi="Cambria Math"/>
              </w:rPr>
            </m:ctrlPr>
          </m:dPr>
          <m:e>
            <m:sSub>
              <m:sSubPr>
                <m:ctrlPr>
                  <w:rPr>
                    <w:rFonts w:ascii="Cambria Math" w:hAnsi="Cambria Math"/>
                  </w:rPr>
                </m:ctrlPr>
              </m:sSubPr>
              <m:e>
                <m:r>
                  <m:rPr>
                    <m:sty m:val="p"/>
                  </m:rPr>
                  <w:rPr>
                    <w:rFonts w:ascii="Cambria Math" w:hAnsi="Cambria Math"/>
                  </w:rPr>
                  <m:t>m</m:t>
                </m:r>
              </m:e>
              <m:sub>
                <m:r>
                  <m:rPr>
                    <m:sty m:val="p"/>
                  </m:rPr>
                  <w:rPr>
                    <w:rFonts w:ascii="Cambria Math" w:hAnsi="Cambria Math"/>
                  </w:rPr>
                  <m:t>1k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1k</m:t>
                </m:r>
              </m:sub>
            </m:sSub>
          </m:e>
        </m:d>
      </m:oMath>
      <w:r w:rsidR="006B074D" w:rsidRPr="00B33055">
        <w:rPr>
          <w:rFonts w:ascii="Cambria Math" w:hAnsi="Cambria Math"/>
        </w:rPr>
        <w:t xml:space="preserve"> </w:t>
      </w:r>
      <w:r w:rsidR="006B074D" w:rsidRPr="00B33055">
        <w:rPr>
          <w:rFonts w:ascii="Cambria Math" w:hAnsi="Cambria Math"/>
        </w:rPr>
        <w:tab/>
        <w:t>(A-26)</w:t>
      </w:r>
    </w:p>
    <w:p w14:paraId="3F518CB5" w14:textId="77777777" w:rsidR="006B074D" w:rsidRPr="00B33055" w:rsidRDefault="008F03BC" w:rsidP="006B074D">
      <w:r>
        <w:t xml:space="preserve">Subsequently, Eq. </w:t>
      </w:r>
      <w:r w:rsidR="006B074D" w:rsidRPr="00B33055">
        <w:t>A-</w:t>
      </w:r>
      <w:r>
        <w:t>20</w:t>
      </w:r>
      <w:r w:rsidR="006B074D" w:rsidRPr="00B33055">
        <w:t xml:space="preserve"> can be written as </w:t>
      </w:r>
    </w:p>
    <w:p w14:paraId="368FD1C6" w14:textId="77777777" w:rsidR="006B074D" w:rsidRPr="00B33055" w:rsidRDefault="006B074D" w:rsidP="006B074D">
      <w:pPr>
        <w:rPr>
          <w:rFonts w:ascii="Cambria Math" w:hAnsi="Cambria Math"/>
        </w:rPr>
      </w:pPr>
      <m:oMath>
        <m:r>
          <m:rPr>
            <m:sty m:val="p"/>
          </m:rPr>
          <w:rPr>
            <w:rFonts w:ascii="Cambria Math" w:hAnsi="Cambria Math"/>
          </w:rPr>
          <m:t>-</m:t>
        </m:r>
        <m:nary>
          <m:naryPr>
            <m:chr m:val="∭"/>
            <m:limLoc m:val="undOvr"/>
            <m:subHide m:val="1"/>
            <m:supHide m:val="1"/>
            <m:ctrlPr>
              <w:rPr>
                <w:rFonts w:ascii="Cambria Math" w:hAnsi="Cambria Math"/>
              </w:rPr>
            </m:ctrlPr>
          </m:naryPr>
          <m:sub/>
          <m:sup/>
          <m:e>
            <m:sSub>
              <m:sSubPr>
                <m:ctrlPr>
                  <w:rPr>
                    <w:rFonts w:ascii="Cambria Math" w:hAnsi="Cambria Math"/>
                  </w:rPr>
                </m:ctrlPr>
              </m:sSubPr>
              <m:e>
                <m:r>
                  <m:rPr>
                    <m:sty m:val="p"/>
                  </m:rPr>
                  <w:rPr>
                    <w:rFonts w:ascii="Cambria Math" w:hAnsi="Cambria Math"/>
                  </w:rPr>
                  <m:t>ϕm</m:t>
                </m:r>
              </m:e>
              <m:sub>
                <m:r>
                  <m:rPr>
                    <m:sty m:val="p"/>
                  </m:rPr>
                  <w:rPr>
                    <w:rFonts w:ascii="Cambria Math" w:hAnsi="Cambria Math"/>
                  </w:rPr>
                  <m:t>0k</m:t>
                </m:r>
              </m:sub>
            </m:sSub>
            <m:r>
              <m:rPr>
                <m:sty m:val="p"/>
              </m:rPr>
              <w:rPr>
                <w:rFonts w:ascii="Cambria Math" w:hAnsi="Cambria Math"/>
              </w:rPr>
              <m:t>d</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R</m:t>
                </m:r>
              </m:sub>
            </m:sSub>
          </m:e>
        </m:nary>
        <m:r>
          <m:rPr>
            <m:sty m:val="p"/>
          </m:rPr>
          <w:rPr>
            <w:rFonts w:ascii="Cambria Math" w:hAnsi="Cambria Math"/>
          </w:rPr>
          <m:t>+q(</m:t>
        </m:r>
        <m:sSub>
          <m:sSubPr>
            <m:ctrlPr>
              <w:rPr>
                <w:rFonts w:ascii="Cambria Math" w:hAnsi="Cambria Math"/>
              </w:rPr>
            </m:ctrlPr>
          </m:sSubPr>
          <m:e>
            <m:r>
              <m:rPr>
                <m:sty m:val="p"/>
              </m:rPr>
              <w:rPr>
                <w:rFonts w:ascii="Cambria Math" w:hAnsi="Cambria Math"/>
              </w:rPr>
              <m:t>m</m:t>
            </m:r>
          </m:e>
          <m:sub>
            <m:r>
              <m:rPr>
                <m:sty m:val="p"/>
              </m:rPr>
              <w:rPr>
                <w:rFonts w:ascii="Cambria Math" w:hAnsi="Cambria Math"/>
              </w:rPr>
              <m:t>1k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1k</m:t>
            </m:r>
          </m:sub>
        </m:sSub>
        <m:r>
          <m:rPr>
            <m:sty m:val="p"/>
          </m:rPr>
          <w:rPr>
            <w:rFonts w:ascii="Cambria Math" w:hAnsi="Cambria Math"/>
          </w:rPr>
          <m:t>)=0</m:t>
        </m:r>
      </m:oMath>
      <w:r w:rsidRPr="00B33055">
        <w:rPr>
          <w:rFonts w:ascii="Cambria Math" w:hAnsi="Cambria Math"/>
        </w:rPr>
        <w:tab/>
        <w:t>(A-27)</w:t>
      </w:r>
    </w:p>
    <w:p w14:paraId="466F607C" w14:textId="77777777" w:rsidR="006B074D" w:rsidRPr="00B33055" w:rsidRDefault="006B074D" w:rsidP="006B074D">
      <w:r w:rsidRPr="00B33055">
        <w:t xml:space="preserve">This equation can be obtained only at the well. The information of the pore volume and the saturation is imbedded in the left hand term. Also, this formula is for multiphase flow. </w:t>
      </w:r>
    </w:p>
    <w:p w14:paraId="39D560CB" w14:textId="77777777" w:rsidR="006B074D" w:rsidRPr="00B33055" w:rsidRDefault="006B074D" w:rsidP="006B074D">
      <w:r w:rsidRPr="00B33055">
        <w:t>Let water phase be the reference phase. Define partition coefficient</w:t>
      </w:r>
    </w:p>
    <w:p w14:paraId="49EF2D3A" w14:textId="77777777" w:rsidR="006B074D" w:rsidRPr="00B33055" w:rsidRDefault="00A53410" w:rsidP="006B074D">
      <w:pPr>
        <w:rPr>
          <w:rFonts w:ascii="Cambria Math" w:hAnsi="Cambria Math"/>
        </w:rPr>
      </w:pPr>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l</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C</m:t>
                </m:r>
              </m:e>
              <m:sub>
                <m:r>
                  <m:rPr>
                    <m:sty m:val="p"/>
                  </m:rPr>
                  <w:rPr>
                    <w:rFonts w:ascii="Cambria Math" w:hAnsi="Cambria Math"/>
                  </w:rPr>
                  <m:t>kl</m:t>
                </m:r>
              </m:sub>
            </m:sSub>
          </m:num>
          <m:den>
            <m:sSub>
              <m:sSubPr>
                <m:ctrlPr>
                  <w:rPr>
                    <w:rFonts w:ascii="Cambria Math" w:hAnsi="Cambria Math"/>
                  </w:rPr>
                </m:ctrlPr>
              </m:sSubPr>
              <m:e>
                <m:r>
                  <m:rPr>
                    <m:sty m:val="p"/>
                  </m:rPr>
                  <w:rPr>
                    <w:rFonts w:ascii="Cambria Math" w:hAnsi="Cambria Math"/>
                  </w:rPr>
                  <m:t>C</m:t>
                </m:r>
              </m:e>
              <m:sub>
                <m:r>
                  <m:rPr>
                    <m:sty m:val="p"/>
                  </m:rPr>
                  <w:rPr>
                    <w:rFonts w:ascii="Cambria Math" w:hAnsi="Cambria Math"/>
                  </w:rPr>
                  <m:t>k1</m:t>
                </m:r>
              </m:sub>
            </m:sSub>
          </m:den>
        </m:f>
        <m:r>
          <m:rPr>
            <m:sty m:val="p"/>
          </m:rPr>
          <w:rPr>
            <w:rFonts w:ascii="Cambria Math" w:hAnsi="Cambria Math"/>
          </w:rPr>
          <m:t xml:space="preserve"> (l=1,2)</m:t>
        </m:r>
      </m:oMath>
      <w:r w:rsidR="006B074D" w:rsidRPr="00B33055">
        <w:rPr>
          <w:rFonts w:ascii="Cambria Math" w:hAnsi="Cambria Math"/>
        </w:rPr>
        <w:tab/>
        <w:t>(A-28)</w:t>
      </w:r>
    </w:p>
    <w:p w14:paraId="77A6EFF8" w14:textId="0D54E69A" w:rsidR="006B074D" w:rsidRPr="00B33055" w:rsidRDefault="006B074D" w:rsidP="006B074D">
      <w:r w:rsidRPr="00B33055">
        <w:t xml:space="preserve">With Eq. (A-28) </w:t>
      </w:r>
      <w:r w:rsidR="00B721FC">
        <w:t>only</w:t>
      </w:r>
      <w:r w:rsidR="008F03BC">
        <w:t xml:space="preserve"> </w:t>
      </w:r>
      <w:r w:rsidR="00B721FC">
        <w:t xml:space="preserve">the </w:t>
      </w:r>
      <w:r w:rsidR="008F03BC">
        <w:t xml:space="preserve">water phase </w:t>
      </w:r>
      <w:r w:rsidR="00B721FC">
        <w:t xml:space="preserve">could be used </w:t>
      </w:r>
      <w:r w:rsidR="008F03BC">
        <w:t xml:space="preserve">to describe Eq. </w:t>
      </w:r>
      <w:r w:rsidRPr="00B33055">
        <w:t>A-</w:t>
      </w:r>
      <w:r w:rsidR="008F03BC">
        <w:t>17</w:t>
      </w:r>
    </w:p>
    <w:p w14:paraId="5A50FE7E" w14:textId="77777777" w:rsidR="006B074D" w:rsidRPr="00B33055" w:rsidRDefault="00A53410" w:rsidP="006B074D">
      <w:pPr>
        <w:rPr>
          <w:rFonts w:ascii="Cambria Math" w:hAnsi="Cambria Math"/>
        </w:rPr>
      </w:pPr>
      <m:oMath>
        <m:sSub>
          <m:sSubPr>
            <m:ctrlPr>
              <w:rPr>
                <w:rFonts w:ascii="Cambria Math" w:hAnsi="Cambria Math"/>
              </w:rPr>
            </m:ctrlPr>
          </m:sSubPr>
          <m:e>
            <m:r>
              <m:rPr>
                <m:sty m:val="p"/>
              </m:rPr>
              <w:rPr>
                <w:rFonts w:ascii="Cambria Math" w:hAnsi="Cambria Math"/>
              </w:rPr>
              <m:t>m</m:t>
            </m:r>
          </m:e>
          <m:sub>
            <m:r>
              <m:rPr>
                <m:sty m:val="p"/>
              </m:rPr>
              <w:rPr>
                <w:rFonts w:ascii="Cambria Math" w:hAnsi="Cambria Math"/>
              </w:rPr>
              <m:t>0k</m:t>
            </m:r>
          </m:sub>
        </m:sSub>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k</m:t>
                </m:r>
              </m:sub>
            </m:sSub>
            <m:r>
              <m:rPr>
                <m:sty m:val="p"/>
              </m:rPr>
              <w:rPr>
                <w:rFonts w:ascii="Cambria Math" w:hAnsi="Cambria Math"/>
              </w:rPr>
              <m:t>dτ</m:t>
            </m:r>
          </m:e>
        </m:nary>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d>
              <m:dPr>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l=1</m:t>
                    </m:r>
                  </m:sub>
                  <m:sup>
                    <m:r>
                      <m:rPr>
                        <m:sty m:val="p"/>
                      </m:rPr>
                      <w:rPr>
                        <w:rFonts w:ascii="Cambria Math" w:hAnsi="Cambria Math"/>
                      </w:rPr>
                      <m:t>2</m:t>
                    </m:r>
                  </m:sup>
                  <m:e>
                    <m:sSub>
                      <m:sSubPr>
                        <m:ctrlPr>
                          <w:rPr>
                            <w:rFonts w:ascii="Cambria Math" w:hAnsi="Cambria Math"/>
                          </w:rPr>
                        </m:ctrlPr>
                      </m:sSubPr>
                      <m:e>
                        <m:sSub>
                          <m:sSubPr>
                            <m:ctrlPr>
                              <w:rPr>
                                <w:rFonts w:ascii="Cambria Math" w:hAnsi="Cambria Math"/>
                              </w:rPr>
                            </m:ctrlPr>
                          </m:sSubPr>
                          <m:e>
                            <m:r>
                              <m:rPr>
                                <m:sty m:val="p"/>
                              </m:rPr>
                              <w:rPr>
                                <w:rFonts w:ascii="Cambria Math" w:hAnsi="Cambria Math"/>
                              </w:rPr>
                              <m:t>S</m:t>
                            </m:r>
                          </m:e>
                          <m:sub>
                            <m:r>
                              <m:rPr>
                                <m:sty m:val="p"/>
                              </m:rPr>
                              <w:rPr>
                                <w:rFonts w:ascii="Cambria Math" w:hAnsi="Cambria Math"/>
                              </w:rPr>
                              <m:t>l</m:t>
                            </m:r>
                          </m:sub>
                        </m:sSub>
                        <m:r>
                          <m:rPr>
                            <m:sty m:val="p"/>
                          </m:rPr>
                          <w:rPr>
                            <w:rFonts w:ascii="Cambria Math" w:hAnsi="Cambria Math"/>
                          </w:rPr>
                          <m:t>C</m:t>
                        </m:r>
                      </m:e>
                      <m:sub>
                        <m:r>
                          <m:rPr>
                            <m:sty m:val="p"/>
                          </m:rPr>
                          <w:rPr>
                            <w:rFonts w:ascii="Cambria Math" w:hAnsi="Cambria Math"/>
                          </w:rPr>
                          <m:t>kl</m:t>
                        </m:r>
                      </m:sub>
                    </m:sSub>
                  </m:e>
                </m:nary>
              </m:e>
            </m:d>
            <m:r>
              <m:rPr>
                <m:sty m:val="p"/>
              </m:rPr>
              <w:rPr>
                <w:rFonts w:ascii="Cambria Math" w:hAnsi="Cambria Math"/>
              </w:rPr>
              <m:t>dτ</m:t>
            </m:r>
          </m:e>
        </m:nary>
        <m:r>
          <m:rPr>
            <m:sty m:val="p"/>
          </m:rPr>
          <w:rPr>
            <w:rFonts w:ascii="Cambria Math" w:hAnsi="Cambria Math"/>
          </w:rPr>
          <m:t>=</m:t>
        </m:r>
        <m:d>
          <m:dPr>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l=1</m:t>
                </m:r>
              </m:sub>
              <m:sup>
                <m:r>
                  <m:rPr>
                    <m:sty m:val="p"/>
                  </m:rPr>
                  <w:rPr>
                    <w:rFonts w:ascii="Cambria Math" w:hAnsi="Cambria Math"/>
                  </w:rPr>
                  <m:t>2</m:t>
                </m:r>
              </m:sup>
              <m:e>
                <m:sSub>
                  <m:sSubPr>
                    <m:ctrlPr>
                      <w:rPr>
                        <w:rFonts w:ascii="Cambria Math" w:hAnsi="Cambria Math"/>
                      </w:rPr>
                    </m:ctrlPr>
                  </m:sSubPr>
                  <m:e>
                    <m:r>
                      <m:rPr>
                        <m:sty m:val="p"/>
                      </m:rPr>
                      <w:rPr>
                        <w:rFonts w:ascii="Cambria Math" w:hAnsi="Cambria Math"/>
                      </w:rPr>
                      <m:t>K</m:t>
                    </m:r>
                  </m:e>
                  <m:sub>
                    <m:r>
                      <m:rPr>
                        <m:sty m:val="p"/>
                      </m:rPr>
                      <w:rPr>
                        <w:rFonts w:ascii="Cambria Math" w:hAnsi="Cambria Math"/>
                      </w:rPr>
                      <m:t>l</m:t>
                    </m:r>
                  </m:sub>
                </m:sSub>
                <m:sSub>
                  <m:sSubPr>
                    <m:ctrlPr>
                      <w:rPr>
                        <w:rFonts w:ascii="Cambria Math" w:hAnsi="Cambria Math"/>
                      </w:rPr>
                    </m:ctrlPr>
                  </m:sSubPr>
                  <m:e>
                    <m:acc>
                      <m:accPr>
                        <m:ctrlPr>
                          <w:rPr>
                            <w:rFonts w:ascii="Cambria Math" w:hAnsi="Cambria Math"/>
                          </w:rPr>
                        </m:ctrlPr>
                      </m:accPr>
                      <m:e>
                        <m:r>
                          <m:rPr>
                            <m:sty m:val="p"/>
                          </m:rPr>
                          <w:rPr>
                            <w:rFonts w:ascii="Cambria Math" w:hAnsi="Cambria Math"/>
                          </w:rPr>
                          <m:t>S</m:t>
                        </m:r>
                      </m:e>
                    </m:acc>
                  </m:e>
                  <m:sub>
                    <m:r>
                      <m:rPr>
                        <m:sty m:val="p"/>
                      </m:rPr>
                      <w:rPr>
                        <w:rFonts w:ascii="Cambria Math" w:hAnsi="Cambria Math"/>
                      </w:rPr>
                      <m:t>l</m:t>
                    </m:r>
                  </m:sub>
                </m:sSub>
              </m:e>
            </m:nary>
          </m:e>
        </m:d>
        <m:sSub>
          <m:sSubPr>
            <m:ctrlPr>
              <w:rPr>
                <w:rFonts w:ascii="Cambria Math" w:hAnsi="Cambria Math"/>
              </w:rPr>
            </m:ctrlPr>
          </m:sSubPr>
          <m:e>
            <m:r>
              <m:rPr>
                <m:sty m:val="p"/>
              </m:rPr>
              <w:rPr>
                <w:rFonts w:ascii="Cambria Math" w:hAnsi="Cambria Math"/>
              </w:rPr>
              <m:t>m</m:t>
            </m:r>
          </m:e>
          <m:sub>
            <m:r>
              <m:rPr>
                <m:sty m:val="p"/>
              </m:rPr>
              <w:rPr>
                <w:rFonts w:ascii="Cambria Math" w:hAnsi="Cambria Math"/>
              </w:rPr>
              <m:t>0k1</m:t>
            </m:r>
          </m:sub>
        </m:sSub>
      </m:oMath>
      <w:r w:rsidR="006B074D" w:rsidRPr="00B33055">
        <w:rPr>
          <w:rFonts w:ascii="Cambria Math" w:hAnsi="Cambria Math"/>
        </w:rPr>
        <w:tab/>
        <w:t>(A-29)</w:t>
      </w:r>
    </w:p>
    <w:p w14:paraId="70401C49" w14:textId="77777777" w:rsidR="006B074D" w:rsidRPr="00B33055" w:rsidRDefault="006B074D" w:rsidP="006B074D">
      <w:r w:rsidRPr="00B33055">
        <w:t>Where</w:t>
      </w:r>
    </w:p>
    <w:p w14:paraId="668A07AA" w14:textId="77777777" w:rsidR="006B074D" w:rsidRPr="00B33055" w:rsidRDefault="00A53410" w:rsidP="006B074D">
      <w:pPr>
        <w:rPr>
          <w:rFonts w:ascii="Cambria Math" w:hAnsi="Cambria Math"/>
        </w:rPr>
      </w:pPr>
      <m:oMath>
        <m:sSub>
          <m:sSubPr>
            <m:ctrlPr>
              <w:rPr>
                <w:rFonts w:ascii="Cambria Math" w:hAnsi="Cambria Math"/>
              </w:rPr>
            </m:ctrlPr>
          </m:sSubPr>
          <m:e>
            <m:acc>
              <m:accPr>
                <m:ctrlPr>
                  <w:rPr>
                    <w:rFonts w:ascii="Cambria Math" w:hAnsi="Cambria Math"/>
                  </w:rPr>
                </m:ctrlPr>
              </m:accPr>
              <m:e>
                <m:r>
                  <m:rPr>
                    <m:sty m:val="p"/>
                  </m:rPr>
                  <w:rPr>
                    <w:rFonts w:ascii="Cambria Math" w:hAnsi="Cambria Math"/>
                  </w:rPr>
                  <m:t>S</m:t>
                </m:r>
              </m:e>
            </m:acc>
          </m:e>
          <m:sub>
            <m:r>
              <m:rPr>
                <m:sty m:val="p"/>
              </m:rPr>
              <w:rPr>
                <w:rFonts w:ascii="Cambria Math" w:hAnsi="Cambria Math"/>
              </w:rPr>
              <m:t>l</m:t>
            </m:r>
          </m:sub>
        </m:sSub>
        <m:r>
          <m:rPr>
            <m:sty m:val="p"/>
          </m:rPr>
          <w:rPr>
            <w:rFonts w:ascii="Cambria Math" w:hAnsi="Cambria Math"/>
          </w:rPr>
          <m:t>=</m:t>
        </m:r>
        <m:f>
          <m:fPr>
            <m:ctrlPr>
              <w:rPr>
                <w:rFonts w:ascii="Cambria Math" w:hAnsi="Cambria Math"/>
              </w:rPr>
            </m:ctrlPr>
          </m:fPr>
          <m:num>
            <m:d>
              <m:dPr>
                <m:ctrlPr>
                  <w:rPr>
                    <w:rFonts w:ascii="Cambria Math" w:hAnsi="Cambria Math"/>
                  </w:rPr>
                </m:ctrlPr>
              </m:dPr>
              <m:e>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d>
                      <m:dPr>
                        <m:ctrlPr>
                          <w:rPr>
                            <w:rFonts w:ascii="Cambria Math" w:hAnsi="Cambria Math"/>
                          </w:rPr>
                        </m:ctrlPr>
                      </m:dPr>
                      <m:e>
                        <m:sSub>
                          <m:sSubPr>
                            <m:ctrlPr>
                              <w:rPr>
                                <w:rFonts w:ascii="Cambria Math" w:hAnsi="Cambria Math"/>
                              </w:rPr>
                            </m:ctrlPr>
                          </m:sSubPr>
                          <m:e>
                            <m:sSub>
                              <m:sSubPr>
                                <m:ctrlPr>
                                  <w:rPr>
                                    <w:rFonts w:ascii="Cambria Math" w:hAnsi="Cambria Math"/>
                                  </w:rPr>
                                </m:ctrlPr>
                              </m:sSubPr>
                              <m:e>
                                <m:r>
                                  <m:rPr>
                                    <m:sty m:val="p"/>
                                  </m:rPr>
                                  <w:rPr>
                                    <w:rFonts w:ascii="Cambria Math" w:hAnsi="Cambria Math"/>
                                  </w:rPr>
                                  <m:t>S</m:t>
                                </m:r>
                              </m:e>
                              <m:sub>
                                <m:r>
                                  <m:rPr>
                                    <m:sty m:val="p"/>
                                  </m:rPr>
                                  <w:rPr>
                                    <w:rFonts w:ascii="Cambria Math" w:hAnsi="Cambria Math"/>
                                  </w:rPr>
                                  <m:t>l</m:t>
                                </m:r>
                              </m:sub>
                            </m:sSub>
                            <m:r>
                              <m:rPr>
                                <m:sty m:val="p"/>
                              </m:rPr>
                              <w:rPr>
                                <w:rFonts w:ascii="Cambria Math" w:hAnsi="Cambria Math"/>
                              </w:rPr>
                              <m:t>C</m:t>
                            </m:r>
                          </m:e>
                          <m:sub>
                            <m:r>
                              <m:rPr>
                                <m:sty m:val="p"/>
                              </m:rPr>
                              <w:rPr>
                                <w:rFonts w:ascii="Cambria Math" w:hAnsi="Cambria Math"/>
                              </w:rPr>
                              <m:t>k1</m:t>
                            </m:r>
                          </m:sub>
                        </m:sSub>
                      </m:e>
                    </m:d>
                    <m:r>
                      <m:rPr>
                        <m:sty m:val="p"/>
                      </m:rPr>
                      <w:rPr>
                        <w:rFonts w:ascii="Cambria Math" w:hAnsi="Cambria Math"/>
                      </w:rPr>
                      <m:t>dτ</m:t>
                    </m:r>
                  </m:e>
                </m:nary>
              </m:e>
            </m:d>
          </m:num>
          <m:den>
            <m:d>
              <m:dPr>
                <m:ctrlPr>
                  <w:rPr>
                    <w:rFonts w:ascii="Cambria Math" w:hAnsi="Cambria Math"/>
                  </w:rPr>
                </m:ctrlPr>
              </m:dPr>
              <m:e>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k1</m:t>
                        </m:r>
                      </m:sub>
                    </m:sSub>
                    <m:r>
                      <m:rPr>
                        <m:sty m:val="p"/>
                      </m:rPr>
                      <w:rPr>
                        <w:rFonts w:ascii="Cambria Math" w:hAnsi="Cambria Math"/>
                      </w:rPr>
                      <m:t>dτ</m:t>
                    </m:r>
                  </m:e>
                </m:nary>
              </m:e>
            </m:d>
          </m:den>
        </m:f>
      </m:oMath>
      <w:r w:rsidR="006B074D" w:rsidRPr="00B33055">
        <w:rPr>
          <w:rFonts w:ascii="Cambria Math" w:hAnsi="Cambria Math"/>
        </w:rPr>
        <w:tab/>
        <w:t>(A-30)</w:t>
      </w:r>
    </w:p>
    <w:p w14:paraId="5854FB5E" w14:textId="77777777" w:rsidR="006B074D" w:rsidRPr="00B33055" w:rsidRDefault="006B074D" w:rsidP="006B074D">
      <w:r w:rsidRPr="00B33055">
        <w:t>And</w:t>
      </w:r>
    </w:p>
    <w:p w14:paraId="4F3C3398" w14:textId="77777777" w:rsidR="006B074D" w:rsidRPr="00B33055" w:rsidRDefault="00A53410" w:rsidP="006B074D">
      <w:pPr>
        <w:rPr>
          <w:rFonts w:ascii="Cambria Math" w:hAnsi="Cambria Math"/>
        </w:rPr>
      </w:pPr>
      <m:oMath>
        <m:sSub>
          <m:sSubPr>
            <m:ctrlPr>
              <w:rPr>
                <w:rFonts w:ascii="Cambria Math" w:hAnsi="Cambria Math"/>
              </w:rPr>
            </m:ctrlPr>
          </m:sSubPr>
          <m:e>
            <m:r>
              <m:rPr>
                <m:sty m:val="p"/>
              </m:rPr>
              <w:rPr>
                <w:rFonts w:ascii="Cambria Math" w:hAnsi="Cambria Math"/>
              </w:rPr>
              <m:t>m</m:t>
            </m:r>
          </m:e>
          <m:sub>
            <m:r>
              <m:rPr>
                <m:sty m:val="p"/>
              </m:rPr>
              <w:rPr>
                <w:rFonts w:ascii="Cambria Math" w:hAnsi="Cambria Math"/>
              </w:rPr>
              <m:t>0k1</m:t>
            </m:r>
          </m:sub>
        </m:sSub>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t</m:t>
            </m:r>
          </m:sup>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k1</m:t>
                </m:r>
              </m:sub>
            </m:sSub>
            <m:r>
              <m:rPr>
                <m:sty m:val="p"/>
              </m:rPr>
              <w:rPr>
                <w:rFonts w:ascii="Cambria Math" w:hAnsi="Cambria Math"/>
              </w:rPr>
              <m:t>dτ</m:t>
            </m:r>
          </m:e>
        </m:nary>
      </m:oMath>
      <w:r w:rsidR="006B074D" w:rsidRPr="00B33055">
        <w:rPr>
          <w:rFonts w:ascii="Cambria Math" w:hAnsi="Cambria Math"/>
        </w:rPr>
        <w:tab/>
        <w:t>(A-31)</w:t>
      </w:r>
    </w:p>
    <w:p w14:paraId="53941E04" w14:textId="77777777" w:rsidR="006B074D" w:rsidRPr="00B33055" w:rsidRDefault="006B074D" w:rsidP="006B074D">
      <w:r w:rsidRPr="00B33055">
        <w:t xml:space="preserve">Hence, Eq. A-27 can be re-written as </w:t>
      </w:r>
    </w:p>
    <w:p w14:paraId="74506A73" w14:textId="77777777" w:rsidR="006B074D" w:rsidRPr="00B33055" w:rsidRDefault="006B074D" w:rsidP="006B074D">
      <w:pPr>
        <w:rPr>
          <w:rFonts w:ascii="Cambria Math" w:hAnsi="Cambria Math"/>
        </w:rPr>
      </w:pPr>
      <m:oMath>
        <m:r>
          <m:rPr>
            <m:sty m:val="p"/>
          </m:rPr>
          <w:rPr>
            <w:rFonts w:ascii="Cambria Math" w:hAnsi="Cambria Math"/>
          </w:rPr>
          <m:t>-</m:t>
        </m:r>
        <m:nary>
          <m:naryPr>
            <m:chr m:val="∭"/>
            <m:limLoc m:val="undOvr"/>
            <m:subHide m:val="1"/>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r>
                      <m:rPr>
                        <m:sty m:val="p"/>
                      </m:rPr>
                      <w:rPr>
                        <w:rFonts w:ascii="Cambria Math" w:hAnsi="Cambria Math"/>
                      </w:rPr>
                      <m:t>ϕ</m:t>
                    </m:r>
                    <m:d>
                      <m:dPr>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l=1</m:t>
                            </m:r>
                          </m:sub>
                          <m:sup>
                            <m:r>
                              <m:rPr>
                                <m:sty m:val="p"/>
                              </m:rPr>
                              <w:rPr>
                                <w:rFonts w:ascii="Cambria Math" w:hAnsi="Cambria Math"/>
                              </w:rPr>
                              <m:t>2</m:t>
                            </m:r>
                          </m:sup>
                          <m:e>
                            <m:sSub>
                              <m:sSubPr>
                                <m:ctrlPr>
                                  <w:rPr>
                                    <w:rFonts w:ascii="Cambria Math" w:hAnsi="Cambria Math"/>
                                  </w:rPr>
                                </m:ctrlPr>
                              </m:sSubPr>
                              <m:e>
                                <m:r>
                                  <m:rPr>
                                    <m:sty m:val="p"/>
                                  </m:rPr>
                                  <w:rPr>
                                    <w:rFonts w:ascii="Cambria Math" w:hAnsi="Cambria Math"/>
                                  </w:rPr>
                                  <m:t>K</m:t>
                                </m:r>
                              </m:e>
                              <m:sub>
                                <m:r>
                                  <m:rPr>
                                    <m:sty m:val="p"/>
                                  </m:rPr>
                                  <w:rPr>
                                    <w:rFonts w:ascii="Cambria Math" w:hAnsi="Cambria Math"/>
                                  </w:rPr>
                                  <m:t>l</m:t>
                                </m:r>
                              </m:sub>
                            </m:sSub>
                            <m:sSub>
                              <m:sSubPr>
                                <m:ctrlPr>
                                  <w:rPr>
                                    <w:rFonts w:ascii="Cambria Math" w:hAnsi="Cambria Math"/>
                                  </w:rPr>
                                </m:ctrlPr>
                              </m:sSubPr>
                              <m:e>
                                <m:acc>
                                  <m:accPr>
                                    <m:ctrlPr>
                                      <w:rPr>
                                        <w:rFonts w:ascii="Cambria Math" w:hAnsi="Cambria Math"/>
                                      </w:rPr>
                                    </m:ctrlPr>
                                  </m:accPr>
                                  <m:e>
                                    <m:r>
                                      <m:rPr>
                                        <m:sty m:val="p"/>
                                      </m:rPr>
                                      <w:rPr>
                                        <w:rFonts w:ascii="Cambria Math" w:hAnsi="Cambria Math"/>
                                      </w:rPr>
                                      <m:t>S</m:t>
                                    </m:r>
                                  </m:e>
                                </m:acc>
                              </m:e>
                              <m:sub>
                                <m:r>
                                  <m:rPr>
                                    <m:sty m:val="p"/>
                                  </m:rPr>
                                  <w:rPr>
                                    <w:rFonts w:ascii="Cambria Math" w:hAnsi="Cambria Math"/>
                                  </w:rPr>
                                  <m:t>l</m:t>
                                </m:r>
                              </m:sub>
                            </m:sSub>
                          </m:e>
                        </m:nary>
                      </m:e>
                    </m:d>
                    <m:r>
                      <m:rPr>
                        <m:sty m:val="p"/>
                      </m:rPr>
                      <w:rPr>
                        <w:rFonts w:ascii="Cambria Math" w:hAnsi="Cambria Math"/>
                      </w:rPr>
                      <m:t>m</m:t>
                    </m:r>
                  </m:e>
                  <m:sub>
                    <m:r>
                      <m:rPr>
                        <m:sty m:val="p"/>
                      </m:rPr>
                      <w:rPr>
                        <w:rFonts w:ascii="Cambria Math" w:hAnsi="Cambria Math"/>
                      </w:rPr>
                      <m:t>0k1</m:t>
                    </m:r>
                  </m:sub>
                </m:sSub>
              </m:e>
            </m:d>
            <m:r>
              <m:rPr>
                <m:sty m:val="p"/>
              </m:rPr>
              <w:rPr>
                <w:rFonts w:ascii="Cambria Math" w:hAnsi="Cambria Math"/>
              </w:rPr>
              <m:t>d</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R</m:t>
                </m:r>
              </m:sub>
            </m:sSub>
          </m:e>
        </m:nary>
        <m:r>
          <m:rPr>
            <m:sty m:val="p"/>
          </m:rPr>
          <w:rPr>
            <w:rFonts w:ascii="Cambria Math" w:hAnsi="Cambria Math"/>
          </w:rPr>
          <m:t>+q</m:t>
        </m:r>
        <m:d>
          <m:dPr>
            <m:ctrlPr>
              <w:rPr>
                <w:rFonts w:ascii="Cambria Math" w:hAnsi="Cambria Math"/>
              </w:rPr>
            </m:ctrlPr>
          </m:dPr>
          <m:e>
            <m:sSub>
              <m:sSubPr>
                <m:ctrlPr>
                  <w:rPr>
                    <w:rFonts w:ascii="Cambria Math" w:hAnsi="Cambria Math"/>
                  </w:rPr>
                </m:ctrlPr>
              </m:sSubPr>
              <m:e>
                <m:r>
                  <m:rPr>
                    <m:sty m:val="p"/>
                  </m:rPr>
                  <w:rPr>
                    <w:rFonts w:ascii="Cambria Math" w:hAnsi="Cambria Math"/>
                  </w:rPr>
                  <m:t>m</m:t>
                </m:r>
              </m:e>
              <m:sub>
                <m:r>
                  <m:rPr>
                    <m:sty m:val="p"/>
                  </m:rPr>
                  <w:rPr>
                    <w:rFonts w:ascii="Cambria Math" w:hAnsi="Cambria Math"/>
                  </w:rPr>
                  <m:t>1k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1k</m:t>
                </m:r>
              </m:sub>
            </m:sSub>
          </m:e>
        </m:d>
        <m:r>
          <m:rPr>
            <m:sty m:val="p"/>
          </m:rPr>
          <w:rPr>
            <w:rFonts w:ascii="Cambria Math" w:hAnsi="Cambria Math"/>
          </w:rPr>
          <m:t>=0</m:t>
        </m:r>
      </m:oMath>
      <w:r w:rsidRPr="00B33055">
        <w:rPr>
          <w:rFonts w:ascii="Cambria Math" w:hAnsi="Cambria Math"/>
        </w:rPr>
        <w:tab/>
        <w:t>(A-32)</w:t>
      </w:r>
    </w:p>
    <w:p w14:paraId="4C10A64D" w14:textId="77777777" w:rsidR="006B074D" w:rsidRPr="00B33055" w:rsidRDefault="006B074D" w:rsidP="006B074D">
      <w:r w:rsidRPr="00B33055">
        <w:lastRenderedPageBreak/>
        <w:t>q is the constant total production rate.</w:t>
      </w:r>
    </w:p>
    <w:p w14:paraId="35C8C0CC" w14:textId="77777777" w:rsidR="006B074D" w:rsidRPr="00B33055" w:rsidRDefault="006B074D" w:rsidP="006B074D">
      <w:r w:rsidRPr="00B33055">
        <w:t>Define new term</w:t>
      </w:r>
    </w:p>
    <w:p w14:paraId="7199305E" w14:textId="77777777" w:rsidR="006B074D" w:rsidRPr="00B33055" w:rsidRDefault="00A53410" w:rsidP="006B074D">
      <w:pPr>
        <w:rPr>
          <w:rFonts w:ascii="Cambria Math" w:hAnsi="Cambria Math"/>
        </w:rPr>
      </w:pP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0k1</m:t>
            </m:r>
          </m:sub>
        </m:sSub>
        <m:r>
          <m:rPr>
            <m:sty m:val="p"/>
          </m:rPr>
          <w:rPr>
            <w:rFonts w:ascii="Cambria Math" w:hAnsi="Cambria Math"/>
          </w:rPr>
          <m:t>=</m:t>
        </m:r>
        <m:nary>
          <m:naryPr>
            <m:limLoc m:val="subSup"/>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sSub>
              <m:sSubPr>
                <m:ctrlPr>
                  <w:rPr>
                    <w:rFonts w:ascii="Cambria Math" w:hAnsi="Cambria Math"/>
                  </w:rPr>
                </m:ctrlPr>
              </m:sSubPr>
              <m:e>
                <m:r>
                  <m:rPr>
                    <m:sty m:val="p"/>
                  </m:rPr>
                  <w:rPr>
                    <w:rFonts w:ascii="Cambria Math" w:hAnsi="Cambria Math"/>
                  </w:rPr>
                  <m:t>f</m:t>
                </m:r>
              </m:e>
              <m:sub>
                <m:r>
                  <m:rPr>
                    <m:sty m:val="p"/>
                  </m:rPr>
                  <w:rPr>
                    <w:rFonts w:ascii="Cambria Math" w:hAnsi="Cambria Math"/>
                  </w:rPr>
                  <m:t>1</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k1</m:t>
                </m:r>
              </m:sub>
            </m:sSub>
            <m:r>
              <m:rPr>
                <m:sty m:val="p"/>
              </m:rPr>
              <w:rPr>
                <w:rFonts w:ascii="Cambria Math" w:hAnsi="Cambria Math"/>
              </w:rPr>
              <m:t>dτ</m:t>
            </m:r>
          </m:e>
        </m:nary>
      </m:oMath>
      <w:r w:rsidR="006B074D" w:rsidRPr="00B33055">
        <w:rPr>
          <w:rFonts w:ascii="Cambria Math" w:hAnsi="Cambria Math"/>
        </w:rPr>
        <w:tab/>
        <w:t>(A-33)</w:t>
      </w:r>
    </w:p>
    <w:p w14:paraId="1CE17352" w14:textId="572CA38A" w:rsidR="006B074D" w:rsidRPr="00B33055" w:rsidRDefault="006B074D" w:rsidP="006B074D">
      <w:r w:rsidRPr="00B33055">
        <w:t>Switching the order of integ</w:t>
      </w:r>
      <w:r w:rsidR="00B721FC">
        <w:t xml:space="preserve">ration and combining Eq. A-33, </w:t>
      </w:r>
      <w:r w:rsidRPr="00B33055">
        <w:t>Eq. A-32 turn</w:t>
      </w:r>
      <w:r w:rsidR="00B721FC">
        <w:t>s</w:t>
      </w:r>
      <w:r w:rsidRPr="00B33055">
        <w:t xml:space="preserve"> to </w:t>
      </w:r>
    </w:p>
    <w:p w14:paraId="1011DD4B" w14:textId="77777777" w:rsidR="006B074D" w:rsidRPr="00B33055" w:rsidRDefault="006B074D" w:rsidP="006B074D">
      <w:pPr>
        <w:rPr>
          <w:rFonts w:ascii="Cambria Math" w:hAnsi="Cambria Math"/>
        </w:rPr>
      </w:pPr>
      <m:oMath>
        <m:r>
          <m:rPr>
            <m:sty m:val="p"/>
          </m:rPr>
          <w:rPr>
            <w:rFonts w:ascii="Cambria Math" w:hAnsi="Cambria Math"/>
          </w:rPr>
          <m:t>-</m:t>
        </m:r>
        <m:d>
          <m:dPr>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l=1</m:t>
                </m:r>
              </m:sub>
              <m:sup>
                <m:r>
                  <m:rPr>
                    <m:sty m:val="p"/>
                  </m:rPr>
                  <w:rPr>
                    <w:rFonts w:ascii="Cambria Math" w:hAnsi="Cambria Math"/>
                  </w:rPr>
                  <m:t>2</m:t>
                </m:r>
              </m:sup>
              <m:e>
                <m:sSub>
                  <m:sSubPr>
                    <m:ctrlPr>
                      <w:rPr>
                        <w:rFonts w:ascii="Cambria Math" w:hAnsi="Cambria Math"/>
                      </w:rPr>
                    </m:ctrlPr>
                  </m:sSubPr>
                  <m:e>
                    <m:r>
                      <m:rPr>
                        <m:sty m:val="p"/>
                      </m:rPr>
                      <w:rPr>
                        <w:rFonts w:ascii="Cambria Math" w:hAnsi="Cambria Math"/>
                      </w:rPr>
                      <m:t>K</m:t>
                    </m:r>
                  </m:e>
                  <m:sub>
                    <m:r>
                      <m:rPr>
                        <m:sty m:val="p"/>
                      </m:rPr>
                      <w:rPr>
                        <w:rFonts w:ascii="Cambria Math" w:hAnsi="Cambria Math"/>
                      </w:rPr>
                      <m:t>l</m:t>
                    </m:r>
                  </m:sub>
                </m:sSub>
              </m:e>
            </m:nary>
          </m:e>
        </m:d>
        <m:nary>
          <m:naryPr>
            <m:chr m:val="∭"/>
            <m:limLoc m:val="undOvr"/>
            <m:subHide m:val="1"/>
            <m:supHide m:val="1"/>
            <m:ctrlPr>
              <w:rPr>
                <w:rFonts w:ascii="Cambria Math" w:hAnsi="Cambria Math"/>
              </w:rPr>
            </m:ctrlPr>
          </m:naryPr>
          <m:sub/>
          <m:sup/>
          <m:e>
            <m:d>
              <m:dPr>
                <m:ctrlPr>
                  <w:rPr>
                    <w:rFonts w:ascii="Cambria Math" w:hAnsi="Cambria Math"/>
                  </w:rPr>
                </m:ctrlPr>
              </m:dPr>
              <m:e>
                <m:r>
                  <m:rPr>
                    <m:sty m:val="p"/>
                  </m:rPr>
                  <w:rPr>
                    <w:rFonts w:ascii="Cambria Math" w:hAnsi="Cambria Math"/>
                  </w:rPr>
                  <m:t>ϕ</m:t>
                </m:r>
                <m:sSub>
                  <m:sSubPr>
                    <m:ctrlPr>
                      <w:rPr>
                        <w:rFonts w:ascii="Cambria Math" w:hAnsi="Cambria Math"/>
                      </w:rPr>
                    </m:ctrlPr>
                  </m:sSubPr>
                  <m:e>
                    <m:acc>
                      <m:accPr>
                        <m:ctrlPr>
                          <w:rPr>
                            <w:rFonts w:ascii="Cambria Math" w:hAnsi="Cambria Math"/>
                          </w:rPr>
                        </m:ctrlPr>
                      </m:accPr>
                      <m:e>
                        <m:r>
                          <m:rPr>
                            <m:sty m:val="p"/>
                          </m:rPr>
                          <w:rPr>
                            <w:rFonts w:ascii="Cambria Math" w:hAnsi="Cambria Math"/>
                          </w:rPr>
                          <m:t>S</m:t>
                        </m:r>
                      </m:e>
                    </m:acc>
                  </m:e>
                  <m:sub>
                    <m:r>
                      <m:rPr>
                        <m:sty m:val="p"/>
                      </m:rPr>
                      <w:rPr>
                        <w:rFonts w:ascii="Cambria Math" w:hAnsi="Cambria Math"/>
                      </w:rPr>
                      <m:t>l</m:t>
                    </m:r>
                  </m:sub>
                </m:sSub>
                <m:f>
                  <m:fPr>
                    <m:ctrlPr>
                      <w:rPr>
                        <w:rFonts w:ascii="Cambria Math" w:hAnsi="Cambria Math"/>
                      </w:rPr>
                    </m:ctrlPr>
                  </m:fPr>
                  <m:num>
                    <m:sSub>
                      <m:sSubPr>
                        <m:ctrlPr>
                          <w:rPr>
                            <w:rFonts w:ascii="Cambria Math" w:hAnsi="Cambria Math"/>
                          </w:rPr>
                        </m:ctrlPr>
                      </m:sSubPr>
                      <m:e>
                        <m:r>
                          <m:rPr>
                            <m:sty m:val="p"/>
                          </m:rPr>
                          <w:rPr>
                            <w:rFonts w:ascii="Cambria Math" w:hAnsi="Cambria Math"/>
                          </w:rPr>
                          <m:t>m</m:t>
                        </m:r>
                      </m:e>
                      <m:sub>
                        <m:r>
                          <m:rPr>
                            <m:sty m:val="p"/>
                          </m:rPr>
                          <w:rPr>
                            <w:rFonts w:ascii="Cambria Math" w:hAnsi="Cambria Math"/>
                          </w:rPr>
                          <m:t>0k1</m:t>
                        </m:r>
                      </m:sub>
                    </m:sSub>
                  </m:num>
                  <m:den>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0k1</m:t>
                        </m:r>
                      </m:sub>
                    </m:sSub>
                  </m:den>
                </m:f>
              </m:e>
            </m:d>
            <m:r>
              <m:rPr>
                <m:sty m:val="p"/>
              </m:rPr>
              <w:rPr>
                <w:rFonts w:ascii="Cambria Math" w:hAnsi="Cambria Math"/>
              </w:rPr>
              <m:t>d</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R</m:t>
                </m:r>
              </m:sub>
            </m:sSub>
          </m:e>
        </m:nary>
        <m:r>
          <m:rPr>
            <m:sty m:val="p"/>
          </m:rPr>
          <w:rPr>
            <w:rFonts w:ascii="Cambria Math" w:hAnsi="Cambria Math"/>
          </w:rPr>
          <m:t>+q</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m</m:t>
                    </m:r>
                  </m:e>
                  <m:sub>
                    <m:r>
                      <m:rPr>
                        <m:sty m:val="p"/>
                      </m:rPr>
                      <w:rPr>
                        <w:rFonts w:ascii="Cambria Math" w:hAnsi="Cambria Math"/>
                      </w:rPr>
                      <m:t>1k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1k</m:t>
                    </m:r>
                  </m:sub>
                </m:sSub>
              </m:num>
              <m:den>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0k1</m:t>
                    </m:r>
                  </m:sub>
                </m:sSub>
              </m:den>
            </m:f>
          </m:e>
        </m:d>
        <m:r>
          <m:rPr>
            <m:sty m:val="p"/>
          </m:rPr>
          <w:rPr>
            <w:rFonts w:ascii="Cambria Math" w:hAnsi="Cambria Math"/>
          </w:rPr>
          <m:t>=0</m:t>
        </m:r>
      </m:oMath>
      <w:r w:rsidRPr="00B33055">
        <w:rPr>
          <w:rFonts w:ascii="Cambria Math" w:hAnsi="Cambria Math"/>
        </w:rPr>
        <w:tab/>
        <w:t>(A-34)</w:t>
      </w:r>
    </w:p>
    <w:p w14:paraId="18634B2F" w14:textId="21661A53" w:rsidR="006B074D" w:rsidRPr="00B33055" w:rsidRDefault="000D000C" w:rsidP="006B074D">
      <w:r>
        <w:t>S</w:t>
      </w:r>
      <w:r w:rsidR="006B074D" w:rsidRPr="00B33055">
        <w:t>ubstituting ‘1’</w:t>
      </w:r>
      <w:r w:rsidR="008F03BC">
        <w:t xml:space="preserve"> and ‘2’ to ‘w’ and ‘o’, Eq. </w:t>
      </w:r>
      <w:r w:rsidR="006B074D" w:rsidRPr="00B33055">
        <w:t xml:space="preserve">A-34 becomes to </w:t>
      </w:r>
    </w:p>
    <w:p w14:paraId="344801BF" w14:textId="0C286D53" w:rsidR="006B074D" w:rsidRPr="00B33055" w:rsidRDefault="006B074D" w:rsidP="006B074D">
      <w:pPr>
        <w:rPr>
          <w:rFonts w:ascii="Cambria Math" w:hAnsi="Cambria Math"/>
        </w:rPr>
      </w:pPr>
      <m:oMath>
        <m:r>
          <m:rPr>
            <m:sty m:val="p"/>
          </m:rPr>
          <w:rPr>
            <w:rFonts w:ascii="Cambria Math" w:hAnsi="Cambria Math"/>
          </w:rPr>
          <m:t>-</m:t>
        </m:r>
        <m:d>
          <m:dPr>
            <m:begChr m:val="["/>
            <m:endChr m:val="]"/>
            <m:ctrlPr>
              <w:rPr>
                <w:rFonts w:ascii="Cambria Math" w:hAnsi="Cambria Math"/>
              </w:rPr>
            </m:ctrlPr>
          </m:dPr>
          <m:e>
            <m:nary>
              <m:naryPr>
                <m:chr m:val="∭"/>
                <m:limLoc m:val="undOvr"/>
                <m:subHide m:val="1"/>
                <m:supHide m:val="1"/>
                <m:ctrlPr>
                  <w:rPr>
                    <w:rFonts w:ascii="Cambria Math" w:hAnsi="Cambria Math"/>
                  </w:rPr>
                </m:ctrlPr>
              </m:naryPr>
              <m:sub/>
              <m:sup/>
              <m:e>
                <m:d>
                  <m:dPr>
                    <m:ctrlPr>
                      <w:rPr>
                        <w:rFonts w:ascii="Cambria Math" w:hAnsi="Cambria Math"/>
                      </w:rPr>
                    </m:ctrlPr>
                  </m:dPr>
                  <m:e>
                    <m:r>
                      <m:rPr>
                        <m:sty m:val="p"/>
                      </m:rPr>
                      <w:rPr>
                        <w:rFonts w:ascii="Cambria Math" w:hAnsi="Cambria Math"/>
                      </w:rPr>
                      <m:t>ϕ</m:t>
                    </m:r>
                    <m:sSub>
                      <m:sSubPr>
                        <m:ctrlPr>
                          <w:rPr>
                            <w:rFonts w:ascii="Cambria Math" w:hAnsi="Cambria Math"/>
                          </w:rPr>
                        </m:ctrlPr>
                      </m:sSubPr>
                      <m:e>
                        <m:acc>
                          <m:accPr>
                            <m:ctrlPr>
                              <w:rPr>
                                <w:rFonts w:ascii="Cambria Math" w:hAnsi="Cambria Math"/>
                              </w:rPr>
                            </m:ctrlPr>
                          </m:accPr>
                          <m:e>
                            <m:r>
                              <m:rPr>
                                <m:sty m:val="p"/>
                              </m:rPr>
                              <w:rPr>
                                <w:rFonts w:ascii="Cambria Math" w:hAnsi="Cambria Math"/>
                              </w:rPr>
                              <m:t>S</m:t>
                            </m:r>
                          </m:e>
                        </m:acc>
                      </m:e>
                      <m:sub>
                        <m:r>
                          <m:rPr>
                            <m:sty m:val="p"/>
                          </m:rPr>
                          <w:rPr>
                            <w:rFonts w:ascii="Cambria Math" w:hAnsi="Cambria Math"/>
                          </w:rPr>
                          <m:t>w</m:t>
                        </m:r>
                      </m:sub>
                    </m:sSub>
                    <m:f>
                      <m:fPr>
                        <m:ctrlPr>
                          <w:rPr>
                            <w:rFonts w:ascii="Cambria Math" w:hAnsi="Cambria Math"/>
                          </w:rPr>
                        </m:ctrlPr>
                      </m:fPr>
                      <m:num>
                        <m:sSub>
                          <m:sSubPr>
                            <m:ctrlPr>
                              <w:rPr>
                                <w:rFonts w:ascii="Cambria Math" w:hAnsi="Cambria Math"/>
                              </w:rPr>
                            </m:ctrlPr>
                          </m:sSubPr>
                          <m:e>
                            <m:r>
                              <m:rPr>
                                <m:sty m:val="p"/>
                              </m:rPr>
                              <w:rPr>
                                <w:rFonts w:ascii="Cambria Math" w:hAnsi="Cambria Math"/>
                              </w:rPr>
                              <m:t>m</m:t>
                            </m:r>
                          </m:e>
                          <m:sub>
                            <m:r>
                              <m:rPr>
                                <m:sty m:val="p"/>
                              </m:rPr>
                              <w:rPr>
                                <w:rFonts w:ascii="Cambria Math" w:hAnsi="Cambria Math"/>
                              </w:rPr>
                              <m:t>0kw</m:t>
                            </m:r>
                          </m:sub>
                        </m:sSub>
                      </m:num>
                      <m:den>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0kw</m:t>
                            </m:r>
                          </m:sub>
                        </m:sSub>
                      </m:den>
                    </m:f>
                  </m:e>
                </m:d>
                <m:r>
                  <m:rPr>
                    <m:sty m:val="p"/>
                  </m:rPr>
                  <w:rPr>
                    <w:rFonts w:ascii="Cambria Math" w:hAnsi="Cambria Math"/>
                  </w:rPr>
                  <m:t>d</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R</m:t>
                    </m:r>
                  </m:sub>
                </m:sSub>
              </m:e>
            </m:nary>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o</m:t>
                </m:r>
              </m:sub>
            </m:sSub>
            <m:nary>
              <m:naryPr>
                <m:chr m:val="∭"/>
                <m:limLoc m:val="undOvr"/>
                <m:subHide m:val="1"/>
                <m:supHide m:val="1"/>
                <m:ctrlPr>
                  <w:rPr>
                    <w:rFonts w:ascii="Cambria Math" w:hAnsi="Cambria Math"/>
                  </w:rPr>
                </m:ctrlPr>
              </m:naryPr>
              <m:sub/>
              <m:sup/>
              <m:e>
                <m:d>
                  <m:dPr>
                    <m:ctrlPr>
                      <w:rPr>
                        <w:rFonts w:ascii="Cambria Math" w:hAnsi="Cambria Math"/>
                      </w:rPr>
                    </m:ctrlPr>
                  </m:dPr>
                  <m:e>
                    <m:r>
                      <m:rPr>
                        <m:sty m:val="p"/>
                      </m:rPr>
                      <w:rPr>
                        <w:rFonts w:ascii="Cambria Math" w:hAnsi="Cambria Math"/>
                      </w:rPr>
                      <m:t>ϕ</m:t>
                    </m:r>
                    <m:sSub>
                      <m:sSubPr>
                        <m:ctrlPr>
                          <w:rPr>
                            <w:rFonts w:ascii="Cambria Math" w:hAnsi="Cambria Math"/>
                          </w:rPr>
                        </m:ctrlPr>
                      </m:sSubPr>
                      <m:e>
                        <m:acc>
                          <m:accPr>
                            <m:ctrlPr>
                              <w:rPr>
                                <w:rFonts w:ascii="Cambria Math" w:hAnsi="Cambria Math"/>
                              </w:rPr>
                            </m:ctrlPr>
                          </m:accPr>
                          <m:e>
                            <m:r>
                              <m:rPr>
                                <m:sty m:val="p"/>
                              </m:rPr>
                              <w:rPr>
                                <w:rFonts w:ascii="Cambria Math" w:hAnsi="Cambria Math"/>
                              </w:rPr>
                              <m:t>S</m:t>
                            </m:r>
                          </m:e>
                        </m:acc>
                      </m:e>
                      <m:sub>
                        <m:r>
                          <m:rPr>
                            <m:sty m:val="p"/>
                          </m:rPr>
                          <w:rPr>
                            <w:rFonts w:ascii="Cambria Math" w:hAnsi="Cambria Math"/>
                          </w:rPr>
                          <m:t>o</m:t>
                        </m:r>
                      </m:sub>
                    </m:sSub>
                    <m:f>
                      <m:fPr>
                        <m:ctrlPr>
                          <w:rPr>
                            <w:rFonts w:ascii="Cambria Math" w:hAnsi="Cambria Math"/>
                          </w:rPr>
                        </m:ctrlPr>
                      </m:fPr>
                      <m:num>
                        <m:sSub>
                          <m:sSubPr>
                            <m:ctrlPr>
                              <w:rPr>
                                <w:rFonts w:ascii="Cambria Math" w:hAnsi="Cambria Math"/>
                              </w:rPr>
                            </m:ctrlPr>
                          </m:sSubPr>
                          <m:e>
                            <m:r>
                              <m:rPr>
                                <m:sty m:val="p"/>
                              </m:rPr>
                              <w:rPr>
                                <w:rFonts w:ascii="Cambria Math" w:hAnsi="Cambria Math"/>
                              </w:rPr>
                              <m:t>m</m:t>
                            </m:r>
                          </m:e>
                          <m:sub>
                            <m:r>
                              <m:rPr>
                                <m:sty m:val="p"/>
                              </m:rPr>
                              <w:rPr>
                                <w:rFonts w:ascii="Cambria Math" w:hAnsi="Cambria Math"/>
                              </w:rPr>
                              <m:t>0kw</m:t>
                            </m:r>
                          </m:sub>
                        </m:sSub>
                      </m:num>
                      <m:den>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0kw</m:t>
                            </m:r>
                          </m:sub>
                        </m:sSub>
                      </m:den>
                    </m:f>
                  </m:e>
                </m:d>
                <m:r>
                  <m:rPr>
                    <m:sty m:val="p"/>
                  </m:rPr>
                  <w:rPr>
                    <w:rFonts w:ascii="Cambria Math" w:hAnsi="Cambria Math"/>
                  </w:rPr>
                  <m:t>d</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R</m:t>
                    </m:r>
                  </m:sub>
                </m:sSub>
              </m:e>
            </m:nary>
          </m:e>
        </m:d>
        <m:r>
          <m:rPr>
            <m:sty m:val="p"/>
          </m:rPr>
          <w:rPr>
            <w:rFonts w:ascii="Cambria Math" w:hAnsi="Cambria Math"/>
          </w:rPr>
          <m:t>+q</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m</m:t>
                    </m:r>
                  </m:e>
                  <m:sub>
                    <m:r>
                      <m:rPr>
                        <m:sty m:val="p"/>
                      </m:rPr>
                      <w:rPr>
                        <w:rFonts w:ascii="Cambria Math" w:hAnsi="Cambria Math"/>
                      </w:rPr>
                      <m:t>1k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1k</m:t>
                    </m:r>
                  </m:sub>
                </m:sSub>
              </m:num>
              <m:den>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0kw</m:t>
                    </m:r>
                  </m:sub>
                </m:sSub>
              </m:den>
            </m:f>
          </m:e>
        </m:d>
        <m:r>
          <m:rPr>
            <m:sty m:val="p"/>
          </m:rPr>
          <w:rPr>
            <w:rFonts w:ascii="Cambria Math" w:hAnsi="Cambria Math"/>
          </w:rPr>
          <m:t>=0</m:t>
        </m:r>
      </m:oMath>
      <w:r w:rsidRPr="00B33055">
        <w:rPr>
          <w:rFonts w:ascii="Cambria Math" w:hAnsi="Cambria Math"/>
        </w:rPr>
        <w:tab/>
        <w:t>(A-35)</w:t>
      </w:r>
    </w:p>
    <w:p w14:paraId="4977D4A7" w14:textId="4F95B6B7" w:rsidR="006B074D" w:rsidRPr="00B33055" w:rsidRDefault="006B074D" w:rsidP="006B074D">
      <w:r w:rsidRPr="00B33055">
        <w:t>For a conservative tracer, how much water is contacted at any given time t is</w:t>
      </w:r>
      <w:r w:rsidR="00B721FC">
        <w:t xml:space="preserve"> given</w:t>
      </w:r>
    </w:p>
    <w:p w14:paraId="1525E376" w14:textId="77777777" w:rsidR="006B074D" w:rsidRPr="00B33055" w:rsidRDefault="00A53410" w:rsidP="006B074D">
      <w:pPr>
        <w:rPr>
          <w:rFonts w:ascii="Cambria Math" w:hAnsi="Cambria Math"/>
        </w:rPr>
      </w:pP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w</m:t>
            </m:r>
          </m:sub>
        </m:sSub>
        <m:r>
          <m:rPr>
            <m:sty m:val="p"/>
          </m:rPr>
          <w:rPr>
            <w:rFonts w:ascii="Cambria Math" w:hAnsi="Cambria Math"/>
          </w:rPr>
          <m:t>=</m:t>
        </m:r>
        <m:nary>
          <m:naryPr>
            <m:chr m:val="∭"/>
            <m:limLoc m:val="undOvr"/>
            <m:subHide m:val="1"/>
            <m:supHide m:val="1"/>
            <m:ctrlPr>
              <w:rPr>
                <w:rFonts w:ascii="Cambria Math" w:hAnsi="Cambria Math"/>
              </w:rPr>
            </m:ctrlPr>
          </m:naryPr>
          <m:sub/>
          <m:sup/>
          <m:e>
            <m:d>
              <m:dPr>
                <m:ctrlPr>
                  <w:rPr>
                    <w:rFonts w:ascii="Cambria Math" w:hAnsi="Cambria Math"/>
                  </w:rPr>
                </m:ctrlPr>
              </m:dPr>
              <m:e>
                <m:r>
                  <m:rPr>
                    <m:sty m:val="p"/>
                  </m:rPr>
                  <w:rPr>
                    <w:rFonts w:ascii="Cambria Math" w:hAnsi="Cambria Math"/>
                  </w:rPr>
                  <m:t>ϕ</m:t>
                </m:r>
                <m:sSub>
                  <m:sSubPr>
                    <m:ctrlPr>
                      <w:rPr>
                        <w:rFonts w:ascii="Cambria Math" w:hAnsi="Cambria Math"/>
                      </w:rPr>
                    </m:ctrlPr>
                  </m:sSubPr>
                  <m:e>
                    <m:acc>
                      <m:accPr>
                        <m:ctrlPr>
                          <w:rPr>
                            <w:rFonts w:ascii="Cambria Math" w:hAnsi="Cambria Math"/>
                          </w:rPr>
                        </m:ctrlPr>
                      </m:accPr>
                      <m:e>
                        <m:r>
                          <m:rPr>
                            <m:sty m:val="p"/>
                          </m:rPr>
                          <w:rPr>
                            <w:rFonts w:ascii="Cambria Math" w:hAnsi="Cambria Math"/>
                          </w:rPr>
                          <m:t>S</m:t>
                        </m:r>
                      </m:e>
                    </m:acc>
                  </m:e>
                  <m:sub>
                    <m:r>
                      <m:rPr>
                        <m:sty m:val="p"/>
                      </m:rPr>
                      <w:rPr>
                        <w:rFonts w:ascii="Cambria Math" w:hAnsi="Cambria Math"/>
                      </w:rPr>
                      <m:t>w</m:t>
                    </m:r>
                  </m:sub>
                </m:sSub>
                <m:f>
                  <m:fPr>
                    <m:ctrlPr>
                      <w:rPr>
                        <w:rFonts w:ascii="Cambria Math" w:hAnsi="Cambria Math"/>
                      </w:rPr>
                    </m:ctrlPr>
                  </m:fPr>
                  <m:num>
                    <m:sSub>
                      <m:sSubPr>
                        <m:ctrlPr>
                          <w:rPr>
                            <w:rFonts w:ascii="Cambria Math" w:hAnsi="Cambria Math"/>
                          </w:rPr>
                        </m:ctrlPr>
                      </m:sSubPr>
                      <m:e>
                        <m:r>
                          <m:rPr>
                            <m:sty m:val="p"/>
                          </m:rPr>
                          <w:rPr>
                            <w:rFonts w:ascii="Cambria Math" w:hAnsi="Cambria Math"/>
                          </w:rPr>
                          <m:t>m</m:t>
                        </m:r>
                      </m:e>
                      <m:sub>
                        <m:r>
                          <m:rPr>
                            <m:sty m:val="p"/>
                          </m:rPr>
                          <w:rPr>
                            <w:rFonts w:ascii="Cambria Math" w:hAnsi="Cambria Math"/>
                          </w:rPr>
                          <m:t>0kw</m:t>
                        </m:r>
                      </m:sub>
                    </m:sSub>
                  </m:num>
                  <m:den>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0kw</m:t>
                        </m:r>
                      </m:sub>
                    </m:sSub>
                  </m:den>
                </m:f>
              </m:e>
            </m:d>
            <m:r>
              <m:rPr>
                <m:sty m:val="p"/>
              </m:rPr>
              <w:rPr>
                <w:rFonts w:ascii="Cambria Math" w:hAnsi="Cambria Math"/>
              </w:rPr>
              <m:t>d</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R</m:t>
                </m:r>
              </m:sub>
            </m:sSub>
          </m:e>
        </m:nary>
        <m:r>
          <m:rPr>
            <m:sty m:val="p"/>
          </m:rPr>
          <w:rPr>
            <w:rFonts w:ascii="Cambria Math" w:hAnsi="Cambria Math"/>
          </w:rPr>
          <m:t>=q</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m</m:t>
                    </m:r>
                  </m:e>
                  <m:sub>
                    <m:r>
                      <m:rPr>
                        <m:sty m:val="p"/>
                      </m:rPr>
                      <w:rPr>
                        <w:rFonts w:ascii="Cambria Math" w:hAnsi="Cambria Math"/>
                      </w:rPr>
                      <m:t>1k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1k</m:t>
                    </m:r>
                  </m:sub>
                </m:sSub>
              </m:num>
              <m:den>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0kw</m:t>
                    </m:r>
                  </m:sub>
                </m:sSub>
              </m:den>
            </m:f>
          </m:e>
        </m:d>
      </m:oMath>
      <w:r w:rsidR="006B074D" w:rsidRPr="00B33055">
        <w:rPr>
          <w:rFonts w:ascii="Cambria Math" w:hAnsi="Cambria Math"/>
        </w:rPr>
        <w:tab/>
        <w:t>(A-36)</w:t>
      </w:r>
    </w:p>
    <w:p w14:paraId="6993E2B5" w14:textId="77777777" w:rsidR="006B074D" w:rsidRPr="00B33055" w:rsidRDefault="006B074D" w:rsidP="006B074D">
      <w:r w:rsidRPr="00B33055">
        <w:t xml:space="preserve">For a tracer with partition coefficient equals to 1, and knowing that </w:t>
      </w:r>
      <w:r w:rsidRPr="00B33055">
        <w:rPr>
          <w:noProof/>
          <w:position w:val="-12"/>
          <w:lang w:eastAsia="zh-CN" w:bidi="ar-SA"/>
        </w:rPr>
        <w:drawing>
          <wp:inline distT="0" distB="0" distL="0" distR="0" wp14:anchorId="6442F532" wp14:editId="77C55B9F">
            <wp:extent cx="659765" cy="254635"/>
            <wp:effectExtent l="0" t="0" r="0" b="0"/>
            <wp:docPr id="2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59765" cy="254635"/>
                    </a:xfrm>
                    <a:prstGeom prst="rect">
                      <a:avLst/>
                    </a:prstGeom>
                    <a:noFill/>
                    <a:ln>
                      <a:noFill/>
                    </a:ln>
                  </pic:spPr>
                </pic:pic>
              </a:graphicData>
            </a:graphic>
          </wp:inline>
        </w:drawing>
      </w:r>
    </w:p>
    <w:p w14:paraId="696D2679" w14:textId="5CC4A45E" w:rsidR="006B074D" w:rsidRPr="00B33055" w:rsidRDefault="00B721FC" w:rsidP="006B074D">
      <w:r>
        <w:t>The</w:t>
      </w:r>
      <w:r w:rsidR="006B074D" w:rsidRPr="00B33055">
        <w:t xml:space="preserve"> pore volume contacted at time t</w:t>
      </w:r>
    </w:p>
    <w:p w14:paraId="1B69DF4E" w14:textId="77777777" w:rsidR="006B074D" w:rsidRPr="00B33055" w:rsidRDefault="00A53410" w:rsidP="006B074D">
      <w:pPr>
        <w:rPr>
          <w:rFonts w:ascii="Cambria Math" w:hAnsi="Cambria Math"/>
        </w:rPr>
      </w:pP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swept</m:t>
            </m:r>
          </m:sub>
        </m:sSub>
        <m:r>
          <m:rPr>
            <m:sty m:val="p"/>
          </m:rPr>
          <w:rPr>
            <w:rFonts w:ascii="Cambria Math" w:hAnsi="Cambria Math"/>
          </w:rPr>
          <m:t>=</m:t>
        </m:r>
        <m:nary>
          <m:naryPr>
            <m:chr m:val="∭"/>
            <m:limLoc m:val="undOvr"/>
            <m:subHide m:val="1"/>
            <m:supHide m:val="1"/>
            <m:ctrlPr>
              <w:rPr>
                <w:rFonts w:ascii="Cambria Math" w:hAnsi="Cambria Math"/>
              </w:rPr>
            </m:ctrlPr>
          </m:naryPr>
          <m:sub/>
          <m:sup/>
          <m:e>
            <m:d>
              <m:dPr>
                <m:ctrlPr>
                  <w:rPr>
                    <w:rFonts w:ascii="Cambria Math" w:hAnsi="Cambria Math"/>
                  </w:rPr>
                </m:ctrlPr>
              </m:dPr>
              <m:e>
                <m:r>
                  <m:rPr>
                    <m:sty m:val="p"/>
                  </m:rPr>
                  <w:rPr>
                    <w:rFonts w:ascii="Cambria Math" w:hAnsi="Cambria Math"/>
                  </w:rPr>
                  <m:t>ϕ</m:t>
                </m:r>
                <m:f>
                  <m:fPr>
                    <m:ctrlPr>
                      <w:rPr>
                        <w:rFonts w:ascii="Cambria Math" w:hAnsi="Cambria Math"/>
                      </w:rPr>
                    </m:ctrlPr>
                  </m:fPr>
                  <m:num>
                    <m:sSub>
                      <m:sSubPr>
                        <m:ctrlPr>
                          <w:rPr>
                            <w:rFonts w:ascii="Cambria Math" w:hAnsi="Cambria Math"/>
                          </w:rPr>
                        </m:ctrlPr>
                      </m:sSubPr>
                      <m:e>
                        <m:r>
                          <m:rPr>
                            <m:sty m:val="p"/>
                          </m:rPr>
                          <w:rPr>
                            <w:rFonts w:ascii="Cambria Math" w:hAnsi="Cambria Math"/>
                          </w:rPr>
                          <m:t>m</m:t>
                        </m:r>
                      </m:e>
                      <m:sub>
                        <m:r>
                          <m:rPr>
                            <m:sty m:val="p"/>
                          </m:rPr>
                          <w:rPr>
                            <w:rFonts w:ascii="Cambria Math" w:hAnsi="Cambria Math"/>
                          </w:rPr>
                          <m:t>0kw</m:t>
                        </m:r>
                      </m:sub>
                    </m:sSub>
                  </m:num>
                  <m:den>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0kw</m:t>
                        </m:r>
                      </m:sub>
                    </m:sSub>
                  </m:den>
                </m:f>
              </m:e>
            </m:d>
            <m:r>
              <m:rPr>
                <m:sty m:val="p"/>
              </m:rPr>
              <w:rPr>
                <w:rFonts w:ascii="Cambria Math" w:hAnsi="Cambria Math"/>
              </w:rPr>
              <m:t>d</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R</m:t>
                </m:r>
              </m:sub>
            </m:sSub>
          </m:e>
        </m:nary>
        <m:r>
          <m:rPr>
            <m:sty m:val="p"/>
          </m:rPr>
          <w:rPr>
            <w:rFonts w:ascii="Cambria Math" w:hAnsi="Cambria Math"/>
          </w:rPr>
          <m:t>=q</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m</m:t>
                    </m:r>
                  </m:e>
                  <m:sub>
                    <m:r>
                      <m:rPr>
                        <m:sty m:val="p"/>
                      </m:rPr>
                      <w:rPr>
                        <w:rFonts w:ascii="Cambria Math" w:hAnsi="Cambria Math"/>
                      </w:rPr>
                      <m:t>1k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1k</m:t>
                    </m:r>
                  </m:sub>
                </m:sSub>
              </m:num>
              <m:den>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0kw</m:t>
                    </m:r>
                  </m:sub>
                </m:sSub>
              </m:den>
            </m:f>
          </m:e>
        </m:d>
      </m:oMath>
      <w:r w:rsidR="006B074D" w:rsidRPr="00B33055">
        <w:rPr>
          <w:rFonts w:ascii="Cambria Math" w:hAnsi="Cambria Math"/>
        </w:rPr>
        <w:tab/>
        <w:t>(A-37)</w:t>
      </w:r>
    </w:p>
    <w:p w14:paraId="47A863AA" w14:textId="77777777" w:rsidR="006B074D" w:rsidRPr="00B33055" w:rsidRDefault="006B074D" w:rsidP="006B074D">
      <w:r w:rsidRPr="00B33055">
        <w:t>The residence time can be obtained by</w:t>
      </w:r>
    </w:p>
    <w:p w14:paraId="220450AB" w14:textId="77777777" w:rsidR="006B074D" w:rsidRPr="00B33055" w:rsidRDefault="00A53410" w:rsidP="006B074D">
      <w:pPr>
        <w:rPr>
          <w:rFonts w:ascii="Cambria Math" w:hAnsi="Cambria Math"/>
        </w:rPr>
      </w:pP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k</m:t>
            </m:r>
          </m:sub>
        </m:sSub>
        <m:r>
          <m:rPr>
            <m:sty m:val="p"/>
          </m:rPr>
          <w:rPr>
            <w:rFonts w:ascii="Cambria Math" w:hAnsi="Cambria Math"/>
          </w:rPr>
          <m:t>=</m:t>
        </m:r>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lim</m:t>
                </m:r>
              </m:e>
              <m:lim>
                <m:r>
                  <m:rPr>
                    <m:sty m:val="p"/>
                  </m:rPr>
                  <w:rPr>
                    <w:rFonts w:ascii="Cambria Math" w:hAnsi="Cambria Math"/>
                  </w:rPr>
                  <m:t>t→∞</m:t>
                </m:r>
              </m:lim>
            </m:limLow>
          </m:fName>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m</m:t>
                        </m:r>
                      </m:e>
                      <m:sub>
                        <m:r>
                          <m:rPr>
                            <m:sty m:val="p"/>
                          </m:rPr>
                          <w:rPr>
                            <w:rFonts w:ascii="Cambria Math" w:hAnsi="Cambria Math"/>
                          </w:rPr>
                          <m:t>1k</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1k</m:t>
                        </m:r>
                      </m:sub>
                    </m:sSub>
                  </m:num>
                  <m:den>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0kw</m:t>
                        </m:r>
                      </m:sub>
                    </m:sSub>
                  </m:den>
                </m:f>
              </m:e>
            </m:d>
          </m:e>
        </m:func>
        <m:r>
          <m:rPr>
            <m:sty m:val="p"/>
          </m:rPr>
          <w:rPr>
            <w:rFonts w:ascii="Cambria Math" w:hAnsi="Cambria Math"/>
          </w:rPr>
          <m:t>=</m:t>
        </m:r>
        <m:f>
          <m:fPr>
            <m:ctrlPr>
              <w:rPr>
                <w:rFonts w:ascii="Cambria Math" w:hAnsi="Cambria Math"/>
              </w:rPr>
            </m:ctrlPr>
          </m:fPr>
          <m:num>
            <m:nary>
              <m:naryPr>
                <m:limLoc m:val="undOvr"/>
                <m:ctrlPr>
                  <w:rPr>
                    <w:rFonts w:ascii="Cambria Math" w:hAnsi="Cambria Math"/>
                  </w:rPr>
                </m:ctrlPr>
              </m:naryPr>
              <m:sub>
                <m:r>
                  <m:rPr>
                    <m:sty m:val="p"/>
                  </m:rPr>
                  <w:rPr>
                    <w:rFonts w:ascii="Cambria Math" w:hAnsi="Cambria Math"/>
                  </w:rPr>
                  <m:t>0</m:t>
                </m:r>
              </m:sub>
              <m:sup>
                <m:r>
                  <m:rPr>
                    <m:sty m:val="p"/>
                  </m:rPr>
                  <w:rPr>
                    <w:rFonts w:ascii="Cambria Math" w:hAnsi="Cambria Math"/>
                  </w:rPr>
                  <m:t>∞</m:t>
                </m:r>
              </m:sup>
              <m:e>
                <m:r>
                  <m:rPr>
                    <m:sty m:val="p"/>
                  </m:rPr>
                  <w:rPr>
                    <w:rFonts w:ascii="Cambria Math" w:hAnsi="Cambria Math"/>
                  </w:rPr>
                  <m:t>τ</m:t>
                </m:r>
                <m:d>
                  <m:dPr>
                    <m:ctrlPr>
                      <w:rPr>
                        <w:rFonts w:ascii="Cambria Math" w:hAnsi="Cambria Math"/>
                      </w:rPr>
                    </m:ctrlPr>
                  </m:dPr>
                  <m:e>
                    <m:nary>
                      <m:naryPr>
                        <m:chr m:val="∑"/>
                        <m:limLoc m:val="undOvr"/>
                        <m:ctrlPr>
                          <w:rPr>
                            <w:rFonts w:ascii="Cambria Math" w:hAnsi="Cambria Math"/>
                          </w:rPr>
                        </m:ctrlPr>
                      </m:naryPr>
                      <m:sub>
                        <m:r>
                          <m:rPr>
                            <m:sty m:val="p"/>
                          </m:rPr>
                          <w:rPr>
                            <w:rFonts w:ascii="Cambria Math" w:hAnsi="Cambria Math"/>
                          </w:rPr>
                          <m:t>l=1</m:t>
                        </m:r>
                      </m:sub>
                      <m:sup>
                        <m:r>
                          <m:rPr>
                            <m:sty m:val="p"/>
                          </m:rPr>
                          <w:rPr>
                            <w:rFonts w:ascii="Cambria Math" w:hAnsi="Cambria Math"/>
                          </w:rPr>
                          <m:t>2</m:t>
                        </m:r>
                      </m:sup>
                      <m:e>
                        <m:sSub>
                          <m:sSubPr>
                            <m:ctrlPr>
                              <w:rPr>
                                <w:rFonts w:ascii="Cambria Math" w:hAnsi="Cambria Math"/>
                              </w:rPr>
                            </m:ctrlPr>
                          </m:sSubPr>
                          <m:e>
                            <m:r>
                              <m:rPr>
                                <m:sty m:val="p"/>
                              </m:rPr>
                              <w:rPr>
                                <w:rFonts w:ascii="Cambria Math" w:hAnsi="Cambria Math"/>
                              </w:rPr>
                              <m:t>f</m:t>
                            </m:r>
                          </m:e>
                          <m:sub>
                            <m:r>
                              <m:rPr>
                                <m:sty m:val="p"/>
                              </m:rPr>
                              <w:rPr>
                                <w:rFonts w:ascii="Cambria Math" w:hAnsi="Cambria Math"/>
                              </w:rPr>
                              <m:t>l</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kl</m:t>
                            </m:r>
                          </m:sub>
                        </m:sSub>
                      </m:e>
                    </m:nary>
                  </m:e>
                </m:d>
                <m:r>
                  <m:rPr>
                    <m:sty m:val="p"/>
                  </m:rPr>
                  <w:rPr>
                    <w:rFonts w:ascii="Cambria Math" w:hAnsi="Cambria Math"/>
                  </w:rPr>
                  <m:t>dτ</m:t>
                </m:r>
              </m:e>
            </m:nary>
          </m:num>
          <m:den>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0kw</m:t>
                </m:r>
              </m:sub>
            </m:sSub>
          </m:den>
        </m:f>
      </m:oMath>
      <w:r w:rsidR="006B074D" w:rsidRPr="00B33055">
        <w:rPr>
          <w:rFonts w:ascii="Cambria Math" w:hAnsi="Cambria Math"/>
        </w:rPr>
        <w:tab/>
        <w:t>(A-38)</w:t>
      </w:r>
    </w:p>
    <w:p w14:paraId="1A9776C8" w14:textId="5306A3D8" w:rsidR="006B074D" w:rsidRPr="00B33055" w:rsidRDefault="006B074D" w:rsidP="006B074D">
      <w:r w:rsidRPr="00B33055">
        <w:t>In SWCTT, the swept pore volume of two tracers with different partition coefficien</w:t>
      </w:r>
      <w:r w:rsidR="00B721FC">
        <w:t>t may be different. Therefore, a</w:t>
      </w:r>
      <w:r w:rsidRPr="00B33055">
        <w:t xml:space="preserve"> ratio R </w:t>
      </w:r>
      <w:r w:rsidR="00B721FC">
        <w:t xml:space="preserve">is introduced </w:t>
      </w:r>
      <w:r w:rsidRPr="00B33055">
        <w:t>here</w:t>
      </w:r>
    </w:p>
    <w:p w14:paraId="3FB49526" w14:textId="77777777" w:rsidR="006B074D" w:rsidRPr="00B33055" w:rsidRDefault="006B074D" w:rsidP="006B074D">
      <w:pPr>
        <w:rPr>
          <w:rFonts w:ascii="Cambria Math" w:hAnsi="Cambria Math"/>
        </w:rPr>
      </w:pPr>
      <m:oMath>
        <m:r>
          <m:rPr>
            <m:sty m:val="p"/>
          </m:rPr>
          <w:rPr>
            <w:rFonts w:ascii="Cambria Math" w:hAnsi="Cambria Math"/>
          </w:rPr>
          <m:t>R=</m:t>
        </m:r>
        <m:f>
          <m:fPr>
            <m:ctrlPr>
              <w:rPr>
                <w:rFonts w:ascii="Cambria Math" w:hAnsi="Cambria Math"/>
              </w:rPr>
            </m:ctrlPr>
          </m:fPr>
          <m:num>
            <m:sSub>
              <m:sSubPr>
                <m:ctrlPr>
                  <w:rPr>
                    <w:rFonts w:ascii="Cambria Math" w:hAnsi="Cambria Math"/>
                  </w:rPr>
                </m:ctrlPr>
              </m:sSubPr>
              <m:e>
                <m:r>
                  <m:rPr>
                    <m:sty m:val="p"/>
                  </m:rPr>
                  <w:rPr>
                    <w:rFonts w:ascii="Cambria Math" w:hAnsi="Cambria Math"/>
                  </w:rPr>
                  <m:t>V</m:t>
                </m:r>
              </m:e>
              <m:sub>
                <m:r>
                  <m:rPr>
                    <m:sty m:val="p"/>
                  </m:rPr>
                  <w:rPr>
                    <w:rFonts w:ascii="Cambria Math" w:hAnsi="Cambria Math"/>
                  </w:rPr>
                  <m:t>swept,tracer 1</m:t>
                </m:r>
              </m:sub>
            </m:sSub>
          </m:num>
          <m:den>
            <m:sSub>
              <m:sSubPr>
                <m:ctrlPr>
                  <w:rPr>
                    <w:rFonts w:ascii="Cambria Math" w:hAnsi="Cambria Math"/>
                  </w:rPr>
                </m:ctrlPr>
              </m:sSubPr>
              <m:e>
                <m:r>
                  <m:rPr>
                    <m:sty m:val="p"/>
                  </m:rPr>
                  <w:rPr>
                    <w:rFonts w:ascii="Cambria Math" w:hAnsi="Cambria Math"/>
                  </w:rPr>
                  <m:t>V</m:t>
                </m:r>
              </m:e>
              <m:sub>
                <m:r>
                  <m:rPr>
                    <m:sty m:val="p"/>
                  </m:rPr>
                  <w:rPr>
                    <w:rFonts w:ascii="Cambria Math" w:hAnsi="Cambria Math"/>
                  </w:rPr>
                  <m:t>swept,tracer 2</m:t>
                </m:r>
              </m:sub>
            </m:sSub>
          </m:den>
        </m:f>
      </m:oMath>
      <w:r w:rsidRPr="00B33055">
        <w:rPr>
          <w:rFonts w:ascii="Cambria Math" w:hAnsi="Cambria Math"/>
        </w:rPr>
        <w:tab/>
        <w:t>(A-39)</w:t>
      </w:r>
    </w:p>
    <w:p w14:paraId="0DCA9904" w14:textId="77777777" w:rsidR="006B074D" w:rsidRPr="00B33055" w:rsidRDefault="006B074D" w:rsidP="006B074D">
      <w:r w:rsidRPr="00B33055">
        <w:t>Hence, for two tracers whose partition coefficients between oil and water are K</w:t>
      </w:r>
      <w:r w:rsidRPr="00B33055">
        <w:rPr>
          <w:vertAlign w:val="subscript"/>
        </w:rPr>
        <w:t>1</w:t>
      </w:r>
      <w:r w:rsidRPr="00B33055">
        <w:t xml:space="preserve"> and K</w:t>
      </w:r>
      <w:r w:rsidRPr="00B33055">
        <w:rPr>
          <w:vertAlign w:val="subscript"/>
        </w:rPr>
        <w:t>2</w:t>
      </w:r>
      <w:r w:rsidRPr="00B33055">
        <w:t xml:space="preserve"> </w:t>
      </w:r>
    </w:p>
    <w:p w14:paraId="305CE97F" w14:textId="77777777" w:rsidR="006B074D" w:rsidRPr="00B33055" w:rsidRDefault="00A53410" w:rsidP="006B074D">
      <w:pPr>
        <w:rPr>
          <w:rFonts w:ascii="Cambria Math" w:hAnsi="Cambria Math"/>
        </w:rPr>
      </w:pPr>
      <m:oMath>
        <m:sSub>
          <m:sSubPr>
            <m:ctrlPr>
              <w:rPr>
                <w:rFonts w:ascii="Cambria Math" w:hAnsi="Cambria Math"/>
              </w:rPr>
            </m:ctrlPr>
          </m:sSubPr>
          <m:e>
            <m:r>
              <m:rPr>
                <m:sty m:val="p"/>
              </m:rPr>
              <w:rPr>
                <w:rFonts w:ascii="Cambria Math" w:hAnsi="Cambria Math"/>
              </w:rPr>
              <m:t>R∙</m:t>
            </m:r>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w</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R∙K</m:t>
            </m:r>
          </m:e>
          <m:sub>
            <m:r>
              <m:rPr>
                <m:sty m:val="p"/>
              </m:rPr>
              <w:rPr>
                <w:rFonts w:ascii="Cambria Math" w:hAnsi="Cambria Math"/>
              </w:rPr>
              <m:t>1</m:t>
            </m:r>
          </m:sub>
        </m:sSub>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O</m:t>
            </m:r>
          </m:sub>
        </m:sSub>
        <m:r>
          <m:rPr>
            <m:sty m:val="p"/>
          </m:rPr>
          <w:rPr>
            <w:rFonts w:ascii="Cambria Math" w:hAnsi="Cambria Math"/>
          </w:rPr>
          <m:t>=q</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1</m:t>
            </m:r>
          </m:sub>
        </m:sSub>
      </m:oMath>
      <w:r w:rsidR="006B074D" w:rsidRPr="00B33055">
        <w:rPr>
          <w:rFonts w:ascii="Cambria Math" w:hAnsi="Cambria Math"/>
        </w:rPr>
        <w:tab/>
        <w:t>(A-40)</w:t>
      </w:r>
    </w:p>
    <w:p w14:paraId="77768C11" w14:textId="77777777" w:rsidR="006B074D" w:rsidRPr="00B33055" w:rsidRDefault="00A53410" w:rsidP="006B074D">
      <w:pPr>
        <w:rPr>
          <w:rFonts w:ascii="Cambria Math" w:hAnsi="Cambria Math"/>
        </w:rPr>
      </w:pPr>
      <m:oMath>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w</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O</m:t>
            </m:r>
          </m:sub>
        </m:sSub>
        <m:r>
          <m:rPr>
            <m:sty m:val="p"/>
          </m:rPr>
          <w:rPr>
            <w:rFonts w:ascii="Cambria Math" w:hAnsi="Cambria Math"/>
          </w:rPr>
          <m:t>=q</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2</m:t>
            </m:r>
          </m:sub>
        </m:sSub>
      </m:oMath>
      <w:r w:rsidR="006B074D" w:rsidRPr="00B33055">
        <w:rPr>
          <w:rFonts w:ascii="Cambria Math" w:hAnsi="Cambria Math"/>
        </w:rPr>
        <w:tab/>
        <w:t>(A-41)</w:t>
      </w:r>
    </w:p>
    <w:p w14:paraId="19E86DB3" w14:textId="38974446" w:rsidR="006B074D" w:rsidRPr="00B33055" w:rsidRDefault="00B721FC" w:rsidP="006B074D">
      <w:r>
        <w:t>Then,</w:t>
      </w:r>
    </w:p>
    <w:p w14:paraId="04C539E2" w14:textId="77777777" w:rsidR="006B074D" w:rsidRPr="00B33055" w:rsidRDefault="00A53410" w:rsidP="006B074D">
      <w:pPr>
        <w:rPr>
          <w:rFonts w:ascii="Cambria Math" w:hAnsi="Cambria Math"/>
        </w:rPr>
      </w:pPr>
      <m:oMath>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O</m:t>
            </m:r>
          </m:sub>
        </m:sSub>
        <m:r>
          <m:rPr>
            <m:sty m:val="p"/>
          </m:rPr>
          <w:rPr>
            <w:rFonts w:ascii="Cambria Math" w:hAnsi="Cambria Math"/>
          </w:rPr>
          <m:t>=</m:t>
        </m:r>
        <m:f>
          <m:fPr>
            <m:ctrlPr>
              <w:rPr>
                <w:rFonts w:ascii="Cambria Math" w:hAnsi="Cambria Math"/>
              </w:rPr>
            </m:ctrlPr>
          </m:fPr>
          <m:num>
            <m:r>
              <m:rPr>
                <m:sty m:val="p"/>
              </m:rPr>
              <w:rPr>
                <w:rFonts w:ascii="Cambria Math" w:hAnsi="Cambria Math"/>
              </w:rPr>
              <m:t>q</m:t>
            </m:r>
            <m:d>
              <m:dPr>
                <m:ctrlPr>
                  <w:rPr>
                    <w:rFonts w:ascii="Cambria Math" w:hAnsi="Cambria Math"/>
                  </w:rPr>
                </m:ctrlPr>
              </m:dPr>
              <m:e>
                <m:r>
                  <m:rPr>
                    <m:sty m:val="p"/>
                  </m:rPr>
                  <w:rPr>
                    <w:rFonts w:ascii="Cambria Math" w:hAnsi="Cambria Math"/>
                  </w:rPr>
                  <m:t>R∙</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1</m:t>
                    </m:r>
                  </m:sub>
                </m:sSub>
              </m:e>
            </m:d>
          </m:num>
          <m:den>
            <m:r>
              <m:rPr>
                <m:sty m:val="p"/>
              </m:rPr>
              <w:rPr>
                <w:rFonts w:ascii="Cambria Math" w:hAnsi="Cambria Math"/>
              </w:rPr>
              <m:t>R∙</m:t>
            </m:r>
            <m:d>
              <m:dPr>
                <m:ctrlPr>
                  <w:rPr>
                    <w:rFonts w:ascii="Cambria Math" w:hAnsi="Cambria Math"/>
                  </w:rPr>
                </m:ctrlPr>
              </m:dPr>
              <m:e>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e>
            </m:d>
          </m:den>
        </m:f>
      </m:oMath>
      <w:r w:rsidR="006B074D" w:rsidRPr="00B33055">
        <w:rPr>
          <w:rFonts w:ascii="Cambria Math" w:hAnsi="Cambria Math"/>
        </w:rPr>
        <w:tab/>
        <w:t>(A-42)</w:t>
      </w:r>
    </w:p>
    <w:p w14:paraId="1D4A3C04" w14:textId="77777777" w:rsidR="006B074D" w:rsidRPr="00B33055" w:rsidRDefault="00A53410" w:rsidP="006B074D">
      <w:pPr>
        <w:rPr>
          <w:rFonts w:ascii="Cambria Math" w:hAnsi="Cambria Math"/>
        </w:rPr>
      </w:pPr>
      <m:oMath>
        <m:sSub>
          <m:sSubPr>
            <m:ctrlPr>
              <w:rPr>
                <w:rFonts w:ascii="Cambria Math" w:hAnsi="Cambria Math"/>
              </w:rPr>
            </m:ctrlPr>
          </m:sSubPr>
          <m:e>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w</m:t>
            </m:r>
          </m:sub>
        </m:sSub>
        <m:r>
          <m:rPr>
            <m:sty m:val="p"/>
          </m:rPr>
          <w:rPr>
            <w:rFonts w:ascii="Cambria Math" w:hAnsi="Cambria Math"/>
          </w:rPr>
          <m:t>=</m:t>
        </m:r>
        <m:f>
          <m:fPr>
            <m:ctrlPr>
              <w:rPr>
                <w:rFonts w:ascii="Cambria Math" w:hAnsi="Cambria Math"/>
              </w:rPr>
            </m:ctrlPr>
          </m:fPr>
          <m:num>
            <m:r>
              <m:rPr>
                <m:sty m:val="p"/>
              </m:rPr>
              <w:rPr>
                <w:rFonts w:ascii="Cambria Math" w:hAnsi="Cambria Math"/>
              </w:rPr>
              <m:t>q</m:t>
            </m:r>
            <m:d>
              <m:dPr>
                <m:ctrlPr>
                  <w:rPr>
                    <w:rFonts w:ascii="Cambria Math" w:hAnsi="Cambria Math"/>
                  </w:rPr>
                </m:ctrlPr>
              </m:dPr>
              <m:e>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sSub>
                      <m:sSubPr>
                        <m:ctrlPr>
                          <w:rPr>
                            <w:rFonts w:ascii="Cambria Math" w:hAnsi="Cambria Math"/>
                          </w:rPr>
                        </m:ctrlPr>
                      </m:sSubPr>
                      <m:e>
                        <m:r>
                          <m:rPr>
                            <m:sty m:val="p"/>
                          </m:rPr>
                          <w:rPr>
                            <w:rFonts w:ascii="Cambria Math" w:hAnsi="Cambria Math"/>
                          </w:rPr>
                          <m:t>R∙K</m:t>
                        </m:r>
                      </m:e>
                      <m:sub>
                        <m:r>
                          <m:rPr>
                            <m:sty m:val="p"/>
                          </m:rPr>
                          <w:rPr>
                            <w:rFonts w:ascii="Cambria Math" w:hAnsi="Cambria Math"/>
                          </w:rPr>
                          <m:t>1</m:t>
                        </m:r>
                      </m:sub>
                    </m:sSub>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2</m:t>
                    </m:r>
                  </m:sub>
                </m:sSub>
              </m:e>
            </m:d>
          </m:num>
          <m:den>
            <m:r>
              <m:rPr>
                <m:sty m:val="p"/>
              </m:rPr>
              <w:rPr>
                <w:rFonts w:ascii="Cambria Math" w:hAnsi="Cambria Math"/>
              </w:rPr>
              <m:t>R∙</m:t>
            </m:r>
            <m:d>
              <m:dPr>
                <m:ctrlPr>
                  <w:rPr>
                    <w:rFonts w:ascii="Cambria Math" w:hAnsi="Cambria Math"/>
                  </w:rPr>
                </m:ctrlPr>
              </m:dPr>
              <m:e>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e>
            </m:d>
          </m:den>
        </m:f>
      </m:oMath>
      <w:r w:rsidR="006B074D" w:rsidRPr="00B33055">
        <w:rPr>
          <w:rFonts w:ascii="Cambria Math" w:hAnsi="Cambria Math"/>
        </w:rPr>
        <w:tab/>
        <w:t>(A-43)</w:t>
      </w:r>
    </w:p>
    <w:p w14:paraId="43ED1FAC" w14:textId="77777777" w:rsidR="006B074D" w:rsidRPr="00B33055" w:rsidRDefault="00A53410" w:rsidP="006B074D">
      <w:pPr>
        <w:rPr>
          <w:rFonts w:ascii="Cambria Math" w:hAnsi="Cambria Math"/>
        </w:rPr>
      </w:pPr>
      <m:oMath>
        <m:sSub>
          <m:sSubPr>
            <m:ctrlPr>
              <w:rPr>
                <w:rFonts w:ascii="Cambria Math" w:hAnsi="Cambria Math"/>
              </w:rPr>
            </m:ctrlPr>
          </m:sSubPr>
          <m:e>
            <m:sSub>
              <m:sSubPr>
                <m:ctrlPr>
                  <w:rPr>
                    <w:rFonts w:ascii="Cambria Math" w:hAnsi="Cambria Math"/>
                  </w:rPr>
                </m:ctrlPr>
              </m:sSubPr>
              <m:e>
                <m:r>
                  <m:rPr>
                    <m:sty m:val="p"/>
                  </m:rPr>
                  <w:rPr>
                    <w:rFonts w:ascii="Cambria Math" w:hAnsi="Cambria Math"/>
                  </w:rPr>
                  <m:t>V</m:t>
                </m:r>
              </m:e>
              <m:sub>
                <m:r>
                  <m:rPr>
                    <m:sty m:val="p"/>
                  </m:rPr>
                  <w:rPr>
                    <w:rFonts w:ascii="Cambria Math" w:hAnsi="Cambria Math"/>
                  </w:rPr>
                  <m:t>P</m:t>
                </m:r>
              </m:sub>
            </m:sSub>
            <m:r>
              <m:rPr>
                <m:sty m:val="p"/>
              </m:rPr>
              <w:rPr>
                <w:rFonts w:ascii="Cambria Math" w:hAnsi="Cambria Math"/>
              </w:rPr>
              <m:t>=</m:t>
            </m:r>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w</m:t>
            </m:r>
          </m:sub>
        </m:sSub>
        <m:sSub>
          <m:sSubPr>
            <m:ctrlPr>
              <w:rPr>
                <w:rFonts w:ascii="Cambria Math" w:hAnsi="Cambria Math"/>
              </w:rPr>
            </m:ctrlPr>
          </m:sSubPr>
          <m:e>
            <m:r>
              <m:rPr>
                <m:sty m:val="p"/>
              </m:rPr>
              <w:rPr>
                <w:rFonts w:ascii="Cambria Math" w:hAnsi="Cambria Math"/>
              </w:rPr>
              <m:t>+</m:t>
            </m:r>
            <m:acc>
              <m:accPr>
                <m:ctrlPr>
                  <w:rPr>
                    <w:rFonts w:ascii="Cambria Math" w:hAnsi="Cambria Math"/>
                  </w:rPr>
                </m:ctrlPr>
              </m:accPr>
              <m:e>
                <m:r>
                  <m:rPr>
                    <m:sty m:val="p"/>
                  </m:rPr>
                  <w:rPr>
                    <w:rFonts w:ascii="Cambria Math" w:hAnsi="Cambria Math"/>
                  </w:rPr>
                  <m:t>V</m:t>
                </m:r>
              </m:e>
            </m:acc>
          </m:e>
          <m:sub>
            <m:r>
              <m:rPr>
                <m:sty m:val="p"/>
              </m:rPr>
              <w:rPr>
                <w:rFonts w:ascii="Cambria Math" w:hAnsi="Cambria Math"/>
              </w:rPr>
              <m:t>O</m:t>
            </m:r>
          </m:sub>
        </m:sSub>
        <m:r>
          <m:rPr>
            <m:sty m:val="p"/>
          </m:rPr>
          <w:rPr>
            <w:rFonts w:ascii="Cambria Math" w:hAnsi="Cambria Math"/>
          </w:rPr>
          <m:t>=</m:t>
        </m:r>
        <m:f>
          <m:fPr>
            <m:ctrlPr>
              <w:rPr>
                <w:rFonts w:ascii="Cambria Math" w:hAnsi="Cambria Math"/>
              </w:rPr>
            </m:ctrlPr>
          </m:fPr>
          <m:num>
            <m:r>
              <m:rPr>
                <m:sty m:val="p"/>
              </m:rPr>
              <w:rPr>
                <w:rFonts w:ascii="Cambria Math" w:hAnsi="Cambria Math"/>
              </w:rPr>
              <m:t>q</m:t>
            </m:r>
            <m:d>
              <m:dPr>
                <m:ctrlPr>
                  <w:rPr>
                    <w:rFonts w:ascii="Cambria Math" w:hAnsi="Cambria Math"/>
                  </w:rPr>
                </m:ctrlPr>
              </m:dPr>
              <m:e>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-1)</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1</m:t>
                    </m:r>
                  </m:sub>
                </m:sSub>
                <m:r>
                  <m:rPr>
                    <m:sty m:val="p"/>
                  </m:rPr>
                  <w:rPr>
                    <w:rFonts w:ascii="Cambria Math" w:hAnsi="Cambria Math"/>
                  </w:rPr>
                  <m:t>-R∙</m:t>
                </m:r>
                <m:sSub>
                  <m:sSubPr>
                    <m:ctrlPr>
                      <w:rPr>
                        <w:rFonts w:ascii="Cambria Math" w:hAnsi="Cambria Math"/>
                      </w:rPr>
                    </m:ctrlPr>
                  </m:sSubPr>
                  <m:e>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r>
                      <m:rPr>
                        <m:sty m:val="p"/>
                      </m:rPr>
                      <w:rPr>
                        <w:rFonts w:ascii="Cambria Math" w:hAnsi="Cambria Math"/>
                      </w:rPr>
                      <m:t>-1)</m:t>
                    </m:r>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2</m:t>
                    </m:r>
                  </m:sub>
                </m:sSub>
              </m:e>
            </m:d>
          </m:num>
          <m:den>
            <m:r>
              <m:rPr>
                <m:sty m:val="p"/>
              </m:rPr>
              <w:rPr>
                <w:rFonts w:ascii="Cambria Math" w:hAnsi="Cambria Math"/>
              </w:rPr>
              <m:t>R∙</m:t>
            </m:r>
            <m:d>
              <m:dPr>
                <m:ctrlPr>
                  <w:rPr>
                    <w:rFonts w:ascii="Cambria Math" w:hAnsi="Cambria Math"/>
                  </w:rPr>
                </m:ctrlPr>
              </m:dPr>
              <m:e>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e>
            </m:d>
          </m:den>
        </m:f>
      </m:oMath>
      <w:r w:rsidR="006B074D" w:rsidRPr="00B33055">
        <w:rPr>
          <w:rFonts w:ascii="Cambria Math" w:hAnsi="Cambria Math"/>
        </w:rPr>
        <w:tab/>
        <w:t>(A-44)</w:t>
      </w:r>
    </w:p>
    <w:p w14:paraId="7AE4E87D" w14:textId="77777777" w:rsidR="006B074D" w:rsidRPr="00B33055" w:rsidRDefault="006B074D" w:rsidP="006B074D">
      <w:r w:rsidRPr="00B33055">
        <w:t xml:space="preserve">The average oil saturation can be calculated from </w:t>
      </w:r>
    </w:p>
    <w:p w14:paraId="3AB80FE7" w14:textId="77777777" w:rsidR="006B074D" w:rsidRPr="00B33055" w:rsidRDefault="00A53410" w:rsidP="006B074D">
      <w:pPr>
        <w:rPr>
          <w:rFonts w:ascii="Cambria Math" w:hAnsi="Cambria Math"/>
        </w:rPr>
      </w:pP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o</m:t>
            </m:r>
          </m:sub>
        </m:sSub>
        <m:r>
          <m:rPr>
            <m:sty m:val="p"/>
          </m:rPr>
          <w:rPr>
            <w:rFonts w:ascii="Cambria Math" w:hAnsi="Cambria Math"/>
          </w:rPr>
          <m:t>=</m:t>
        </m:r>
        <m:f>
          <m:fPr>
            <m:ctrlPr>
              <w:rPr>
                <w:rFonts w:ascii="Cambria Math" w:hAnsi="Cambria Math"/>
              </w:rPr>
            </m:ctrlPr>
          </m:fPr>
          <m:num>
            <m:r>
              <m:rPr>
                <m:sty m:val="p"/>
              </m:rPr>
              <w:rPr>
                <w:rFonts w:ascii="Cambria Math" w:hAnsi="Cambria Math"/>
              </w:rPr>
              <m:t>R∙</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1</m:t>
                </m:r>
              </m:sub>
            </m:sSub>
          </m:num>
          <m:den>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-1)</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sSub>
                  <m:sSubPr>
                    <m:ctrlPr>
                      <w:rPr>
                        <w:rFonts w:ascii="Cambria Math" w:hAnsi="Cambria Math"/>
                      </w:rPr>
                    </m:ctrlPr>
                  </m:sSubPr>
                  <m:e>
                    <m:r>
                      <m:rPr>
                        <m:sty m:val="p"/>
                      </m:rPr>
                      <w:rPr>
                        <w:rFonts w:ascii="Cambria Math" w:hAnsi="Cambria Math"/>
                      </w:rPr>
                      <m:t>R∙(K</m:t>
                    </m:r>
                  </m:e>
                  <m:sub>
                    <m:r>
                      <m:rPr>
                        <m:sty m:val="p"/>
                      </m:rPr>
                      <w:rPr>
                        <w:rFonts w:ascii="Cambria Math" w:hAnsi="Cambria Math"/>
                      </w:rPr>
                      <m:t>1</m:t>
                    </m:r>
                  </m:sub>
                </m:sSub>
                <m:r>
                  <m:rPr>
                    <m:sty m:val="p"/>
                  </m:rPr>
                  <w:rPr>
                    <w:rFonts w:ascii="Cambria Math" w:hAnsi="Cambria Math"/>
                  </w:rPr>
                  <m:t>-1)</m:t>
                </m:r>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2</m:t>
                </m:r>
              </m:sub>
            </m:sSub>
          </m:den>
        </m:f>
      </m:oMath>
      <w:r w:rsidR="006B074D" w:rsidRPr="00B33055">
        <w:rPr>
          <w:rFonts w:ascii="Cambria Math" w:hAnsi="Cambria Math"/>
        </w:rPr>
        <w:tab/>
        <w:t>(A-45)</w:t>
      </w:r>
    </w:p>
    <w:p w14:paraId="4246DA93" w14:textId="77777777" w:rsidR="006B074D" w:rsidRPr="00B33055" w:rsidRDefault="006B074D" w:rsidP="006B074D">
      <w:r w:rsidRPr="00B33055">
        <w:t>If there is one active partitioning tracer and one conservative tracer, Eq</w:t>
      </w:r>
      <w:r>
        <w:t>.</w:t>
      </w:r>
      <w:r w:rsidRPr="00B33055">
        <w:t xml:space="preserve"> A-45 is going to be:</w:t>
      </w:r>
    </w:p>
    <w:p w14:paraId="333C0215" w14:textId="3D0ADE3E" w:rsidR="006B074D" w:rsidRDefault="00A53410" w:rsidP="006B074D">
      <w:pPr>
        <w:rPr>
          <w:rFonts w:ascii="Cambria Math" w:hAnsi="Cambria Math"/>
        </w:rPr>
      </w:pPr>
      <m:oMath>
        <m:sSub>
          <m:sSubPr>
            <m:ctrlPr>
              <w:rPr>
                <w:rFonts w:ascii="Cambria Math" w:hAnsi="Cambria Math"/>
              </w:rPr>
            </m:ctrlPr>
          </m:sSubPr>
          <m:e>
            <m:r>
              <m:rPr>
                <m:sty m:val="p"/>
              </m:rPr>
              <w:rPr>
                <w:rFonts w:ascii="Cambria Math" w:hAnsi="Cambria Math"/>
              </w:rPr>
              <m:t>S</m:t>
            </m:r>
          </m:e>
          <m:sub>
            <m:r>
              <m:rPr>
                <m:sty m:val="p"/>
              </m:rPr>
              <w:rPr>
                <w:rFonts w:ascii="Cambria Math" w:hAnsi="Cambria Math"/>
              </w:rPr>
              <m:t>o</m:t>
            </m:r>
          </m:sub>
        </m:sSub>
        <m:r>
          <m:rPr>
            <m:sty m:val="p"/>
          </m:rPr>
          <w:rPr>
            <w:rFonts w:ascii="Cambria Math" w:hAnsi="Cambria Math"/>
          </w:rPr>
          <m:t>=</m:t>
        </m:r>
        <m:f>
          <m:fPr>
            <m:ctrlPr>
              <w:rPr>
                <w:rFonts w:ascii="Cambria Math" w:hAnsi="Cambria Math"/>
              </w:rPr>
            </m:ctrlPr>
          </m:fPr>
          <m:num>
            <m:r>
              <m:rPr>
                <m:sty m:val="p"/>
              </m:rPr>
              <w:rPr>
                <w:rFonts w:ascii="Cambria Math" w:hAnsi="Cambria Math"/>
              </w:rPr>
              <m:t>R∙</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1</m:t>
                </m:r>
              </m:sub>
            </m:sSub>
          </m:num>
          <m:den>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-1)</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1</m:t>
                </m:r>
              </m:sub>
            </m:sSub>
            <m:r>
              <m:rPr>
                <m:sty m:val="p"/>
              </m:rPr>
              <w:rPr>
                <w:rFonts w:ascii="Cambria Math" w:hAnsi="Cambria Math"/>
              </w:rPr>
              <m:t>+R∙</m:t>
            </m:r>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t</m:t>
                    </m:r>
                  </m:e>
                </m:acc>
              </m:e>
              <m:sub>
                <m:r>
                  <m:rPr>
                    <m:sty m:val="p"/>
                  </m:rPr>
                  <w:rPr>
                    <w:rFonts w:ascii="Cambria Math" w:hAnsi="Cambria Math"/>
                  </w:rPr>
                  <m:t>2</m:t>
                </m:r>
              </m:sub>
            </m:sSub>
          </m:den>
        </m:f>
      </m:oMath>
      <w:r w:rsidR="006B074D" w:rsidRPr="00B33055">
        <w:rPr>
          <w:rFonts w:ascii="Cambria Math" w:hAnsi="Cambria Math"/>
        </w:rPr>
        <w:tab/>
        <w:t>(A-46)</w:t>
      </w:r>
    </w:p>
    <w:p w14:paraId="64FCD334" w14:textId="5658E394" w:rsidR="004F2C20" w:rsidRDefault="004F2C20">
      <w:pPr>
        <w:tabs>
          <w:tab w:val="clear" w:pos="7632"/>
        </w:tabs>
        <w:ind w:firstLine="0"/>
        <w:rPr>
          <w:rFonts w:ascii="Cambria Math" w:hAnsi="Cambria Math"/>
        </w:rPr>
      </w:pPr>
      <w:r>
        <w:rPr>
          <w:rFonts w:ascii="Cambria Math" w:hAnsi="Cambria Math"/>
        </w:rPr>
        <w:br w:type="page"/>
      </w:r>
    </w:p>
    <w:p w14:paraId="2B1F95AF" w14:textId="548FCC46" w:rsidR="004F2C20" w:rsidRDefault="004778A8" w:rsidP="004778A8">
      <w:pPr>
        <w:pStyle w:val="Heading1Modified"/>
      </w:pPr>
      <w:bookmarkStart w:id="290" w:name="_Toc494014255"/>
      <w:r>
        <w:lastRenderedPageBreak/>
        <w:t>Appendix B:</w:t>
      </w:r>
      <w:r w:rsidR="00C15E33">
        <w:t xml:space="preserve"> Simulation</w:t>
      </w:r>
      <w:r>
        <w:t xml:space="preserve"> Input File for SWCTT</w:t>
      </w:r>
      <w:bookmarkEnd w:id="290"/>
    </w:p>
    <w:p w14:paraId="4EF7B563" w14:textId="77777777" w:rsidR="001A0C35" w:rsidRDefault="001A0C35" w:rsidP="001A0C35">
      <w:pPr>
        <w:pStyle w:val="Para0"/>
      </w:pPr>
      <w:r>
        <w:t>RESULTS SIMULATOR STARS 200500</w:t>
      </w:r>
    </w:p>
    <w:p w14:paraId="0FF66F02" w14:textId="77777777" w:rsidR="001A0C35" w:rsidRDefault="001A0C35" w:rsidP="001A0C35">
      <w:pPr>
        <w:pStyle w:val="Para0"/>
      </w:pPr>
    </w:p>
    <w:p w14:paraId="7C0D639C" w14:textId="77777777" w:rsidR="001A0C35" w:rsidRDefault="001A0C35" w:rsidP="001A0C35">
      <w:pPr>
        <w:pStyle w:val="Para0"/>
      </w:pPr>
      <w:r>
        <w:t>*interrupt *stop</w:t>
      </w:r>
    </w:p>
    <w:p w14:paraId="28B3473E" w14:textId="77777777" w:rsidR="001A0C35" w:rsidRDefault="001A0C35" w:rsidP="001A0C35">
      <w:pPr>
        <w:pStyle w:val="Para0"/>
      </w:pPr>
      <w:r>
        <w:t>*INUNIT *FIELD</w:t>
      </w:r>
    </w:p>
    <w:p w14:paraId="00C0DAD6" w14:textId="77777777" w:rsidR="001A0C35" w:rsidRDefault="001A0C35" w:rsidP="001A0C35">
      <w:pPr>
        <w:pStyle w:val="Para0"/>
      </w:pPr>
      <w:r>
        <w:t>TITLE1 'SWTT Model'</w:t>
      </w:r>
    </w:p>
    <w:p w14:paraId="0197F7E5" w14:textId="77777777" w:rsidR="001A0C35" w:rsidRDefault="001A0C35" w:rsidP="001A0C35">
      <w:pPr>
        <w:pStyle w:val="Para0"/>
      </w:pPr>
      <w:r>
        <w:t>TITLE2 'SWCTT'</w:t>
      </w:r>
    </w:p>
    <w:p w14:paraId="3E0DCFDA" w14:textId="77777777" w:rsidR="001A0C35" w:rsidRDefault="001A0C35" w:rsidP="001A0C35">
      <w:pPr>
        <w:pStyle w:val="Para0"/>
      </w:pPr>
      <w:r>
        <w:t>TITLE3 'Single layer'</w:t>
      </w:r>
    </w:p>
    <w:p w14:paraId="32EBC45C" w14:textId="77777777" w:rsidR="001A0C35" w:rsidRDefault="001A0C35" w:rsidP="001A0C35">
      <w:pPr>
        <w:pStyle w:val="Para0"/>
      </w:pPr>
      <w:r>
        <w:t xml:space="preserve">*wrst </w:t>
      </w:r>
    </w:p>
    <w:p w14:paraId="19D8C6B4" w14:textId="77777777" w:rsidR="001A0C35" w:rsidRDefault="001A0C35" w:rsidP="001A0C35">
      <w:pPr>
        <w:pStyle w:val="Para0"/>
      </w:pPr>
      <w:r>
        <w:t>WPRN SECTOR TIME</w:t>
      </w:r>
    </w:p>
    <w:p w14:paraId="2C4BB398" w14:textId="77777777" w:rsidR="001A0C35" w:rsidRDefault="001A0C35" w:rsidP="001A0C35">
      <w:pPr>
        <w:pStyle w:val="Para0"/>
      </w:pPr>
      <w:r>
        <w:t xml:space="preserve">OUTPRN WELL ALL </w:t>
      </w:r>
    </w:p>
    <w:p w14:paraId="6F359DA4" w14:textId="77777777" w:rsidR="001A0C35" w:rsidRDefault="001A0C35" w:rsidP="001A0C35">
      <w:pPr>
        <w:pStyle w:val="Para0"/>
      </w:pPr>
      <w:r>
        <w:t>WSRF SECTOR TIME</w:t>
      </w:r>
    </w:p>
    <w:p w14:paraId="76ED8B18" w14:textId="77777777" w:rsidR="001A0C35" w:rsidRDefault="001A0C35" w:rsidP="001A0C35">
      <w:pPr>
        <w:pStyle w:val="Para0"/>
      </w:pPr>
      <w:r>
        <w:t>WSRF WELL TIME</w:t>
      </w:r>
    </w:p>
    <w:p w14:paraId="11FE14ED" w14:textId="77777777" w:rsidR="001A0C35" w:rsidRDefault="001A0C35" w:rsidP="001A0C35">
      <w:pPr>
        <w:pStyle w:val="Para0"/>
      </w:pPr>
      <w:r>
        <w:t xml:space="preserve">*OUTSRF *GRID *ALL </w:t>
      </w:r>
    </w:p>
    <w:p w14:paraId="5B758FA7" w14:textId="77777777" w:rsidR="001A0C35" w:rsidRDefault="001A0C35" w:rsidP="001A0C35">
      <w:pPr>
        <w:pStyle w:val="Para0"/>
      </w:pPr>
      <w:r>
        <w:t>OUTSRF SPECIAL MASSFRAC 'PRODUC' 'MeOH' WATER</w:t>
      </w:r>
    </w:p>
    <w:p w14:paraId="4814E56A" w14:textId="77777777" w:rsidR="001A0C35" w:rsidRDefault="001A0C35" w:rsidP="001A0C35">
      <w:pPr>
        <w:pStyle w:val="Para0"/>
      </w:pPr>
      <w:r>
        <w:t>OUTSRF SPECIAL MASSFRAC 'PRODUC' 'PrOH' WATER</w:t>
      </w:r>
    </w:p>
    <w:p w14:paraId="64B1F4FD" w14:textId="77777777" w:rsidR="001A0C35" w:rsidRDefault="001A0C35" w:rsidP="001A0C35">
      <w:pPr>
        <w:pStyle w:val="Para0"/>
      </w:pPr>
      <w:r>
        <w:t>OUTSRF SPECIAL MASSFRAC 'PRODUC' 'EtFm' WATER</w:t>
      </w:r>
    </w:p>
    <w:p w14:paraId="1A1073D1" w14:textId="77777777" w:rsidR="001A0C35" w:rsidRDefault="001A0C35" w:rsidP="001A0C35">
      <w:pPr>
        <w:pStyle w:val="Para0"/>
      </w:pPr>
      <w:r>
        <w:t>OUTSRF SPECIAL MASSFRAC 'PRODUC' 'EtFm' OIL</w:t>
      </w:r>
    </w:p>
    <w:p w14:paraId="0437CD9B" w14:textId="77777777" w:rsidR="001A0C35" w:rsidRDefault="001A0C35" w:rsidP="001A0C35">
      <w:pPr>
        <w:pStyle w:val="Para0"/>
      </w:pPr>
      <w:r>
        <w:t>OUTSRF SPECIAL MASSFRAC 'PRODUC' 'EtAl' WATER</w:t>
      </w:r>
    </w:p>
    <w:p w14:paraId="6BD75B05" w14:textId="77777777" w:rsidR="001A0C35" w:rsidRDefault="001A0C35" w:rsidP="001A0C35">
      <w:pPr>
        <w:pStyle w:val="Para0"/>
      </w:pPr>
      <w:r>
        <w:t>OUTSRF SPECIAL MASSFRAC 'INJECT' 'MeOH' WATER</w:t>
      </w:r>
    </w:p>
    <w:p w14:paraId="3FCBB2FF" w14:textId="77777777" w:rsidR="001A0C35" w:rsidRDefault="001A0C35" w:rsidP="001A0C35">
      <w:pPr>
        <w:pStyle w:val="Para0"/>
      </w:pPr>
      <w:r>
        <w:t>OUTSRF SPECIAL MASSFRAC 'INJECT' 'PrOH' WATER</w:t>
      </w:r>
    </w:p>
    <w:p w14:paraId="049EB4EF" w14:textId="77777777" w:rsidR="001A0C35" w:rsidRDefault="001A0C35" w:rsidP="001A0C35">
      <w:pPr>
        <w:pStyle w:val="Para0"/>
      </w:pPr>
      <w:r>
        <w:t>OUTSRF SPECIAL MASSFRAC 'INJECT' 'EtFm' WATER</w:t>
      </w:r>
    </w:p>
    <w:p w14:paraId="578FF590" w14:textId="77777777" w:rsidR="001A0C35" w:rsidRDefault="001A0C35" w:rsidP="001A0C35">
      <w:pPr>
        <w:pStyle w:val="Para0"/>
      </w:pPr>
      <w:r>
        <w:t>** WPRN WELL TIME (not supported by stars)</w:t>
      </w:r>
    </w:p>
    <w:p w14:paraId="48CC6CC1" w14:textId="77777777" w:rsidR="001A0C35" w:rsidRDefault="001A0C35" w:rsidP="001A0C35">
      <w:pPr>
        <w:pStyle w:val="Para0"/>
      </w:pPr>
    </w:p>
    <w:p w14:paraId="657500FA" w14:textId="77777777" w:rsidR="001A0C35" w:rsidRDefault="001A0C35" w:rsidP="001A0C35">
      <w:pPr>
        <w:pStyle w:val="Para0"/>
      </w:pPr>
      <w:r>
        <w:t xml:space="preserve">**$  Distance units: ft </w:t>
      </w:r>
    </w:p>
    <w:p w14:paraId="54B360FE" w14:textId="77777777" w:rsidR="001A0C35" w:rsidRDefault="001A0C35" w:rsidP="001A0C35">
      <w:pPr>
        <w:pStyle w:val="Para0"/>
      </w:pPr>
      <w:r>
        <w:t>RESULTS XOFFSET           0.0000</w:t>
      </w:r>
    </w:p>
    <w:p w14:paraId="009CD8E1" w14:textId="77777777" w:rsidR="001A0C35" w:rsidRDefault="001A0C35" w:rsidP="001A0C35">
      <w:pPr>
        <w:pStyle w:val="Para0"/>
      </w:pPr>
      <w:r>
        <w:t>RESULTS YOFFSET           0.0000</w:t>
      </w:r>
    </w:p>
    <w:p w14:paraId="1C38D2BB" w14:textId="77777777" w:rsidR="001A0C35" w:rsidRDefault="001A0C35" w:rsidP="001A0C35">
      <w:pPr>
        <w:pStyle w:val="Para0"/>
      </w:pPr>
      <w:r>
        <w:t>RESULTS ROTATION          0.0000  **$  (DEGREES)</w:t>
      </w:r>
    </w:p>
    <w:p w14:paraId="4AF9231B" w14:textId="77777777" w:rsidR="001A0C35" w:rsidRDefault="001A0C35" w:rsidP="001A0C35">
      <w:pPr>
        <w:pStyle w:val="Para0"/>
      </w:pPr>
      <w:r>
        <w:t>RESULTS AXES-DIRECTIONS 1.0 -1.0 1.0</w:t>
      </w:r>
    </w:p>
    <w:p w14:paraId="52C4999D" w14:textId="77777777" w:rsidR="001A0C35" w:rsidRDefault="001A0C35" w:rsidP="001A0C35">
      <w:pPr>
        <w:pStyle w:val="Para0"/>
      </w:pPr>
      <w:r>
        <w:t>**$ **********************************************************************</w:t>
      </w:r>
      <w:r>
        <w:lastRenderedPageBreak/>
        <w:t>*****</w:t>
      </w:r>
    </w:p>
    <w:p w14:paraId="5B45F340" w14:textId="77777777" w:rsidR="001A0C35" w:rsidRDefault="001A0C35" w:rsidP="001A0C35">
      <w:pPr>
        <w:pStyle w:val="Para0"/>
      </w:pPr>
      <w:r>
        <w:t>**$ Definition of fundamental cylindrical grid</w:t>
      </w:r>
    </w:p>
    <w:p w14:paraId="2591C893" w14:textId="77777777" w:rsidR="001A0C35" w:rsidRDefault="001A0C35" w:rsidP="001A0C35">
      <w:pPr>
        <w:pStyle w:val="Para0"/>
      </w:pPr>
      <w:r>
        <w:t>**$ ***************************************************************************</w:t>
      </w:r>
    </w:p>
    <w:p w14:paraId="64C87F93" w14:textId="77777777" w:rsidR="001A0C35" w:rsidRDefault="001A0C35" w:rsidP="001A0C35">
      <w:pPr>
        <w:pStyle w:val="Para0"/>
      </w:pPr>
      <w:r>
        <w:t>GRID  RADIAL 737 1 1 *RW 0.2</w:t>
      </w:r>
    </w:p>
    <w:p w14:paraId="7AD311E0" w14:textId="77777777" w:rsidR="001A0C35" w:rsidRDefault="001A0C35" w:rsidP="001A0C35">
      <w:pPr>
        <w:pStyle w:val="Para0"/>
      </w:pPr>
      <w:r>
        <w:t>DI IVAR 700*0.1</w:t>
      </w:r>
    </w:p>
    <w:p w14:paraId="0E61B8A9" w14:textId="77777777" w:rsidR="001A0C35" w:rsidRDefault="001A0C35" w:rsidP="001A0C35">
      <w:pPr>
        <w:pStyle w:val="Para0"/>
      </w:pPr>
      <w:r>
        <w:t>1.944425195  2.61543928  2.89253235  3.19898209  3.53789868  3.91272184</w:t>
      </w:r>
    </w:p>
    <w:p w14:paraId="55F5EFA7" w14:textId="77777777" w:rsidR="001A0C35" w:rsidRDefault="001A0C35" w:rsidP="001A0C35">
      <w:pPr>
        <w:pStyle w:val="Para0"/>
      </w:pPr>
      <w:r>
        <w:t>4.32725569  4.78570738  5.2927298  9.790447  38.04171  60.29205  95.55647  151.4468  240.027</w:t>
      </w:r>
    </w:p>
    <w:p w14:paraId="56F7C5B7" w14:textId="77777777" w:rsidR="001A0C35" w:rsidRDefault="001A0C35" w:rsidP="001A0C35">
      <w:pPr>
        <w:pStyle w:val="Para0"/>
      </w:pPr>
      <w:r>
        <w:t xml:space="preserve">380.4171  546.178423  20*1000          </w:t>
      </w:r>
    </w:p>
    <w:p w14:paraId="7A68D478" w14:textId="77777777" w:rsidR="001A0C35" w:rsidRDefault="001A0C35" w:rsidP="001A0C35">
      <w:pPr>
        <w:pStyle w:val="Para0"/>
      </w:pPr>
    </w:p>
    <w:p w14:paraId="22ABFB61" w14:textId="77777777" w:rsidR="001A0C35" w:rsidRDefault="001A0C35" w:rsidP="001A0C35">
      <w:pPr>
        <w:pStyle w:val="Para0"/>
      </w:pPr>
      <w:r>
        <w:t xml:space="preserve">SECTOR 'SWTT' 1:10 1 1 </w:t>
      </w:r>
    </w:p>
    <w:p w14:paraId="3AD76E69" w14:textId="77777777" w:rsidR="001A0C35" w:rsidRDefault="001A0C35" w:rsidP="001A0C35">
      <w:pPr>
        <w:pStyle w:val="Para0"/>
      </w:pPr>
      <w:r>
        <w:t>DJ JVAR 360</w:t>
      </w:r>
    </w:p>
    <w:p w14:paraId="75B3987E" w14:textId="77777777" w:rsidR="001A0C35" w:rsidRDefault="001A0C35" w:rsidP="001A0C35">
      <w:pPr>
        <w:pStyle w:val="Para0"/>
      </w:pPr>
      <w:r>
        <w:t>DK CON 16</w:t>
      </w:r>
    </w:p>
    <w:p w14:paraId="05EE1EA0" w14:textId="77777777" w:rsidR="001A0C35" w:rsidRDefault="001A0C35" w:rsidP="001A0C35">
      <w:pPr>
        <w:pStyle w:val="Para0"/>
      </w:pPr>
      <w:r>
        <w:t>KDIR DOWN</w:t>
      </w:r>
    </w:p>
    <w:p w14:paraId="1B19958D" w14:textId="77777777" w:rsidR="001A0C35" w:rsidRDefault="001A0C35" w:rsidP="001A0C35">
      <w:pPr>
        <w:pStyle w:val="Para0"/>
      </w:pPr>
      <w:r>
        <w:t>DEPTH TOP 1 1 1 6415 ** depth of top is constant at 6415</w:t>
      </w:r>
    </w:p>
    <w:p w14:paraId="3F8B0941" w14:textId="77777777" w:rsidR="001A0C35" w:rsidRDefault="001A0C35" w:rsidP="001A0C35">
      <w:pPr>
        <w:pStyle w:val="Para0"/>
      </w:pPr>
      <w:r>
        <w:t>NULL CON            1</w:t>
      </w:r>
    </w:p>
    <w:p w14:paraId="53EEE3F2" w14:textId="77777777" w:rsidR="001A0C35" w:rsidRDefault="001A0C35" w:rsidP="001A0C35">
      <w:pPr>
        <w:pStyle w:val="Para0"/>
      </w:pPr>
      <w:r>
        <w:t>POR  CON          0.19</w:t>
      </w:r>
    </w:p>
    <w:p w14:paraId="0EAB92E2" w14:textId="77777777" w:rsidR="001A0C35" w:rsidRDefault="001A0C35" w:rsidP="001A0C35">
      <w:pPr>
        <w:pStyle w:val="Para0"/>
      </w:pPr>
      <w:r>
        <w:t>PERMI CON         1000.</w:t>
      </w:r>
    </w:p>
    <w:p w14:paraId="672EA504" w14:textId="77777777" w:rsidR="001A0C35" w:rsidRDefault="001A0C35" w:rsidP="001A0C35">
      <w:pPr>
        <w:pStyle w:val="Para0"/>
      </w:pPr>
      <w:r>
        <w:t>PERMJ CON         1000.</w:t>
      </w:r>
    </w:p>
    <w:p w14:paraId="037D7E25" w14:textId="77777777" w:rsidR="001A0C35" w:rsidRDefault="001A0C35" w:rsidP="001A0C35">
      <w:pPr>
        <w:pStyle w:val="Para0"/>
      </w:pPr>
      <w:r>
        <w:t>PERMK CON         1000.</w:t>
      </w:r>
    </w:p>
    <w:p w14:paraId="005D164E" w14:textId="77777777" w:rsidR="001A0C35" w:rsidRDefault="001A0C35" w:rsidP="001A0C35">
      <w:pPr>
        <w:pStyle w:val="Para0"/>
      </w:pPr>
      <w:r>
        <w:t>PINCHOUTARRAY CON 1</w:t>
      </w:r>
    </w:p>
    <w:p w14:paraId="0E2D5F0B" w14:textId="77777777" w:rsidR="001A0C35" w:rsidRDefault="001A0C35" w:rsidP="001A0C35">
      <w:pPr>
        <w:pStyle w:val="Para0"/>
      </w:pPr>
    </w:p>
    <w:p w14:paraId="7DA3DF04" w14:textId="77777777" w:rsidR="001A0C35" w:rsidRDefault="001A0C35" w:rsidP="001A0C35">
      <w:pPr>
        <w:pStyle w:val="Para0"/>
      </w:pPr>
      <w:r>
        <w:t>END-GRID</w:t>
      </w:r>
    </w:p>
    <w:p w14:paraId="12AFA99A" w14:textId="77777777" w:rsidR="001A0C35" w:rsidRDefault="001A0C35" w:rsidP="001A0C35">
      <w:pPr>
        <w:pStyle w:val="Para0"/>
      </w:pPr>
    </w:p>
    <w:p w14:paraId="780A3C74" w14:textId="77777777" w:rsidR="001A0C35" w:rsidRDefault="001A0C35" w:rsidP="001A0C35">
      <w:pPr>
        <w:pStyle w:val="Para0"/>
      </w:pPr>
      <w:r>
        <w:t>ROCKTYPE 1</w:t>
      </w:r>
    </w:p>
    <w:p w14:paraId="3BBE213B" w14:textId="77777777" w:rsidR="001A0C35" w:rsidRDefault="001A0C35" w:rsidP="001A0C35">
      <w:pPr>
        <w:pStyle w:val="Para0"/>
      </w:pPr>
      <w:r>
        <w:t>*MODEL  8  8  8  6 ** 8 total components, 8 fluid , 8 liquid , 6 aqueous</w:t>
      </w:r>
    </w:p>
    <w:p w14:paraId="080DAE47" w14:textId="77777777" w:rsidR="001A0C35" w:rsidRDefault="001A0C35" w:rsidP="001A0C35">
      <w:pPr>
        <w:pStyle w:val="Para0"/>
      </w:pPr>
      <w:r>
        <w:t xml:space="preserve">*COMPNAME    'Water'  'NaCl'     'MeOH'  'PrOH'      'EtFm'    'EtAl'  'Dead_Oil' 'Soln_Gas' </w:t>
      </w:r>
    </w:p>
    <w:p w14:paraId="0FE3851B" w14:textId="77777777" w:rsidR="001A0C35" w:rsidRDefault="001A0C35" w:rsidP="001A0C35">
      <w:pPr>
        <w:pStyle w:val="Para0"/>
      </w:pPr>
      <w:r>
        <w:t>**         --------   --------   -------  -------   -------    -------   --------   --------</w:t>
      </w:r>
    </w:p>
    <w:p w14:paraId="26760FD6" w14:textId="77777777" w:rsidR="001A0C35" w:rsidRDefault="001A0C35" w:rsidP="001A0C35">
      <w:pPr>
        <w:pStyle w:val="Para0"/>
      </w:pPr>
      <w:r>
        <w:lastRenderedPageBreak/>
        <w:t>*CMM         0.0000   58.4400    60.096   60.096     66.00     46.069    299.8980   24.3930 ** Component MW</w:t>
      </w:r>
    </w:p>
    <w:p w14:paraId="1A4A52F8" w14:textId="77777777" w:rsidR="001A0C35" w:rsidRDefault="001A0C35" w:rsidP="001A0C35">
      <w:pPr>
        <w:pStyle w:val="Para0"/>
      </w:pPr>
      <w:r>
        <w:t xml:space="preserve">*PCRIT         0.00     0.00      0.00      0.00      0.00       0.00     225.04     764.99  ** Component critical pressure (kPa | psi | kPa). </w:t>
      </w:r>
    </w:p>
    <w:p w14:paraId="305DBFD9" w14:textId="77777777" w:rsidR="001A0C35" w:rsidRDefault="001A0C35" w:rsidP="001A0C35">
      <w:pPr>
        <w:pStyle w:val="Para0"/>
      </w:pPr>
      <w:r>
        <w:t>*TCRIT         0.00     0.00      0.00      0.00      0.00       0.00     975.87    -32.16  ** Component critical temperature (C | F | C)</w:t>
      </w:r>
    </w:p>
    <w:p w14:paraId="1795B3D0" w14:textId="77777777" w:rsidR="001A0C35" w:rsidRDefault="001A0C35" w:rsidP="001A0C35">
      <w:pPr>
        <w:pStyle w:val="Para0"/>
      </w:pPr>
      <w:r>
        <w:t>*KV1       0.000E+0   0.0000      0.00      0.00      0.00       0.00     2.843E+6   2.375E+5</w:t>
      </w:r>
    </w:p>
    <w:p w14:paraId="651FED14" w14:textId="77777777" w:rsidR="001A0C35" w:rsidRDefault="001A0C35" w:rsidP="001A0C35">
      <w:pPr>
        <w:pStyle w:val="Para0"/>
      </w:pPr>
      <w:r>
        <w:t>*KV2       0.000E+0   0.0000      0.00      0.00      0.00       0.00     0.000E+0   0.000E+0</w:t>
      </w:r>
    </w:p>
    <w:p w14:paraId="14D71327" w14:textId="77777777" w:rsidR="001A0C35" w:rsidRDefault="001A0C35" w:rsidP="001A0C35">
      <w:pPr>
        <w:pStyle w:val="Para0"/>
      </w:pPr>
      <w:r>
        <w:t>*KV3       0.000E+0   0.0000      0.00      0.00      0.00       0.00     0.000E+0   0.000E+0</w:t>
      </w:r>
    </w:p>
    <w:p w14:paraId="1A066E73" w14:textId="77777777" w:rsidR="001A0C35" w:rsidRDefault="001A0C35" w:rsidP="001A0C35">
      <w:pPr>
        <w:pStyle w:val="Para0"/>
      </w:pPr>
      <w:r>
        <w:t>*KV4       0.000E+0   0.0000      0.00      0.00      0.00       0.00     -13557.5    -2453.1</w:t>
      </w:r>
    </w:p>
    <w:p w14:paraId="03C7FCDC" w14:textId="77777777" w:rsidR="001A0C35" w:rsidRDefault="001A0C35" w:rsidP="001A0C35">
      <w:pPr>
        <w:pStyle w:val="Para0"/>
      </w:pPr>
      <w:r>
        <w:t>*KV5       0.000E+0   0.0000      0.00      0.00      0.00       0.00     -459.67    -459.67</w:t>
      </w:r>
    </w:p>
    <w:p w14:paraId="2A3C378D" w14:textId="77777777" w:rsidR="001A0C35" w:rsidRDefault="001A0C35" w:rsidP="001A0C35">
      <w:pPr>
        <w:pStyle w:val="Para0"/>
      </w:pPr>
      <w:r>
        <w:t>*MOLDEN   0.000E+00   0.0000      0.00      0.00      0.00       0.00     1.969E-01  9.784E-01 ** Molar density at reference pressure and temperature</w:t>
      </w:r>
    </w:p>
    <w:p w14:paraId="632BD577" w14:textId="77777777" w:rsidR="001A0C35" w:rsidRDefault="001A0C35" w:rsidP="001A0C35">
      <w:pPr>
        <w:pStyle w:val="Para0"/>
      </w:pPr>
      <w:r>
        <w:t>*CP       0.000E+00   0.0000      0.00      0.00      0.00       0.00     3.507E-06  2.632E-05 ** Liquid compressibility (1/kPa | 1/psi) at constant temperature</w:t>
      </w:r>
    </w:p>
    <w:p w14:paraId="23A92DBE" w14:textId="77777777" w:rsidR="001A0C35" w:rsidRDefault="001A0C35" w:rsidP="001A0C35">
      <w:pPr>
        <w:pStyle w:val="Para0"/>
      </w:pPr>
      <w:r>
        <w:t>*CT1      0.000E+00   0.0000      0.00      0.00      0.00       0.00     1.688E-04  1.110E-03 ** thermal expansion correlation (1/C | 1/F).</w:t>
      </w:r>
    </w:p>
    <w:p w14:paraId="2C4CA100" w14:textId="77777777" w:rsidR="001A0C35" w:rsidRDefault="001A0C35" w:rsidP="001A0C35">
      <w:pPr>
        <w:pStyle w:val="Para0"/>
      </w:pPr>
      <w:r>
        <w:t xml:space="preserve">*AVISC    0.0500      3713.8   0.0294906 0.05496736  0.1634264   0.102069  2.469E-01 3.916E-01    ** visc=avisc*exp(-bvisc/T) </w:t>
      </w:r>
    </w:p>
    <w:p w14:paraId="12C941B6" w14:textId="77777777" w:rsidR="001A0C35" w:rsidRDefault="001A0C35" w:rsidP="001A0C35">
      <w:pPr>
        <w:pStyle w:val="Para0"/>
      </w:pPr>
      <w:r>
        <w:t xml:space="preserve">*BVISC    1184.85     1659.8    2051.46  1711.872    769.284    1235.952    1389.43    210.37     </w:t>
      </w:r>
    </w:p>
    <w:p w14:paraId="4DEAAC3F" w14:textId="77777777" w:rsidR="001A0C35" w:rsidRDefault="001A0C35" w:rsidP="001A0C35">
      <w:pPr>
        <w:pStyle w:val="Para0"/>
      </w:pPr>
      <w:r>
        <w:t>*SURFLASH  *KVALUE</w:t>
      </w:r>
    </w:p>
    <w:p w14:paraId="3EDED184" w14:textId="77777777" w:rsidR="001A0C35" w:rsidRDefault="001A0C35" w:rsidP="001A0C35">
      <w:pPr>
        <w:pStyle w:val="Para0"/>
      </w:pPr>
      <w:r>
        <w:t>** K_SURF is the k value between liquid and gas</w:t>
      </w:r>
    </w:p>
    <w:p w14:paraId="05188CA0" w14:textId="77777777" w:rsidR="001A0C35" w:rsidRDefault="001A0C35" w:rsidP="001A0C35">
      <w:pPr>
        <w:pStyle w:val="Para0"/>
      </w:pPr>
      <w:r>
        <w:t xml:space="preserve">*K_SURF 'EtAl' 0 </w:t>
      </w:r>
    </w:p>
    <w:p w14:paraId="19D7772C" w14:textId="77777777" w:rsidR="001A0C35" w:rsidRDefault="001A0C35" w:rsidP="001A0C35">
      <w:pPr>
        <w:pStyle w:val="Para0"/>
      </w:pPr>
      <w:r>
        <w:t>*K_SURF 'EtFm' 0</w:t>
      </w:r>
    </w:p>
    <w:p w14:paraId="7A038A6E" w14:textId="77777777" w:rsidR="001A0C35" w:rsidRDefault="001A0C35" w:rsidP="001A0C35">
      <w:pPr>
        <w:pStyle w:val="Para0"/>
      </w:pPr>
      <w:r>
        <w:t>*K_SURF 'MeOH' 0</w:t>
      </w:r>
    </w:p>
    <w:p w14:paraId="74E287AF" w14:textId="77777777" w:rsidR="001A0C35" w:rsidRDefault="001A0C35" w:rsidP="001A0C35">
      <w:pPr>
        <w:pStyle w:val="Para0"/>
      </w:pPr>
      <w:r>
        <w:t>*K_SURF 'PrOH' 0</w:t>
      </w:r>
    </w:p>
    <w:p w14:paraId="317C29CE" w14:textId="77777777" w:rsidR="001A0C35" w:rsidRDefault="001A0C35" w:rsidP="001A0C35">
      <w:pPr>
        <w:pStyle w:val="Para0"/>
      </w:pPr>
      <w:r>
        <w:t>*K_SURF 'Water' 0</w:t>
      </w:r>
    </w:p>
    <w:p w14:paraId="035C869A" w14:textId="77777777" w:rsidR="001A0C35" w:rsidRDefault="001A0C35" w:rsidP="001A0C35">
      <w:pPr>
        <w:pStyle w:val="Para0"/>
      </w:pPr>
    </w:p>
    <w:p w14:paraId="0FA46F5B" w14:textId="77777777" w:rsidR="001A0C35" w:rsidRDefault="001A0C35" w:rsidP="001A0C35">
      <w:pPr>
        <w:pStyle w:val="Para0"/>
      </w:pPr>
      <w:r>
        <w:t>*PRSR  4925.0 ** reference pressure,     corresponding to the density</w:t>
      </w:r>
    </w:p>
    <w:p w14:paraId="3250AC62" w14:textId="77777777" w:rsidR="001A0C35" w:rsidRDefault="001A0C35" w:rsidP="001A0C35">
      <w:pPr>
        <w:pStyle w:val="Para0"/>
      </w:pPr>
      <w:r>
        <w:t>*TEMR   219.0 ** reference temperature,  corresponding to the density</w:t>
      </w:r>
    </w:p>
    <w:p w14:paraId="5BF1F987" w14:textId="77777777" w:rsidR="001A0C35" w:rsidRDefault="001A0C35" w:rsidP="001A0C35">
      <w:pPr>
        <w:pStyle w:val="Para0"/>
      </w:pPr>
      <w:r>
        <w:lastRenderedPageBreak/>
        <w:t>*PSURF   14.7 ** pressure at surface,    for reporting well rates, etc.</w:t>
      </w:r>
    </w:p>
    <w:p w14:paraId="6CFE8648" w14:textId="77777777" w:rsidR="001A0C35" w:rsidRDefault="001A0C35" w:rsidP="001A0C35">
      <w:pPr>
        <w:pStyle w:val="Para0"/>
      </w:pPr>
      <w:r>
        <w:t>*TSURF   60.0 ** temperature at surface, for reporting well rates, etc.</w:t>
      </w:r>
    </w:p>
    <w:p w14:paraId="7B727AFA" w14:textId="77777777" w:rsidR="001A0C35" w:rsidRDefault="001A0C35" w:rsidP="001A0C35">
      <w:pPr>
        <w:pStyle w:val="Para0"/>
      </w:pPr>
    </w:p>
    <w:p w14:paraId="71E4CEB7" w14:textId="77777777" w:rsidR="001A0C35" w:rsidRDefault="001A0C35" w:rsidP="001A0C35">
      <w:pPr>
        <w:pStyle w:val="Para0"/>
      </w:pPr>
      <w:r>
        <w:t>*LIQLIQKV                ** Flag for liquid-liquid k-values, Kow=xi/wi &gt;0 usually in the range of 2.0 to 8.0</w:t>
      </w:r>
    </w:p>
    <w:p w14:paraId="71DB3318" w14:textId="77777777" w:rsidR="001A0C35" w:rsidRDefault="001A0C35" w:rsidP="001A0C35">
      <w:pPr>
        <w:pStyle w:val="Para0"/>
      </w:pPr>
      <w:r>
        <w:t>*KVTABLIM 14 9000 60 220 ** plow  phigh  Tlow  Thigh</w:t>
      </w:r>
    </w:p>
    <w:p w14:paraId="0144203A" w14:textId="77777777" w:rsidR="001A0C35" w:rsidRDefault="001A0C35" w:rsidP="001A0C35">
      <w:pPr>
        <w:pStyle w:val="Para0"/>
      </w:pPr>
      <w:r>
        <w:t>*KVTABLE 'EtFm'          ** Multiply usual mass based k-value by MWoil/MWwater=7</w:t>
      </w:r>
    </w:p>
    <w:p w14:paraId="2D94F1F7" w14:textId="77777777" w:rsidR="001A0C35" w:rsidRDefault="001A0C35" w:rsidP="001A0C35">
      <w:pPr>
        <w:pStyle w:val="Para0"/>
      </w:pPr>
      <w:r>
        <w:t>25.62  25.62</w:t>
      </w:r>
    </w:p>
    <w:p w14:paraId="4613609B" w14:textId="77777777" w:rsidR="001A0C35" w:rsidRDefault="001A0C35" w:rsidP="001A0C35">
      <w:pPr>
        <w:pStyle w:val="Para0"/>
      </w:pPr>
      <w:r>
        <w:t>25.62  25.62</w:t>
      </w:r>
    </w:p>
    <w:p w14:paraId="706DF169" w14:textId="77777777" w:rsidR="001A0C35" w:rsidRDefault="001A0C35" w:rsidP="001A0C35">
      <w:pPr>
        <w:pStyle w:val="Para0"/>
      </w:pPr>
    </w:p>
    <w:p w14:paraId="44D33C3C" w14:textId="77777777" w:rsidR="001A0C35" w:rsidRDefault="001A0C35" w:rsidP="001A0C35">
      <w:pPr>
        <w:pStyle w:val="Para0"/>
      </w:pPr>
      <w:r>
        <w:t>*RPHASE 0 0 0 0 1 1 0 0</w:t>
      </w:r>
    </w:p>
    <w:p w14:paraId="76BAA3A2" w14:textId="77777777" w:rsidR="001A0C35" w:rsidRDefault="001A0C35" w:rsidP="001A0C35">
      <w:pPr>
        <w:pStyle w:val="Para0"/>
      </w:pPr>
      <w:r>
        <w:t>*RORDER 0 0 0 0 1 1 0 0</w:t>
      </w:r>
    </w:p>
    <w:p w14:paraId="712475E2" w14:textId="77777777" w:rsidR="001A0C35" w:rsidRDefault="001A0C35" w:rsidP="001A0C35">
      <w:pPr>
        <w:pStyle w:val="Para0"/>
      </w:pPr>
      <w:r>
        <w:t>**       'WATER' 'NaCL'  'MeOH'  'PrOH'  'EtFm'</w:t>
      </w:r>
      <w:r>
        <w:tab/>
        <w:t xml:space="preserve"> 'EtAl'  'oil' 'gas'</w:t>
      </w:r>
    </w:p>
    <w:p w14:paraId="1ECB5F02" w14:textId="77777777" w:rsidR="001A0C35" w:rsidRDefault="001A0C35" w:rsidP="001A0C35">
      <w:pPr>
        <w:pStyle w:val="Para0"/>
      </w:pPr>
      <w:r>
        <w:t xml:space="preserve">*STOREAC    0      0       0      0       1    </w:t>
      </w:r>
      <w:r>
        <w:tab/>
        <w:t xml:space="preserve">   0  </w:t>
      </w:r>
      <w:r>
        <w:tab/>
        <w:t xml:space="preserve">   0     0</w:t>
      </w:r>
    </w:p>
    <w:p w14:paraId="7B088599" w14:textId="77777777" w:rsidR="001A0C35" w:rsidRDefault="001A0C35" w:rsidP="001A0C35">
      <w:pPr>
        <w:pStyle w:val="Para0"/>
      </w:pPr>
      <w:r>
        <w:t xml:space="preserve">*STOPROD    0      0       0      0       0        1  </w:t>
      </w:r>
      <w:r>
        <w:tab/>
        <w:t xml:space="preserve">   0     0</w:t>
      </w:r>
    </w:p>
    <w:p w14:paraId="10FA2F6D" w14:textId="77777777" w:rsidR="001A0C35" w:rsidRDefault="001A0C35" w:rsidP="001A0C35">
      <w:pPr>
        <w:pStyle w:val="Para0"/>
      </w:pPr>
      <w:r>
        <w:t>*FREQFAC  1.0 **units are 1/day 0.0136 for first test and 0.0089 for the second test, reaction rate</w:t>
      </w:r>
    </w:p>
    <w:p w14:paraId="68FA315A" w14:textId="77777777" w:rsidR="001A0C35" w:rsidRDefault="001A0C35" w:rsidP="001A0C35">
      <w:pPr>
        <w:pStyle w:val="Para0"/>
      </w:pPr>
    </w:p>
    <w:p w14:paraId="614431D8" w14:textId="77777777" w:rsidR="001A0C35" w:rsidRDefault="001A0C35" w:rsidP="001A0C35">
      <w:pPr>
        <w:pStyle w:val="Para0"/>
      </w:pPr>
      <w:r>
        <w:t>*ROCKFLUID</w:t>
      </w:r>
    </w:p>
    <w:p w14:paraId="103917BE" w14:textId="77777777" w:rsidR="001A0C35" w:rsidRDefault="001A0C35" w:rsidP="001A0C35">
      <w:pPr>
        <w:pStyle w:val="Para0"/>
      </w:pPr>
      <w:r>
        <w:t>*RPT 1 *WATWET *STONE2</w:t>
      </w:r>
    </w:p>
    <w:p w14:paraId="7950998E" w14:textId="77777777" w:rsidR="001A0C35" w:rsidRDefault="001A0C35" w:rsidP="001A0C35">
      <w:pPr>
        <w:pStyle w:val="Para0"/>
      </w:pPr>
      <w:r>
        <w:t xml:space="preserve">*SWT </w:t>
      </w:r>
    </w:p>
    <w:p w14:paraId="241FCC02" w14:textId="77777777" w:rsidR="001A0C35" w:rsidRDefault="001A0C35" w:rsidP="001A0C35">
      <w:pPr>
        <w:pStyle w:val="Para0"/>
      </w:pPr>
      <w:r>
        <w:t>0.0500  0.000E+00  1.000E+00  0</w:t>
      </w:r>
    </w:p>
    <w:p w14:paraId="72E22019" w14:textId="77777777" w:rsidR="001A0C35" w:rsidRDefault="001A0C35" w:rsidP="001A0C35">
      <w:pPr>
        <w:pStyle w:val="Para0"/>
      </w:pPr>
      <w:r>
        <w:t>0.0755  2.100E-03  9.070E-01  0</w:t>
      </w:r>
    </w:p>
    <w:p w14:paraId="67F641D6" w14:textId="77777777" w:rsidR="001A0C35" w:rsidRDefault="001A0C35" w:rsidP="001A0C35">
      <w:pPr>
        <w:pStyle w:val="Para0"/>
      </w:pPr>
      <w:r>
        <w:t>0.1491  1.010E-02  7.260E-01  0</w:t>
      </w:r>
    </w:p>
    <w:p w14:paraId="6D48982A" w14:textId="77777777" w:rsidR="001A0C35" w:rsidRDefault="001A0C35" w:rsidP="001A0C35">
      <w:pPr>
        <w:pStyle w:val="Para0"/>
      </w:pPr>
      <w:r>
        <w:t>0.2574  3.250E-02  4.650E-01  0</w:t>
      </w:r>
    </w:p>
    <w:p w14:paraId="150272E7" w14:textId="77777777" w:rsidR="001A0C35" w:rsidRDefault="001A0C35" w:rsidP="001A0C35">
      <w:pPr>
        <w:pStyle w:val="Para0"/>
      </w:pPr>
      <w:r>
        <w:t>0.3462  6.400E-02  2.740E-01  0</w:t>
      </w:r>
    </w:p>
    <w:p w14:paraId="19FED446" w14:textId="77777777" w:rsidR="001A0C35" w:rsidRDefault="001A0C35" w:rsidP="001A0C35">
      <w:pPr>
        <w:pStyle w:val="Para0"/>
      </w:pPr>
      <w:r>
        <w:t>0.4208  1.060E-01  1.390E-01  0</w:t>
      </w:r>
    </w:p>
    <w:p w14:paraId="6022386D" w14:textId="77777777" w:rsidR="001A0C35" w:rsidRDefault="001A0C35" w:rsidP="001A0C35">
      <w:pPr>
        <w:pStyle w:val="Para0"/>
      </w:pPr>
      <w:r>
        <w:t>0.5035  1.610E-01  4.940E-02  0</w:t>
      </w:r>
    </w:p>
    <w:p w14:paraId="1BDB93E1" w14:textId="77777777" w:rsidR="001A0C35" w:rsidRDefault="001A0C35" w:rsidP="001A0C35">
      <w:pPr>
        <w:pStyle w:val="Para0"/>
      </w:pPr>
      <w:r>
        <w:t>0.5791  2.550E-01  1.270E-02  0</w:t>
      </w:r>
    </w:p>
    <w:p w14:paraId="51C4CFE4" w14:textId="77777777" w:rsidR="001A0C35" w:rsidRDefault="001A0C35" w:rsidP="001A0C35">
      <w:pPr>
        <w:pStyle w:val="Para0"/>
      </w:pPr>
      <w:r>
        <w:t>0.5842  2.590E-01  1.080E-02  0</w:t>
      </w:r>
    </w:p>
    <w:p w14:paraId="06683DAA" w14:textId="77777777" w:rsidR="001A0C35" w:rsidRDefault="001A0C35" w:rsidP="001A0C35">
      <w:pPr>
        <w:pStyle w:val="Para0"/>
      </w:pPr>
      <w:r>
        <w:lastRenderedPageBreak/>
        <w:t>0.6057  2.990E-01  7.000E-03  0</w:t>
      </w:r>
    </w:p>
    <w:p w14:paraId="68126272" w14:textId="77777777" w:rsidR="001A0C35" w:rsidRDefault="001A0C35" w:rsidP="001A0C35">
      <w:pPr>
        <w:pStyle w:val="Para0"/>
      </w:pPr>
      <w:r>
        <w:t>0.6333  3.670E-01  3.900E-03  0</w:t>
      </w:r>
    </w:p>
    <w:p w14:paraId="24579864" w14:textId="77777777" w:rsidR="001A0C35" w:rsidRDefault="001A0C35" w:rsidP="001A0C35">
      <w:pPr>
        <w:pStyle w:val="Para0"/>
      </w:pPr>
      <w:r>
        <w:t>0.6496  4.170E-01  1.600E-03  0</w:t>
      </w:r>
    </w:p>
    <w:p w14:paraId="4F7DFA29" w14:textId="77777777" w:rsidR="001A0C35" w:rsidRDefault="001A0C35" w:rsidP="001A0C35">
      <w:pPr>
        <w:pStyle w:val="Para0"/>
      </w:pPr>
      <w:r>
        <w:t>0.6966  5.920E-01  8.500E-04  0</w:t>
      </w:r>
    </w:p>
    <w:p w14:paraId="2EF2DBD3" w14:textId="77777777" w:rsidR="001A0C35" w:rsidRDefault="001A0C35" w:rsidP="001A0C35">
      <w:pPr>
        <w:pStyle w:val="Para0"/>
      </w:pPr>
      <w:r>
        <w:t>0.7201  6.930E-01  4.200E-04  0</w:t>
      </w:r>
    </w:p>
    <w:p w14:paraId="35E7FAD4" w14:textId="77777777" w:rsidR="001A0C35" w:rsidRDefault="001A0C35" w:rsidP="001A0C35">
      <w:pPr>
        <w:pStyle w:val="Para0"/>
      </w:pPr>
      <w:r>
        <w:t>0.7365  7.750E-01  2.300E-04  0</w:t>
      </w:r>
    </w:p>
    <w:p w14:paraId="1F8E744E" w14:textId="77777777" w:rsidR="001A0C35" w:rsidRDefault="001A0C35" w:rsidP="001A0C35">
      <w:pPr>
        <w:pStyle w:val="Para0"/>
      </w:pPr>
      <w:r>
        <w:t>0.7538  8.690E-01  1.300E-04  0</w:t>
      </w:r>
    </w:p>
    <w:p w14:paraId="37108D48" w14:textId="77777777" w:rsidR="001A0C35" w:rsidRDefault="001A0C35" w:rsidP="001A0C35">
      <w:pPr>
        <w:pStyle w:val="Para0"/>
      </w:pPr>
      <w:r>
        <w:t>0.7691  9.900E-01  5.506E-05  0</w:t>
      </w:r>
    </w:p>
    <w:p w14:paraId="1108DECC" w14:textId="77777777" w:rsidR="001A0C35" w:rsidRDefault="001A0C35" w:rsidP="001A0C35">
      <w:pPr>
        <w:pStyle w:val="Para0"/>
      </w:pPr>
      <w:r>
        <w:t>0.8774  9.990E-01  0.000E+00  0</w:t>
      </w:r>
    </w:p>
    <w:p w14:paraId="1C57F135" w14:textId="77777777" w:rsidR="001A0C35" w:rsidRDefault="001A0C35" w:rsidP="001A0C35">
      <w:pPr>
        <w:pStyle w:val="Para0"/>
      </w:pPr>
      <w:r>
        <w:t>1.0000  1.000E+00  0.000E+00  0</w:t>
      </w:r>
    </w:p>
    <w:p w14:paraId="74CD4176" w14:textId="77777777" w:rsidR="001A0C35" w:rsidRDefault="001A0C35" w:rsidP="001A0C35">
      <w:pPr>
        <w:pStyle w:val="Para0"/>
      </w:pPr>
      <w:r>
        <w:t xml:space="preserve">*SLT      </w:t>
      </w:r>
    </w:p>
    <w:p w14:paraId="01554973" w14:textId="77777777" w:rsidR="001A0C35" w:rsidRDefault="001A0C35" w:rsidP="001A0C35">
      <w:pPr>
        <w:pStyle w:val="Para0"/>
      </w:pPr>
      <w:r>
        <w:t>0.050000  1.000  0  0</w:t>
      </w:r>
    </w:p>
    <w:p w14:paraId="3FEF84BD" w14:textId="77777777" w:rsidR="001A0C35" w:rsidRDefault="001A0C35" w:rsidP="001A0C35">
      <w:pPr>
        <w:pStyle w:val="Para0"/>
      </w:pPr>
      <w:r>
        <w:t>0.299998  0.507  0  0</w:t>
      </w:r>
    </w:p>
    <w:p w14:paraId="62C416D5" w14:textId="77777777" w:rsidR="001A0C35" w:rsidRDefault="001A0C35" w:rsidP="001A0C35">
      <w:pPr>
        <w:pStyle w:val="Para0"/>
      </w:pPr>
      <w:r>
        <w:t>0.349999  0.336  0.00049  0</w:t>
      </w:r>
    </w:p>
    <w:p w14:paraId="17ACDC52" w14:textId="77777777" w:rsidR="001A0C35" w:rsidRDefault="001A0C35" w:rsidP="001A0C35">
      <w:pPr>
        <w:pStyle w:val="Para0"/>
      </w:pPr>
      <w:r>
        <w:t>0.396003  0.201  0.00126  0</w:t>
      </w:r>
    </w:p>
    <w:p w14:paraId="5D8D01B1" w14:textId="77777777" w:rsidR="001A0C35" w:rsidRDefault="001A0C35" w:rsidP="001A0C35">
      <w:pPr>
        <w:pStyle w:val="Para0"/>
      </w:pPr>
      <w:r>
        <w:t>0.454996  0.093  0.00372  0</w:t>
      </w:r>
    </w:p>
    <w:p w14:paraId="0586BD38" w14:textId="77777777" w:rsidR="001A0C35" w:rsidRDefault="001A0C35" w:rsidP="001A0C35">
      <w:pPr>
        <w:pStyle w:val="Para0"/>
      </w:pPr>
      <w:r>
        <w:t>0.510001  0.0644  0.00676  0</w:t>
      </w:r>
    </w:p>
    <w:p w14:paraId="1D15BFA0" w14:textId="77777777" w:rsidR="001A0C35" w:rsidRDefault="001A0C35" w:rsidP="001A0C35">
      <w:pPr>
        <w:pStyle w:val="Para0"/>
      </w:pPr>
      <w:r>
        <w:t>0.564001  0.0404  0.0138  0</w:t>
      </w:r>
    </w:p>
    <w:p w14:paraId="66650C07" w14:textId="77777777" w:rsidR="001A0C35" w:rsidRDefault="001A0C35" w:rsidP="001A0C35">
      <w:pPr>
        <w:pStyle w:val="Para0"/>
      </w:pPr>
      <w:r>
        <w:t>0.592000  0.0285  0.0174  0</w:t>
      </w:r>
    </w:p>
    <w:p w14:paraId="4D8B5D81" w14:textId="77777777" w:rsidR="001A0C35" w:rsidRDefault="001A0C35" w:rsidP="001A0C35">
      <w:pPr>
        <w:pStyle w:val="Para0"/>
      </w:pPr>
      <w:r>
        <w:t>0.618001  0.0223  0.0234  0</w:t>
      </w:r>
    </w:p>
    <w:p w14:paraId="768F0C74" w14:textId="77777777" w:rsidR="001A0C35" w:rsidRDefault="001A0C35" w:rsidP="001A0C35">
      <w:pPr>
        <w:pStyle w:val="Para0"/>
      </w:pPr>
      <w:r>
        <w:t>0.646     0.0142  0.0355  0</w:t>
      </w:r>
    </w:p>
    <w:p w14:paraId="68DDC23D" w14:textId="77777777" w:rsidR="001A0C35" w:rsidRDefault="001A0C35" w:rsidP="001A0C35">
      <w:pPr>
        <w:pStyle w:val="Para0"/>
      </w:pPr>
      <w:r>
        <w:t>0.672001  0.0105  0.0537  0</w:t>
      </w:r>
    </w:p>
    <w:p w14:paraId="1E7180FE" w14:textId="77777777" w:rsidR="001A0C35" w:rsidRDefault="001A0C35" w:rsidP="001A0C35">
      <w:pPr>
        <w:pStyle w:val="Para0"/>
      </w:pPr>
      <w:r>
        <w:t>0.715     0.00645  0.0974  0</w:t>
      </w:r>
    </w:p>
    <w:p w14:paraId="036E5A28" w14:textId="77777777" w:rsidR="001A0C35" w:rsidRDefault="001A0C35" w:rsidP="001A0C35">
      <w:pPr>
        <w:pStyle w:val="Para0"/>
      </w:pPr>
      <w:r>
        <w:t>0.761003  0.00332  0.129  0</w:t>
      </w:r>
    </w:p>
    <w:p w14:paraId="3B8567C1" w14:textId="77777777" w:rsidR="001A0C35" w:rsidRDefault="001A0C35" w:rsidP="001A0C35">
      <w:pPr>
        <w:pStyle w:val="Para0"/>
      </w:pPr>
      <w:r>
        <w:t>0.800998  0.00194  0.214  0</w:t>
      </w:r>
    </w:p>
    <w:p w14:paraId="07EA2BF0" w14:textId="77777777" w:rsidR="001A0C35" w:rsidRDefault="001A0C35" w:rsidP="001A0C35">
      <w:pPr>
        <w:pStyle w:val="Para0"/>
      </w:pPr>
      <w:r>
        <w:t>0.860996  0.00126  0.404  0</w:t>
      </w:r>
    </w:p>
    <w:p w14:paraId="3DA43AFA" w14:textId="77777777" w:rsidR="001A0C35" w:rsidRDefault="001A0C35" w:rsidP="001A0C35">
      <w:pPr>
        <w:pStyle w:val="Para0"/>
      </w:pPr>
      <w:r>
        <w:t>0.949998  0.000454  0.786  0</w:t>
      </w:r>
    </w:p>
    <w:p w14:paraId="607769C7" w14:textId="77777777" w:rsidR="001A0C35" w:rsidRDefault="001A0C35" w:rsidP="001A0C35">
      <w:pPr>
        <w:pStyle w:val="Para0"/>
      </w:pPr>
      <w:r>
        <w:t xml:space="preserve">1         0 </w:t>
      </w:r>
      <w:r>
        <w:tab/>
        <w:t xml:space="preserve">    1  0</w:t>
      </w:r>
    </w:p>
    <w:p w14:paraId="6021D2C7" w14:textId="77777777" w:rsidR="001A0C35" w:rsidRDefault="001A0C35" w:rsidP="001A0C35">
      <w:pPr>
        <w:pStyle w:val="Para0"/>
      </w:pPr>
    </w:p>
    <w:p w14:paraId="0CA0142F" w14:textId="77777777" w:rsidR="001A0C35" w:rsidRDefault="001A0C35" w:rsidP="001A0C35">
      <w:pPr>
        <w:pStyle w:val="Para0"/>
      </w:pPr>
      <w:r>
        <w:t>*** total dispersion this is wrong.</w:t>
      </w:r>
    </w:p>
    <w:p w14:paraId="7432F429" w14:textId="77777777" w:rsidR="001A0C35" w:rsidRDefault="001A0C35" w:rsidP="001A0C35">
      <w:pPr>
        <w:pStyle w:val="Para0"/>
      </w:pPr>
      <w:r>
        <w:t>RESULTS SECTION ROCKARRAYS</w:t>
      </w:r>
    </w:p>
    <w:p w14:paraId="61CDC5B9" w14:textId="77777777" w:rsidR="001A0C35" w:rsidRDefault="001A0C35" w:rsidP="001A0C35">
      <w:pPr>
        <w:pStyle w:val="Para0"/>
      </w:pPr>
      <w:r>
        <w:lastRenderedPageBreak/>
        <w:t>**MDSPI_WAT CON 0.2</w:t>
      </w:r>
    </w:p>
    <w:p w14:paraId="2E273BBA" w14:textId="77777777" w:rsidR="001A0C35" w:rsidRDefault="001A0C35" w:rsidP="001A0C35">
      <w:pPr>
        <w:pStyle w:val="Para0"/>
      </w:pPr>
      <w:r>
        <w:t>**MDSPJ_WAT CON 0.2</w:t>
      </w:r>
    </w:p>
    <w:p w14:paraId="322B092A" w14:textId="77777777" w:rsidR="001A0C35" w:rsidRDefault="001A0C35" w:rsidP="001A0C35">
      <w:pPr>
        <w:pStyle w:val="Para0"/>
      </w:pPr>
      <w:r>
        <w:t>**MDSPK_WAT CON 0.2</w:t>
      </w:r>
    </w:p>
    <w:p w14:paraId="380B6BBF" w14:textId="77777777" w:rsidR="001A0C35" w:rsidRDefault="001A0C35" w:rsidP="001A0C35">
      <w:pPr>
        <w:pStyle w:val="Para0"/>
      </w:pPr>
      <w:r>
        <w:t>**MDSPI_OIL CON 0.2</w:t>
      </w:r>
    </w:p>
    <w:p w14:paraId="29314FE9" w14:textId="77777777" w:rsidR="001A0C35" w:rsidRDefault="001A0C35" w:rsidP="001A0C35">
      <w:pPr>
        <w:pStyle w:val="Para0"/>
      </w:pPr>
      <w:r>
        <w:t>**MDSPJ_OIL CON 0.2</w:t>
      </w:r>
    </w:p>
    <w:p w14:paraId="63D36918" w14:textId="77777777" w:rsidR="001A0C35" w:rsidRDefault="001A0C35" w:rsidP="001A0C35">
      <w:pPr>
        <w:pStyle w:val="Para0"/>
      </w:pPr>
      <w:r>
        <w:t>**MDSPK_OIL CON 0.2</w:t>
      </w:r>
    </w:p>
    <w:p w14:paraId="4073BA8D" w14:textId="77777777" w:rsidR="001A0C35" w:rsidRDefault="001A0C35" w:rsidP="001A0C35">
      <w:pPr>
        <w:pStyle w:val="Para0"/>
      </w:pPr>
      <w:r>
        <w:t xml:space="preserve">*KRTYPE con 1 </w:t>
      </w:r>
    </w:p>
    <w:p w14:paraId="32C87E3A" w14:textId="77777777" w:rsidR="001A0C35" w:rsidRDefault="001A0C35" w:rsidP="001A0C35">
      <w:pPr>
        <w:pStyle w:val="Para0"/>
      </w:pPr>
    </w:p>
    <w:p w14:paraId="509F4A17" w14:textId="77777777" w:rsidR="001A0C35" w:rsidRDefault="001A0C35" w:rsidP="001A0C35">
      <w:pPr>
        <w:pStyle w:val="Para0"/>
      </w:pPr>
      <w:r>
        <w:t>*INITIAL</w:t>
      </w:r>
    </w:p>
    <w:p w14:paraId="09EA3817" w14:textId="77777777" w:rsidR="001A0C35" w:rsidRDefault="001A0C35" w:rsidP="001A0C35">
      <w:pPr>
        <w:pStyle w:val="Para0"/>
      </w:pPr>
      <w:r>
        <w:t>*VERTICAL *DEPTH_AVE</w:t>
      </w:r>
    </w:p>
    <w:p w14:paraId="797674C3" w14:textId="77777777" w:rsidR="001A0C35" w:rsidRDefault="001A0C35" w:rsidP="001A0C35">
      <w:pPr>
        <w:pStyle w:val="Para0"/>
      </w:pPr>
      <w:r>
        <w:t>**$ Data for PVT Region 1</w:t>
      </w:r>
    </w:p>
    <w:p w14:paraId="506A55B3" w14:textId="77777777" w:rsidR="001A0C35" w:rsidRDefault="001A0C35" w:rsidP="001A0C35">
      <w:pPr>
        <w:pStyle w:val="Para0"/>
      </w:pPr>
      <w:r>
        <w:t>**$ -------------------------------------</w:t>
      </w:r>
    </w:p>
    <w:p w14:paraId="1A668D6B" w14:textId="77777777" w:rsidR="001A0C35" w:rsidRDefault="001A0C35" w:rsidP="001A0C35">
      <w:pPr>
        <w:pStyle w:val="Para0"/>
      </w:pPr>
      <w:r>
        <w:t>*INITREGION 1</w:t>
      </w:r>
    </w:p>
    <w:p w14:paraId="6B4C1018" w14:textId="77777777" w:rsidR="001A0C35" w:rsidRDefault="001A0C35" w:rsidP="001A0C35">
      <w:pPr>
        <w:pStyle w:val="Para0"/>
      </w:pPr>
      <w:r>
        <w:t>*REFPRES 4925.</w:t>
      </w:r>
    </w:p>
    <w:p w14:paraId="60125AD5" w14:textId="77777777" w:rsidR="001A0C35" w:rsidRDefault="001A0C35" w:rsidP="001A0C35">
      <w:pPr>
        <w:pStyle w:val="Para0"/>
      </w:pPr>
      <w:r>
        <w:t>REFDEPTH 6430.</w:t>
      </w:r>
    </w:p>
    <w:p w14:paraId="3B338FCC" w14:textId="77777777" w:rsidR="001A0C35" w:rsidRDefault="001A0C35" w:rsidP="001A0C35">
      <w:pPr>
        <w:pStyle w:val="Para0"/>
      </w:pPr>
      <w:r>
        <w:t>*DWOC 7000.0</w:t>
      </w:r>
    </w:p>
    <w:p w14:paraId="44204699" w14:textId="77777777" w:rsidR="001A0C35" w:rsidRDefault="001A0C35" w:rsidP="001A0C35">
      <w:pPr>
        <w:pStyle w:val="Para0"/>
      </w:pPr>
      <w:r>
        <w:t>**$ Property: Water Saturation  Max: 0.05  Min: 0.05</w:t>
      </w:r>
    </w:p>
    <w:p w14:paraId="25412BFB" w14:textId="77777777" w:rsidR="001A0C35" w:rsidRDefault="001A0C35" w:rsidP="001A0C35">
      <w:pPr>
        <w:pStyle w:val="Para0"/>
      </w:pPr>
      <w:r>
        <w:t>SW CON   0.1</w:t>
      </w:r>
    </w:p>
    <w:p w14:paraId="50411233" w14:textId="77777777" w:rsidR="001A0C35" w:rsidRDefault="001A0C35" w:rsidP="001A0C35">
      <w:pPr>
        <w:pStyle w:val="Para0"/>
      </w:pPr>
    </w:p>
    <w:p w14:paraId="6B641C72" w14:textId="77777777" w:rsidR="001A0C35" w:rsidRDefault="001A0C35" w:rsidP="001A0C35">
      <w:pPr>
        <w:pStyle w:val="Para0"/>
      </w:pPr>
      <w:r>
        <w:t>MFRAC_OIL 'Dead_Oil' CON 1</w:t>
      </w:r>
    </w:p>
    <w:p w14:paraId="7AA42D28" w14:textId="77777777" w:rsidR="001A0C35" w:rsidRDefault="001A0C35" w:rsidP="001A0C35">
      <w:pPr>
        <w:pStyle w:val="Para0"/>
      </w:pPr>
      <w:r>
        <w:t>MFRAC_OIL 'Soln_Gas' CON 0</w:t>
      </w:r>
    </w:p>
    <w:p w14:paraId="07655F88" w14:textId="77777777" w:rsidR="001A0C35" w:rsidRDefault="001A0C35" w:rsidP="001A0C35">
      <w:pPr>
        <w:pStyle w:val="Para0"/>
      </w:pPr>
      <w:r>
        <w:t>MFRAC_WAT 'Water'    CON 1.00000  ** Molefraction</w:t>
      </w:r>
    </w:p>
    <w:p w14:paraId="570E8B98" w14:textId="77777777" w:rsidR="001A0C35" w:rsidRDefault="001A0C35" w:rsidP="001A0C35">
      <w:pPr>
        <w:pStyle w:val="Para0"/>
      </w:pPr>
      <w:r>
        <w:t>MFRAC_WAT 'NaCl'     CON 0.0000   ** Molefraction</w:t>
      </w:r>
    </w:p>
    <w:p w14:paraId="640E1FFB" w14:textId="77777777" w:rsidR="001A0C35" w:rsidRDefault="001A0C35" w:rsidP="001A0C35">
      <w:pPr>
        <w:pStyle w:val="Para0"/>
      </w:pPr>
      <w:r>
        <w:t>MFRAC_WAT 'MeOH'      CON 0.0000   ** Molefraction</w:t>
      </w:r>
    </w:p>
    <w:p w14:paraId="0CEDD141" w14:textId="77777777" w:rsidR="001A0C35" w:rsidRDefault="001A0C35" w:rsidP="001A0C35">
      <w:pPr>
        <w:pStyle w:val="Para0"/>
      </w:pPr>
      <w:r>
        <w:t>MFRAC_WAT 'PrOH'      CON 0.0000   ** Molefraction</w:t>
      </w:r>
    </w:p>
    <w:p w14:paraId="1A8161C3" w14:textId="77777777" w:rsidR="001A0C35" w:rsidRDefault="001A0C35" w:rsidP="001A0C35">
      <w:pPr>
        <w:pStyle w:val="Para0"/>
      </w:pPr>
      <w:r>
        <w:t>MFRAC_WAT 'EtFm'     CON 0.0000   ** Molefraction</w:t>
      </w:r>
    </w:p>
    <w:p w14:paraId="709043B0" w14:textId="77777777" w:rsidR="001A0C35" w:rsidRDefault="001A0C35" w:rsidP="001A0C35">
      <w:pPr>
        <w:pStyle w:val="Para0"/>
      </w:pPr>
      <w:r>
        <w:t>MFRAC_WAT 'EtAl'     CON 0.0000   ** Molefraction</w:t>
      </w:r>
    </w:p>
    <w:p w14:paraId="6981AC93" w14:textId="77777777" w:rsidR="001A0C35" w:rsidRDefault="001A0C35" w:rsidP="001A0C35">
      <w:pPr>
        <w:pStyle w:val="Para0"/>
      </w:pPr>
    </w:p>
    <w:p w14:paraId="2EC66423" w14:textId="77777777" w:rsidR="001A0C35" w:rsidRDefault="001A0C35" w:rsidP="001A0C35">
      <w:pPr>
        <w:pStyle w:val="Para0"/>
      </w:pPr>
      <w:r>
        <w:t>*NUMERICAL</w:t>
      </w:r>
    </w:p>
    <w:p w14:paraId="0BFC594D" w14:textId="77777777" w:rsidR="001A0C35" w:rsidRDefault="001A0C35" w:rsidP="001A0C35">
      <w:pPr>
        <w:pStyle w:val="Para0"/>
      </w:pPr>
      <w:r>
        <w:t>*MAXSTEPS 999999999</w:t>
      </w:r>
    </w:p>
    <w:p w14:paraId="6AFA967E" w14:textId="77777777" w:rsidR="001A0C35" w:rsidRDefault="001A0C35" w:rsidP="001A0C35">
      <w:pPr>
        <w:pStyle w:val="Para0"/>
      </w:pPr>
      <w:r>
        <w:t>*SDEGREE *GAUSS</w:t>
      </w:r>
    </w:p>
    <w:p w14:paraId="2A6C5078" w14:textId="77777777" w:rsidR="001A0C35" w:rsidRDefault="001A0C35" w:rsidP="001A0C35">
      <w:pPr>
        <w:pStyle w:val="Para0"/>
      </w:pPr>
      <w:r>
        <w:lastRenderedPageBreak/>
        <w:t>*MAXPRES 1.450377E+05</w:t>
      </w:r>
    </w:p>
    <w:p w14:paraId="1857C644" w14:textId="77777777" w:rsidR="001A0C35" w:rsidRDefault="001A0C35" w:rsidP="001A0C35">
      <w:pPr>
        <w:pStyle w:val="Para0"/>
      </w:pPr>
      <w:r>
        <w:t xml:space="preserve">*TFORM *ZT </w:t>
      </w:r>
    </w:p>
    <w:p w14:paraId="7A5DDACB" w14:textId="77777777" w:rsidR="001A0C35" w:rsidRDefault="001A0C35" w:rsidP="001A0C35">
      <w:pPr>
        <w:pStyle w:val="Para0"/>
      </w:pPr>
      <w:r>
        <w:t>*ISOTHERMAL</w:t>
      </w:r>
    </w:p>
    <w:p w14:paraId="7D9F9182" w14:textId="77777777" w:rsidR="001A0C35" w:rsidRDefault="001A0C35" w:rsidP="001A0C35">
      <w:pPr>
        <w:pStyle w:val="Para0"/>
      </w:pPr>
      <w:r>
        <w:t>*AIM STAB</w:t>
      </w:r>
    </w:p>
    <w:p w14:paraId="6D9E1A7D" w14:textId="77777777" w:rsidR="001A0C35" w:rsidRDefault="001A0C35" w:rsidP="001A0C35">
      <w:pPr>
        <w:pStyle w:val="Para0"/>
      </w:pPr>
      <w:r>
        <w:t xml:space="preserve"> </w:t>
      </w:r>
    </w:p>
    <w:p w14:paraId="656B2DC3" w14:textId="77777777" w:rsidR="001A0C35" w:rsidRDefault="001A0C35" w:rsidP="001A0C35">
      <w:pPr>
        <w:pStyle w:val="Para0"/>
      </w:pPr>
      <w:r>
        <w:t>RUN</w:t>
      </w:r>
    </w:p>
    <w:p w14:paraId="5BC77186" w14:textId="77777777" w:rsidR="001A0C35" w:rsidRDefault="001A0C35" w:rsidP="001A0C35">
      <w:pPr>
        <w:pStyle w:val="Para0"/>
      </w:pPr>
    </w:p>
    <w:p w14:paraId="0D5AF9CC" w14:textId="77777777" w:rsidR="001A0C35" w:rsidRDefault="001A0C35" w:rsidP="001A0C35">
      <w:pPr>
        <w:pStyle w:val="Para0"/>
      </w:pPr>
      <w:r>
        <w:t>DATE 2011 01 01 ** year month day</w:t>
      </w:r>
    </w:p>
    <w:p w14:paraId="762DD1F6" w14:textId="77777777" w:rsidR="001A0C35" w:rsidRDefault="001A0C35" w:rsidP="001A0C35">
      <w:pPr>
        <w:pStyle w:val="Para0"/>
      </w:pPr>
    </w:p>
    <w:p w14:paraId="56DCB5D0" w14:textId="77777777" w:rsidR="001A0C35" w:rsidRDefault="001A0C35" w:rsidP="001A0C35">
      <w:pPr>
        <w:pStyle w:val="Para0"/>
      </w:pPr>
      <w:r>
        <w:t>DTWELL 0.00001</w:t>
      </w:r>
    </w:p>
    <w:p w14:paraId="6C37D8AF" w14:textId="77777777" w:rsidR="001A0C35" w:rsidRDefault="001A0C35" w:rsidP="001A0C35">
      <w:pPr>
        <w:pStyle w:val="Para0"/>
      </w:pPr>
      <w:r>
        <w:t>WELL 1 'PRODUC' vert  1 1</w:t>
      </w:r>
    </w:p>
    <w:p w14:paraId="35808F89" w14:textId="77777777" w:rsidR="001A0C35" w:rsidRDefault="001A0C35" w:rsidP="001A0C35">
      <w:pPr>
        <w:pStyle w:val="Para0"/>
      </w:pPr>
      <w:r>
        <w:t>**          rad  geofac wfrac skin</w:t>
      </w:r>
    </w:p>
    <w:p w14:paraId="200F4C38" w14:textId="77777777" w:rsidR="001A0C35" w:rsidRDefault="001A0C35" w:rsidP="001A0C35">
      <w:pPr>
        <w:pStyle w:val="Para0"/>
      </w:pPr>
      <w:r>
        <w:t>GEOMETRY *K 0.2  0.5    1.0  0.0</w:t>
      </w:r>
    </w:p>
    <w:p w14:paraId="05EBC4D5" w14:textId="77777777" w:rsidR="001A0C35" w:rsidRDefault="001A0C35" w:rsidP="001A0C35">
      <w:pPr>
        <w:pStyle w:val="Para0"/>
      </w:pPr>
      <w:r>
        <w:t>PRODUCER 'PRODUC'</w:t>
      </w:r>
    </w:p>
    <w:p w14:paraId="40EAD39B" w14:textId="77777777" w:rsidR="001A0C35" w:rsidRDefault="001A0C35" w:rsidP="001A0C35">
      <w:pPr>
        <w:pStyle w:val="Para0"/>
      </w:pPr>
      <w:r>
        <w:t>OPERATE MIN BHP 1200.0 CONT</w:t>
      </w:r>
    </w:p>
    <w:p w14:paraId="0BC4ABF1" w14:textId="77777777" w:rsidR="001A0C35" w:rsidRDefault="001A0C35" w:rsidP="001A0C35">
      <w:pPr>
        <w:pStyle w:val="Para0"/>
      </w:pPr>
      <w:r>
        <w:t>OPERATE MAX STL 550.0 CONT</w:t>
      </w:r>
    </w:p>
    <w:p w14:paraId="1304ECBC" w14:textId="77777777" w:rsidR="001A0C35" w:rsidRDefault="001A0C35" w:rsidP="001A0C35">
      <w:pPr>
        <w:pStyle w:val="Para0"/>
      </w:pPr>
      <w:r>
        <w:t>** liquid rate in bbl/day</w:t>
      </w:r>
    </w:p>
    <w:p w14:paraId="3EFA93E8" w14:textId="77777777" w:rsidR="001A0C35" w:rsidRDefault="001A0C35" w:rsidP="001A0C35">
      <w:pPr>
        <w:pStyle w:val="Para0"/>
      </w:pPr>
      <w:r>
        <w:t>perfv geo 'PRODUC'     **  k     ff</w:t>
      </w:r>
    </w:p>
    <w:p w14:paraId="2E08FA2F" w14:textId="77777777" w:rsidR="001A0C35" w:rsidRDefault="001A0C35" w:rsidP="001A0C35">
      <w:pPr>
        <w:pStyle w:val="Para0"/>
      </w:pPr>
      <w:r>
        <w:t xml:space="preserve">                         1     1.  </w:t>
      </w:r>
    </w:p>
    <w:p w14:paraId="29729AD1" w14:textId="77777777" w:rsidR="001A0C35" w:rsidRDefault="001A0C35" w:rsidP="001A0C35">
      <w:pPr>
        <w:pStyle w:val="Para0"/>
      </w:pPr>
      <w:r>
        <w:t>SHUTIN 'PRODUC'</w:t>
      </w:r>
    </w:p>
    <w:p w14:paraId="2CAA112E" w14:textId="77777777" w:rsidR="001A0C35" w:rsidRDefault="001A0C35" w:rsidP="001A0C35">
      <w:pPr>
        <w:pStyle w:val="Para0"/>
      </w:pPr>
      <w:r>
        <w:t>DTMAX 0.1</w:t>
      </w:r>
    </w:p>
    <w:p w14:paraId="1361CF9B" w14:textId="77777777" w:rsidR="001A0C35" w:rsidRDefault="001A0C35" w:rsidP="001A0C35">
      <w:pPr>
        <w:pStyle w:val="Para0"/>
      </w:pPr>
      <w:r>
        <w:t>**TIME 0.1</w:t>
      </w:r>
    </w:p>
    <w:p w14:paraId="2A662222" w14:textId="77777777" w:rsidR="001A0C35" w:rsidRDefault="001A0C35" w:rsidP="001A0C35">
      <w:pPr>
        <w:pStyle w:val="Para0"/>
      </w:pPr>
      <w:r>
        <w:t>**TIME 0.5</w:t>
      </w:r>
    </w:p>
    <w:p w14:paraId="2B384E5D" w14:textId="77777777" w:rsidR="001A0C35" w:rsidRDefault="001A0C35" w:rsidP="001A0C35">
      <w:pPr>
        <w:pStyle w:val="Para0"/>
      </w:pPr>
      <w:r>
        <w:t>**TIME 1.0</w:t>
      </w:r>
    </w:p>
    <w:p w14:paraId="2A2321B9" w14:textId="77777777" w:rsidR="001A0C35" w:rsidRDefault="001A0C35" w:rsidP="001A0C35">
      <w:pPr>
        <w:pStyle w:val="Para0"/>
      </w:pPr>
      <w:r>
        <w:t>**DTWELL 0.00001</w:t>
      </w:r>
    </w:p>
    <w:p w14:paraId="20D18B2E" w14:textId="77777777" w:rsidR="001A0C35" w:rsidRDefault="001A0C35" w:rsidP="001A0C35">
      <w:pPr>
        <w:pStyle w:val="Para0"/>
      </w:pPr>
      <w:r>
        <w:t>**DTMAX 0.1</w:t>
      </w:r>
    </w:p>
    <w:p w14:paraId="21D51671" w14:textId="77777777" w:rsidR="001A0C35" w:rsidRDefault="001A0C35" w:rsidP="001A0C35">
      <w:pPr>
        <w:pStyle w:val="Para0"/>
      </w:pPr>
      <w:r>
        <w:t xml:space="preserve">**   </w:t>
      </w:r>
    </w:p>
    <w:p w14:paraId="06CA9F68" w14:textId="77777777" w:rsidR="001A0C35" w:rsidRDefault="001A0C35" w:rsidP="001A0C35">
      <w:pPr>
        <w:pStyle w:val="Para0"/>
      </w:pPr>
      <w:r>
        <w:t>WELL 2 'INJECT' vert 1 1</w:t>
      </w:r>
    </w:p>
    <w:p w14:paraId="26520EA8" w14:textId="77777777" w:rsidR="001A0C35" w:rsidRDefault="001A0C35" w:rsidP="001A0C35">
      <w:pPr>
        <w:pStyle w:val="Para0"/>
      </w:pPr>
      <w:r>
        <w:t>**          rad  geofac wfrac skin</w:t>
      </w:r>
    </w:p>
    <w:p w14:paraId="35090D83" w14:textId="77777777" w:rsidR="001A0C35" w:rsidRDefault="001A0C35" w:rsidP="001A0C35">
      <w:pPr>
        <w:pStyle w:val="Para0"/>
      </w:pPr>
      <w:r>
        <w:t>GEOMETRY *K 0.2  0.5    1.0  0.0</w:t>
      </w:r>
    </w:p>
    <w:p w14:paraId="37582332" w14:textId="77777777" w:rsidR="001A0C35" w:rsidRDefault="001A0C35" w:rsidP="001A0C35">
      <w:pPr>
        <w:pStyle w:val="Para0"/>
      </w:pPr>
      <w:r>
        <w:t>INJECTOR *MOBWEIGHT 'INJECT'</w:t>
      </w:r>
    </w:p>
    <w:p w14:paraId="4B4B0F61" w14:textId="77777777" w:rsidR="001A0C35" w:rsidRDefault="001A0C35" w:rsidP="001A0C35">
      <w:pPr>
        <w:pStyle w:val="Para0"/>
      </w:pPr>
      <w:r>
        <w:lastRenderedPageBreak/>
        <w:t>INCOMP WATER 0.0346 0.00 0.0016 0.0013 0.0025 0.0 0.96 0.0</w:t>
      </w:r>
    </w:p>
    <w:p w14:paraId="1999CA64" w14:textId="77777777" w:rsidR="001A0C35" w:rsidRDefault="001A0C35" w:rsidP="001A0C35">
      <w:pPr>
        <w:pStyle w:val="Para0"/>
      </w:pPr>
      <w:r>
        <w:t>perfv geo 'INJECT'     **  k     ff</w:t>
      </w:r>
    </w:p>
    <w:p w14:paraId="3BF6231D" w14:textId="77777777" w:rsidR="001A0C35" w:rsidRDefault="001A0C35" w:rsidP="001A0C35">
      <w:pPr>
        <w:pStyle w:val="Para0"/>
      </w:pPr>
      <w:r>
        <w:t xml:space="preserve">                         1     1.</w:t>
      </w:r>
    </w:p>
    <w:p w14:paraId="6CADDFA2" w14:textId="77777777" w:rsidR="001A0C35" w:rsidRDefault="001A0C35" w:rsidP="001A0C35">
      <w:pPr>
        <w:pStyle w:val="Para0"/>
      </w:pPr>
      <w:r>
        <w:t>INJECTOR *MOBWEIGHT 'INJECT'</w:t>
      </w:r>
    </w:p>
    <w:p w14:paraId="65692A5B" w14:textId="77777777" w:rsidR="001A0C35" w:rsidRDefault="001A0C35" w:rsidP="001A0C35">
      <w:pPr>
        <w:pStyle w:val="Para0"/>
      </w:pPr>
      <w:r>
        <w:t>INCOMP WATER-OIL 0.0346 0.00 0.0016 0.0013 0.0025 0.0 0.96 0.0</w:t>
      </w:r>
    </w:p>
    <w:p w14:paraId="0E8AE377" w14:textId="77777777" w:rsidR="001A0C35" w:rsidRDefault="001A0C35" w:rsidP="001A0C35">
      <w:pPr>
        <w:pStyle w:val="Para0"/>
      </w:pPr>
      <w:r>
        <w:t>OPERATE MAX BHP 9999.0 CONT</w:t>
      </w:r>
    </w:p>
    <w:p w14:paraId="0145101F" w14:textId="77777777" w:rsidR="001A0C35" w:rsidRDefault="001A0C35" w:rsidP="001A0C35">
      <w:pPr>
        <w:pStyle w:val="Para0"/>
      </w:pPr>
      <w:r>
        <w:t>OPERATE MAX STF 550.0 CONT</w:t>
      </w:r>
    </w:p>
    <w:p w14:paraId="5188181A" w14:textId="77777777" w:rsidR="001A0C35" w:rsidRDefault="001A0C35" w:rsidP="001A0C35">
      <w:pPr>
        <w:pStyle w:val="Para0"/>
      </w:pPr>
      <w:r>
        <w:t>TIME 0.01</w:t>
      </w:r>
    </w:p>
    <w:p w14:paraId="6D11890B" w14:textId="77777777" w:rsidR="001A0C35" w:rsidRDefault="001A0C35" w:rsidP="001A0C35">
      <w:pPr>
        <w:pStyle w:val="Para0"/>
      </w:pPr>
      <w:r>
        <w:t>TIME 0.02</w:t>
      </w:r>
    </w:p>
    <w:p w14:paraId="54C34A01" w14:textId="77777777" w:rsidR="001A0C35" w:rsidRDefault="001A0C35" w:rsidP="001A0C35">
      <w:pPr>
        <w:pStyle w:val="Para0"/>
      </w:pPr>
      <w:r>
        <w:t>TIME 0.03</w:t>
      </w:r>
    </w:p>
    <w:p w14:paraId="62FAEE7D" w14:textId="77777777" w:rsidR="001A0C35" w:rsidRDefault="001A0C35" w:rsidP="001A0C35">
      <w:pPr>
        <w:pStyle w:val="Para0"/>
      </w:pPr>
      <w:r>
        <w:t>TIME 0.04</w:t>
      </w:r>
    </w:p>
    <w:p w14:paraId="4F9C215A" w14:textId="77777777" w:rsidR="001A0C35" w:rsidRDefault="001A0C35" w:rsidP="001A0C35">
      <w:pPr>
        <w:pStyle w:val="Para0"/>
      </w:pPr>
      <w:r>
        <w:t>TIME 0.05</w:t>
      </w:r>
    </w:p>
    <w:p w14:paraId="33B861C6" w14:textId="77777777" w:rsidR="001A0C35" w:rsidRDefault="001A0C35" w:rsidP="001A0C35">
      <w:pPr>
        <w:pStyle w:val="Para0"/>
      </w:pPr>
      <w:r>
        <w:t>TIME 0.06</w:t>
      </w:r>
    </w:p>
    <w:p w14:paraId="438BA7DF" w14:textId="77777777" w:rsidR="001A0C35" w:rsidRDefault="001A0C35" w:rsidP="001A0C35">
      <w:pPr>
        <w:pStyle w:val="Para0"/>
      </w:pPr>
      <w:r>
        <w:t>TIME 0.07</w:t>
      </w:r>
    </w:p>
    <w:p w14:paraId="5FB3DFAA" w14:textId="77777777" w:rsidR="001A0C35" w:rsidRDefault="001A0C35" w:rsidP="001A0C35">
      <w:pPr>
        <w:pStyle w:val="Para0"/>
      </w:pPr>
      <w:r>
        <w:t>TIME 0.08</w:t>
      </w:r>
    </w:p>
    <w:p w14:paraId="12986BCE" w14:textId="77777777" w:rsidR="001A0C35" w:rsidRDefault="001A0C35" w:rsidP="001A0C35">
      <w:pPr>
        <w:pStyle w:val="Para0"/>
      </w:pPr>
      <w:r>
        <w:t>DTWELL 0.00001</w:t>
      </w:r>
    </w:p>
    <w:p w14:paraId="7C6C78A7" w14:textId="77777777" w:rsidR="001A0C35" w:rsidRDefault="001A0C35" w:rsidP="001A0C35">
      <w:pPr>
        <w:pStyle w:val="Para0"/>
      </w:pPr>
      <w:r>
        <w:t>DTMAX 0.002</w:t>
      </w:r>
    </w:p>
    <w:p w14:paraId="685D8F0F" w14:textId="77777777" w:rsidR="001A0C35" w:rsidRDefault="001A0C35" w:rsidP="001A0C35">
      <w:pPr>
        <w:pStyle w:val="Para0"/>
      </w:pPr>
      <w:r>
        <w:t xml:space="preserve">**Composition of Pusher </w:t>
      </w:r>
    </w:p>
    <w:p w14:paraId="68461DF8" w14:textId="77777777" w:rsidR="001A0C35" w:rsidRDefault="001A0C35" w:rsidP="001A0C35">
      <w:pPr>
        <w:pStyle w:val="Para0"/>
      </w:pPr>
      <w:r>
        <w:t>INJECTOR *MOBWEIGHT 'INJECT'</w:t>
      </w:r>
    </w:p>
    <w:p w14:paraId="64F8A608" w14:textId="77777777" w:rsidR="001A0C35" w:rsidRDefault="001A0C35" w:rsidP="001A0C35">
      <w:pPr>
        <w:pStyle w:val="Para0"/>
      </w:pPr>
      <w:r>
        <w:t xml:space="preserve">INCOMP WATER-OIL 0.035 0.00 0.0003 0.0 0.0 0.0 0.962 0.0 </w:t>
      </w:r>
    </w:p>
    <w:p w14:paraId="3206732C" w14:textId="77777777" w:rsidR="001A0C35" w:rsidRDefault="001A0C35" w:rsidP="001A0C35">
      <w:pPr>
        <w:pStyle w:val="Para0"/>
      </w:pPr>
      <w:r>
        <w:t>OPERATE MAX BHP 9999.0 CONT</w:t>
      </w:r>
    </w:p>
    <w:p w14:paraId="3C7D38E6" w14:textId="77777777" w:rsidR="001A0C35" w:rsidRDefault="001A0C35" w:rsidP="001A0C35">
      <w:pPr>
        <w:pStyle w:val="Para0"/>
      </w:pPr>
      <w:r>
        <w:t>OPERATE MAX STF  550.0 CONT</w:t>
      </w:r>
    </w:p>
    <w:p w14:paraId="2AFCA832" w14:textId="77777777" w:rsidR="001A0C35" w:rsidRDefault="001A0C35" w:rsidP="001A0C35">
      <w:pPr>
        <w:pStyle w:val="Para0"/>
      </w:pPr>
      <w:r>
        <w:t>TIME    0.310909</w:t>
      </w:r>
    </w:p>
    <w:p w14:paraId="39CD5B6F" w14:textId="77777777" w:rsidR="001A0C35" w:rsidRDefault="001A0C35" w:rsidP="001A0C35">
      <w:pPr>
        <w:pStyle w:val="Para0"/>
      </w:pPr>
      <w:r>
        <w:t>TIME    0.332727</w:t>
      </w:r>
    </w:p>
    <w:p w14:paraId="16397FED" w14:textId="77777777" w:rsidR="001A0C35" w:rsidRDefault="001A0C35" w:rsidP="001A0C35">
      <w:pPr>
        <w:pStyle w:val="Para0"/>
      </w:pPr>
      <w:r>
        <w:t xml:space="preserve">** </w:t>
      </w:r>
    </w:p>
    <w:p w14:paraId="36ED6F54" w14:textId="77777777" w:rsidR="001A0C35" w:rsidRDefault="001A0C35" w:rsidP="001A0C35">
      <w:pPr>
        <w:pStyle w:val="Para0"/>
      </w:pPr>
      <w:r>
        <w:t>**  Shut in period, shut in for 1 days</w:t>
      </w:r>
    </w:p>
    <w:p w14:paraId="4DD4C740" w14:textId="77777777" w:rsidR="001A0C35" w:rsidRDefault="001A0C35" w:rsidP="001A0C35">
      <w:pPr>
        <w:pStyle w:val="Para0"/>
      </w:pPr>
      <w:r>
        <w:t xml:space="preserve">** </w:t>
      </w:r>
    </w:p>
    <w:p w14:paraId="76ECC501" w14:textId="77777777" w:rsidR="001A0C35" w:rsidRDefault="001A0C35" w:rsidP="001A0C35">
      <w:pPr>
        <w:pStyle w:val="Para0"/>
      </w:pPr>
      <w:r>
        <w:t>SHUTIN 'INJECT'</w:t>
      </w:r>
    </w:p>
    <w:p w14:paraId="744EA0A2" w14:textId="77777777" w:rsidR="001A0C35" w:rsidRDefault="001A0C35" w:rsidP="001A0C35">
      <w:pPr>
        <w:pStyle w:val="Para0"/>
      </w:pPr>
      <w:r>
        <w:t>TIME    0.5</w:t>
      </w:r>
    </w:p>
    <w:p w14:paraId="07756F00" w14:textId="77777777" w:rsidR="001A0C35" w:rsidRDefault="001A0C35" w:rsidP="001A0C35">
      <w:pPr>
        <w:pStyle w:val="Para0"/>
      </w:pPr>
      <w:r>
        <w:t>TIME    0.75</w:t>
      </w:r>
    </w:p>
    <w:p w14:paraId="3F300820" w14:textId="77777777" w:rsidR="001A0C35" w:rsidRDefault="001A0C35" w:rsidP="001A0C35">
      <w:pPr>
        <w:pStyle w:val="Para0"/>
      </w:pPr>
      <w:r>
        <w:t>TIME    1.0</w:t>
      </w:r>
    </w:p>
    <w:p w14:paraId="30B48526" w14:textId="77777777" w:rsidR="001A0C35" w:rsidRDefault="001A0C35" w:rsidP="001A0C35">
      <w:pPr>
        <w:pStyle w:val="Para0"/>
      </w:pPr>
      <w:r>
        <w:lastRenderedPageBreak/>
        <w:t>TIME    1.332727</w:t>
      </w:r>
    </w:p>
    <w:p w14:paraId="1864CE43" w14:textId="77777777" w:rsidR="001A0C35" w:rsidRDefault="001A0C35" w:rsidP="001A0C35">
      <w:pPr>
        <w:pStyle w:val="Para0"/>
      </w:pPr>
      <w:r>
        <w:t xml:space="preserve">** </w:t>
      </w:r>
    </w:p>
    <w:p w14:paraId="6E499071" w14:textId="77777777" w:rsidR="001A0C35" w:rsidRDefault="001A0C35" w:rsidP="001A0C35">
      <w:pPr>
        <w:pStyle w:val="Para0"/>
      </w:pPr>
      <w:r>
        <w:t>**  Produce back the tracers</w:t>
      </w:r>
    </w:p>
    <w:p w14:paraId="1737306C" w14:textId="77777777" w:rsidR="001A0C35" w:rsidRDefault="001A0C35" w:rsidP="001A0C35">
      <w:pPr>
        <w:pStyle w:val="Para0"/>
      </w:pPr>
      <w:r>
        <w:t xml:space="preserve">** </w:t>
      </w:r>
    </w:p>
    <w:p w14:paraId="3B494BF8" w14:textId="77777777" w:rsidR="001A0C35" w:rsidRDefault="001A0C35" w:rsidP="001A0C35">
      <w:pPr>
        <w:pStyle w:val="Para0"/>
      </w:pPr>
      <w:r>
        <w:t>DTWELL 0.00001</w:t>
      </w:r>
    </w:p>
    <w:p w14:paraId="05F42D6F" w14:textId="77777777" w:rsidR="001A0C35" w:rsidRDefault="001A0C35" w:rsidP="001A0C35">
      <w:pPr>
        <w:pStyle w:val="Para0"/>
      </w:pPr>
      <w:r>
        <w:t>PRODUCER 'PRODUC'</w:t>
      </w:r>
    </w:p>
    <w:p w14:paraId="037FA19E" w14:textId="77777777" w:rsidR="001A0C35" w:rsidRDefault="001A0C35" w:rsidP="001A0C35">
      <w:pPr>
        <w:pStyle w:val="Para0"/>
      </w:pPr>
      <w:r>
        <w:t>OPERATE MIN BHP 1200.0 CONT</w:t>
      </w:r>
    </w:p>
    <w:p w14:paraId="5267D6E8" w14:textId="77777777" w:rsidR="001A0C35" w:rsidRDefault="001A0C35" w:rsidP="001A0C35">
      <w:pPr>
        <w:pStyle w:val="Para0"/>
      </w:pPr>
      <w:r>
        <w:t>OPERATE MAX STL 820.00 CONT</w:t>
      </w:r>
    </w:p>
    <w:p w14:paraId="74AC5812" w14:textId="77777777" w:rsidR="001A0C35" w:rsidRDefault="001A0C35" w:rsidP="001A0C35">
      <w:pPr>
        <w:pStyle w:val="Para0"/>
      </w:pPr>
      <w:r>
        <w:t>** liquid rate in bbl/day</w:t>
      </w:r>
    </w:p>
    <w:p w14:paraId="12BBA9EC" w14:textId="77777777" w:rsidR="001A0C35" w:rsidRDefault="001A0C35" w:rsidP="001A0C35">
      <w:pPr>
        <w:pStyle w:val="Para0"/>
      </w:pPr>
      <w:r>
        <w:t>OPEN 'PRODUC'</w:t>
      </w:r>
    </w:p>
    <w:p w14:paraId="44726E1E" w14:textId="77777777" w:rsidR="001A0C35" w:rsidRDefault="001A0C35" w:rsidP="001A0C35">
      <w:pPr>
        <w:pStyle w:val="Para0"/>
      </w:pPr>
      <w:r>
        <w:t>TIME</w:t>
      </w:r>
      <w:r>
        <w:tab/>
        <w:t>1.34</w:t>
      </w:r>
    </w:p>
    <w:p w14:paraId="74F75541" w14:textId="77777777" w:rsidR="001A0C35" w:rsidRDefault="001A0C35" w:rsidP="001A0C35">
      <w:pPr>
        <w:pStyle w:val="Para0"/>
      </w:pPr>
      <w:r>
        <w:t>TIME</w:t>
      </w:r>
      <w:r>
        <w:tab/>
        <w:t>1.36</w:t>
      </w:r>
    </w:p>
    <w:p w14:paraId="4F8E8F14" w14:textId="77777777" w:rsidR="001A0C35" w:rsidRDefault="001A0C35" w:rsidP="001A0C35">
      <w:pPr>
        <w:pStyle w:val="Para0"/>
      </w:pPr>
      <w:r>
        <w:t>TIME</w:t>
      </w:r>
      <w:r>
        <w:tab/>
        <w:t>1.38</w:t>
      </w:r>
    </w:p>
    <w:p w14:paraId="4FB07A6A" w14:textId="2A9D90E3" w:rsidR="001A0C35" w:rsidRDefault="001A0C35" w:rsidP="001A0C35">
      <w:pPr>
        <w:pStyle w:val="Para0"/>
      </w:pPr>
      <w:r>
        <w:t>.</w:t>
      </w:r>
      <w:r>
        <w:tab/>
        <w:t>.</w:t>
      </w:r>
    </w:p>
    <w:p w14:paraId="74ABAEA3" w14:textId="7939B8C4" w:rsidR="001A0C35" w:rsidRDefault="001A0C35" w:rsidP="001A0C35">
      <w:pPr>
        <w:pStyle w:val="Para0"/>
      </w:pPr>
      <w:r>
        <w:t>.</w:t>
      </w:r>
      <w:r>
        <w:tab/>
        <w:t>.</w:t>
      </w:r>
    </w:p>
    <w:p w14:paraId="661629FC" w14:textId="088758BE" w:rsidR="001A0C35" w:rsidRDefault="001A0C35" w:rsidP="001A0C35">
      <w:pPr>
        <w:pStyle w:val="Para0"/>
      </w:pPr>
      <w:r>
        <w:t>.</w:t>
      </w:r>
      <w:r>
        <w:tab/>
        <w:t>0</w:t>
      </w:r>
    </w:p>
    <w:p w14:paraId="4D174EA4" w14:textId="6EF1DCCC" w:rsidR="001A0C35" w:rsidRDefault="001A0C35" w:rsidP="001A0C35">
      <w:pPr>
        <w:pStyle w:val="Para0"/>
      </w:pPr>
      <w:r>
        <w:t>TIME</w:t>
      </w:r>
      <w:r>
        <w:tab/>
        <w:t>4</w:t>
      </w:r>
    </w:p>
    <w:p w14:paraId="1230CB5D" w14:textId="77777777" w:rsidR="001A0C35" w:rsidRDefault="001A0C35" w:rsidP="001A0C35">
      <w:pPr>
        <w:pStyle w:val="Para0"/>
      </w:pPr>
      <w:r>
        <w:t>Stop</w:t>
      </w:r>
    </w:p>
    <w:p w14:paraId="641F93E0" w14:textId="77777777" w:rsidR="001A0C35" w:rsidRDefault="001A0C35" w:rsidP="001A0C35"/>
    <w:p w14:paraId="3535CFC2" w14:textId="34D1846A" w:rsidR="00870FD9" w:rsidRPr="00B33055" w:rsidRDefault="00870FD9" w:rsidP="00A577BE">
      <w:pPr>
        <w:tabs>
          <w:tab w:val="clear" w:pos="7632"/>
        </w:tabs>
        <w:ind w:firstLine="0"/>
      </w:pPr>
      <w:bookmarkStart w:id="291" w:name="_GoBack"/>
      <w:bookmarkEnd w:id="291"/>
    </w:p>
    <w:sectPr w:rsidR="00870FD9" w:rsidRPr="00B33055" w:rsidSect="00DA1971">
      <w:footerReference w:type="default" r:id="rId95"/>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C4989" w14:textId="77777777" w:rsidR="00A53410" w:rsidRDefault="00A53410" w:rsidP="008E1C26">
      <w:pPr>
        <w:spacing w:line="240" w:lineRule="auto"/>
      </w:pPr>
      <w:r>
        <w:separator/>
      </w:r>
    </w:p>
  </w:endnote>
  <w:endnote w:type="continuationSeparator" w:id="0">
    <w:p w14:paraId="003A45ED" w14:textId="77777777" w:rsidR="00A53410" w:rsidRDefault="00A5341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463AE" w14:textId="77777777" w:rsidR="00C679FA" w:rsidRDefault="00C679FA" w:rsidP="004B68A3">
    <w:pPr>
      <w:pStyle w:val="Footer"/>
      <w:framePr w:wrap="none"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1C80D285" w14:textId="77777777" w:rsidR="00C679FA" w:rsidRDefault="00C679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B69AA" w14:textId="58366693" w:rsidR="00C679FA" w:rsidRDefault="00C679FA" w:rsidP="008E1C26">
    <w:pPr>
      <w:pStyle w:val="Footer"/>
      <w:jc w:val="center"/>
    </w:pPr>
    <w:r>
      <w:fldChar w:fldCharType="begin"/>
    </w:r>
    <w:r>
      <w:instrText xml:space="preserve"> PAGE   \* MERGEFORMAT </w:instrText>
    </w:r>
    <w:r>
      <w:fldChar w:fldCharType="separate"/>
    </w:r>
    <w:r w:rsidR="00A577BE">
      <w:rPr>
        <w:noProof/>
      </w:rPr>
      <w:t>xvii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ADC1D" w14:textId="196BDCE5" w:rsidR="00C679FA" w:rsidRDefault="00C679FA" w:rsidP="00F72DC1">
    <w:pPr>
      <w:pStyle w:val="Footer"/>
      <w:ind w:firstLine="0"/>
      <w:jc w:val="center"/>
    </w:pPr>
    <w:r>
      <w:fldChar w:fldCharType="begin"/>
    </w:r>
    <w:r>
      <w:instrText xml:space="preserve"> PAGE   \* MERGEFORMAT </w:instrText>
    </w:r>
    <w:r>
      <w:fldChar w:fldCharType="separate"/>
    </w:r>
    <w:r w:rsidR="00A577BE">
      <w:rPr>
        <w:noProof/>
      </w:rPr>
      <w:t>143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36DD2" w14:textId="77777777" w:rsidR="00A53410" w:rsidRDefault="00A53410" w:rsidP="008E1C26">
      <w:pPr>
        <w:spacing w:line="240" w:lineRule="auto"/>
      </w:pPr>
      <w:r>
        <w:separator/>
      </w:r>
    </w:p>
  </w:footnote>
  <w:footnote w:type="continuationSeparator" w:id="0">
    <w:p w14:paraId="1529C687" w14:textId="77777777" w:rsidR="00A53410" w:rsidRDefault="00A53410"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47428"/>
    <w:multiLevelType w:val="hybridMultilevel"/>
    <w:tmpl w:val="38D490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323B3E"/>
    <w:multiLevelType w:val="hybridMultilevel"/>
    <w:tmpl w:val="F0F6BF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E02EA6"/>
    <w:multiLevelType w:val="hybridMultilevel"/>
    <w:tmpl w:val="BE16DD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A27ADF"/>
    <w:multiLevelType w:val="hybridMultilevel"/>
    <w:tmpl w:val="05003B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42C7F5C"/>
    <w:multiLevelType w:val="hybridMultilevel"/>
    <w:tmpl w:val="686447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347FEF"/>
    <w:multiLevelType w:val="multilevel"/>
    <w:tmpl w:val="EDE4FD22"/>
    <w:lvl w:ilvl="0">
      <w:start w:val="1"/>
      <w:numFmt w:val="decimal"/>
      <w:pStyle w:val="Heading1"/>
      <w:lvlText w:val="Chapter %1."/>
      <w:lvlJc w:val="left"/>
      <w:pPr>
        <w:ind w:left="234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A7524C7"/>
    <w:multiLevelType w:val="hybridMultilevel"/>
    <w:tmpl w:val="5CC2F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91201"/>
    <w:multiLevelType w:val="hybridMultilevel"/>
    <w:tmpl w:val="A224E5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3CA3B01"/>
    <w:multiLevelType w:val="hybridMultilevel"/>
    <w:tmpl w:val="D0CA5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F23041"/>
    <w:multiLevelType w:val="hybridMultilevel"/>
    <w:tmpl w:val="EBB04B4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15:restartNumberingAfterBreak="0">
    <w:nsid w:val="29C234D1"/>
    <w:multiLevelType w:val="hybridMultilevel"/>
    <w:tmpl w:val="329AA4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EE839EC"/>
    <w:multiLevelType w:val="hybridMultilevel"/>
    <w:tmpl w:val="C4600EBA"/>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2" w15:restartNumberingAfterBreak="0">
    <w:nsid w:val="2F411194"/>
    <w:multiLevelType w:val="hybridMultilevel"/>
    <w:tmpl w:val="2CE22DB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15:restartNumberingAfterBreak="0">
    <w:nsid w:val="31E549E9"/>
    <w:multiLevelType w:val="hybridMultilevel"/>
    <w:tmpl w:val="7F5C54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6760233"/>
    <w:multiLevelType w:val="hybridMultilevel"/>
    <w:tmpl w:val="394C78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6E163B8"/>
    <w:multiLevelType w:val="hybridMultilevel"/>
    <w:tmpl w:val="A9C47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4342568"/>
    <w:multiLevelType w:val="hybridMultilevel"/>
    <w:tmpl w:val="E11A5C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5F44842"/>
    <w:multiLevelType w:val="hybridMultilevel"/>
    <w:tmpl w:val="67ACC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026202"/>
    <w:multiLevelType w:val="hybridMultilevel"/>
    <w:tmpl w:val="542801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F186837"/>
    <w:multiLevelType w:val="hybridMultilevel"/>
    <w:tmpl w:val="E4BCA5D6"/>
    <w:lvl w:ilvl="0" w:tplc="0409000F">
      <w:start w:val="1"/>
      <w:numFmt w:val="decimal"/>
      <w:lvlText w:val="%1."/>
      <w:lvlJc w:val="left"/>
      <w:pPr>
        <w:ind w:left="1440" w:hanging="360"/>
      </w:pPr>
      <w:rPr>
        <w:rFonts w:hint="default"/>
      </w:rPr>
    </w:lvl>
    <w:lvl w:ilvl="1" w:tplc="B18CE1BC">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FAA34A9"/>
    <w:multiLevelType w:val="hybridMultilevel"/>
    <w:tmpl w:val="C0A2A8EC"/>
    <w:lvl w:ilvl="0" w:tplc="711CB844">
      <w:start w:val="1"/>
      <w:numFmt w:val="decimal"/>
      <w:lvlText w:val="%1."/>
      <w:lvlJc w:val="left"/>
      <w:pPr>
        <w:ind w:left="720" w:hanging="360"/>
      </w:pPr>
      <w:rPr>
        <w:rFonts w:hint="eastAsia"/>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C876D5"/>
    <w:multiLevelType w:val="multilevel"/>
    <w:tmpl w:val="1EBA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912E9A"/>
    <w:multiLevelType w:val="hybridMultilevel"/>
    <w:tmpl w:val="E3780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DA0F03"/>
    <w:multiLevelType w:val="hybridMultilevel"/>
    <w:tmpl w:val="350A4D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1702F3B"/>
    <w:multiLevelType w:val="hybridMultilevel"/>
    <w:tmpl w:val="408C94F2"/>
    <w:lvl w:ilvl="0" w:tplc="53704B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A56ABA"/>
    <w:multiLevelType w:val="hybridMultilevel"/>
    <w:tmpl w:val="9C7A9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9"/>
  </w:num>
  <w:num w:numId="4">
    <w:abstractNumId w:val="17"/>
  </w:num>
  <w:num w:numId="5">
    <w:abstractNumId w:val="22"/>
  </w:num>
  <w:num w:numId="6">
    <w:abstractNumId w:val="25"/>
  </w:num>
  <w:num w:numId="7">
    <w:abstractNumId w:val="0"/>
  </w:num>
  <w:num w:numId="8">
    <w:abstractNumId w:val="16"/>
  </w:num>
  <w:num w:numId="9">
    <w:abstractNumId w:val="9"/>
  </w:num>
  <w:num w:numId="10">
    <w:abstractNumId w:val="12"/>
  </w:num>
  <w:num w:numId="11">
    <w:abstractNumId w:val="23"/>
  </w:num>
  <w:num w:numId="12">
    <w:abstractNumId w:val="8"/>
  </w:num>
  <w:num w:numId="13">
    <w:abstractNumId w:val="20"/>
  </w:num>
  <w:num w:numId="14">
    <w:abstractNumId w:val="21"/>
  </w:num>
  <w:num w:numId="15">
    <w:abstractNumId w:val="6"/>
  </w:num>
  <w:num w:numId="16">
    <w:abstractNumId w:val="13"/>
  </w:num>
  <w:num w:numId="17">
    <w:abstractNumId w:val="24"/>
  </w:num>
  <w:num w:numId="18">
    <w:abstractNumId w:val="7"/>
  </w:num>
  <w:num w:numId="19">
    <w:abstractNumId w:val="18"/>
  </w:num>
  <w:num w:numId="20">
    <w:abstractNumId w:val="2"/>
  </w:num>
  <w:num w:numId="21">
    <w:abstractNumId w:val="4"/>
  </w:num>
  <w:num w:numId="22">
    <w:abstractNumId w:val="15"/>
  </w:num>
  <w:num w:numId="23">
    <w:abstractNumId w:val="14"/>
  </w:num>
  <w:num w:numId="24">
    <w:abstractNumId w:val="3"/>
  </w:num>
  <w:num w:numId="25">
    <w:abstractNumId w:val="10"/>
  </w:num>
  <w:num w:numId="26">
    <w:abstractNumId w:val="11"/>
  </w:num>
  <w:num w:numId="2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15B5C"/>
    <w:rsid w:val="00024183"/>
    <w:rsid w:val="00025A12"/>
    <w:rsid w:val="00025D67"/>
    <w:rsid w:val="000302AC"/>
    <w:rsid w:val="000314D1"/>
    <w:rsid w:val="00033040"/>
    <w:rsid w:val="00041B04"/>
    <w:rsid w:val="0004427B"/>
    <w:rsid w:val="00044558"/>
    <w:rsid w:val="00044CA3"/>
    <w:rsid w:val="00053734"/>
    <w:rsid w:val="0005374D"/>
    <w:rsid w:val="0006219F"/>
    <w:rsid w:val="00065C5B"/>
    <w:rsid w:val="00076B36"/>
    <w:rsid w:val="00077A99"/>
    <w:rsid w:val="00077F0A"/>
    <w:rsid w:val="0008176F"/>
    <w:rsid w:val="000875AC"/>
    <w:rsid w:val="00087936"/>
    <w:rsid w:val="000964A7"/>
    <w:rsid w:val="000B0409"/>
    <w:rsid w:val="000B7254"/>
    <w:rsid w:val="000C18E6"/>
    <w:rsid w:val="000C24B8"/>
    <w:rsid w:val="000D000C"/>
    <w:rsid w:val="000F56FF"/>
    <w:rsid w:val="00105213"/>
    <w:rsid w:val="00105BBB"/>
    <w:rsid w:val="00106F9B"/>
    <w:rsid w:val="00111915"/>
    <w:rsid w:val="0011235F"/>
    <w:rsid w:val="001133B5"/>
    <w:rsid w:val="00115DD6"/>
    <w:rsid w:val="001274DC"/>
    <w:rsid w:val="00133361"/>
    <w:rsid w:val="0013560F"/>
    <w:rsid w:val="00136C3D"/>
    <w:rsid w:val="001504BE"/>
    <w:rsid w:val="00150769"/>
    <w:rsid w:val="00152284"/>
    <w:rsid w:val="0015342A"/>
    <w:rsid w:val="001569A4"/>
    <w:rsid w:val="001647FD"/>
    <w:rsid w:val="00165CF5"/>
    <w:rsid w:val="00172240"/>
    <w:rsid w:val="0017608A"/>
    <w:rsid w:val="001826B1"/>
    <w:rsid w:val="00183CBB"/>
    <w:rsid w:val="00187492"/>
    <w:rsid w:val="00187691"/>
    <w:rsid w:val="00197268"/>
    <w:rsid w:val="001A0C35"/>
    <w:rsid w:val="001A3DDE"/>
    <w:rsid w:val="001B12EF"/>
    <w:rsid w:val="001B1E4C"/>
    <w:rsid w:val="001B521A"/>
    <w:rsid w:val="001B588B"/>
    <w:rsid w:val="001B7B11"/>
    <w:rsid w:val="001C08D5"/>
    <w:rsid w:val="001C10A0"/>
    <w:rsid w:val="001C3B63"/>
    <w:rsid w:val="001E374B"/>
    <w:rsid w:val="001E3D44"/>
    <w:rsid w:val="001F2CF3"/>
    <w:rsid w:val="0020236B"/>
    <w:rsid w:val="002052CC"/>
    <w:rsid w:val="002126AD"/>
    <w:rsid w:val="002147D8"/>
    <w:rsid w:val="00215659"/>
    <w:rsid w:val="0021799E"/>
    <w:rsid w:val="002244D3"/>
    <w:rsid w:val="0022467D"/>
    <w:rsid w:val="00225A39"/>
    <w:rsid w:val="00227893"/>
    <w:rsid w:val="00231A20"/>
    <w:rsid w:val="00234A43"/>
    <w:rsid w:val="0023542E"/>
    <w:rsid w:val="00240CAE"/>
    <w:rsid w:val="00244C26"/>
    <w:rsid w:val="002549C2"/>
    <w:rsid w:val="00257382"/>
    <w:rsid w:val="0025754A"/>
    <w:rsid w:val="00260F9A"/>
    <w:rsid w:val="002659FC"/>
    <w:rsid w:val="002663DE"/>
    <w:rsid w:val="00271ED6"/>
    <w:rsid w:val="00273C00"/>
    <w:rsid w:val="00274E2C"/>
    <w:rsid w:val="00280FFF"/>
    <w:rsid w:val="00284EC6"/>
    <w:rsid w:val="00290C67"/>
    <w:rsid w:val="00295162"/>
    <w:rsid w:val="00295701"/>
    <w:rsid w:val="00295C86"/>
    <w:rsid w:val="002A0FFA"/>
    <w:rsid w:val="002B0191"/>
    <w:rsid w:val="002B0439"/>
    <w:rsid w:val="002B0D7E"/>
    <w:rsid w:val="002B23EE"/>
    <w:rsid w:val="002B3527"/>
    <w:rsid w:val="002B38BC"/>
    <w:rsid w:val="002B4743"/>
    <w:rsid w:val="002C4907"/>
    <w:rsid w:val="002C6299"/>
    <w:rsid w:val="002D015D"/>
    <w:rsid w:val="002D6E20"/>
    <w:rsid w:val="002D7214"/>
    <w:rsid w:val="002E157F"/>
    <w:rsid w:val="002E586B"/>
    <w:rsid w:val="002E668B"/>
    <w:rsid w:val="002F5155"/>
    <w:rsid w:val="002F7626"/>
    <w:rsid w:val="00304B8E"/>
    <w:rsid w:val="00304FD6"/>
    <w:rsid w:val="0030767B"/>
    <w:rsid w:val="0030787B"/>
    <w:rsid w:val="00314F3F"/>
    <w:rsid w:val="003150FD"/>
    <w:rsid w:val="00320BD2"/>
    <w:rsid w:val="003218D0"/>
    <w:rsid w:val="003240AA"/>
    <w:rsid w:val="00326607"/>
    <w:rsid w:val="00335E19"/>
    <w:rsid w:val="00342BD8"/>
    <w:rsid w:val="00343673"/>
    <w:rsid w:val="003450B1"/>
    <w:rsid w:val="003532F5"/>
    <w:rsid w:val="003635D6"/>
    <w:rsid w:val="00365408"/>
    <w:rsid w:val="003732EF"/>
    <w:rsid w:val="00385E9D"/>
    <w:rsid w:val="003867A8"/>
    <w:rsid w:val="00386E26"/>
    <w:rsid w:val="00387366"/>
    <w:rsid w:val="00393159"/>
    <w:rsid w:val="00393D27"/>
    <w:rsid w:val="0039440D"/>
    <w:rsid w:val="00394DD3"/>
    <w:rsid w:val="00396207"/>
    <w:rsid w:val="003A060D"/>
    <w:rsid w:val="003B0A2F"/>
    <w:rsid w:val="003B28C4"/>
    <w:rsid w:val="003B34C7"/>
    <w:rsid w:val="003B73A8"/>
    <w:rsid w:val="003C325C"/>
    <w:rsid w:val="003D34F2"/>
    <w:rsid w:val="003E22B5"/>
    <w:rsid w:val="003F19BC"/>
    <w:rsid w:val="003F6AA5"/>
    <w:rsid w:val="00400F43"/>
    <w:rsid w:val="0041747C"/>
    <w:rsid w:val="004274BB"/>
    <w:rsid w:val="00433649"/>
    <w:rsid w:val="004431F8"/>
    <w:rsid w:val="00446C6C"/>
    <w:rsid w:val="0045027D"/>
    <w:rsid w:val="00461AA9"/>
    <w:rsid w:val="00462619"/>
    <w:rsid w:val="00465B4B"/>
    <w:rsid w:val="00472B7F"/>
    <w:rsid w:val="004778A8"/>
    <w:rsid w:val="004778B0"/>
    <w:rsid w:val="004928D6"/>
    <w:rsid w:val="0049556B"/>
    <w:rsid w:val="00496C57"/>
    <w:rsid w:val="004A29CA"/>
    <w:rsid w:val="004A2B6A"/>
    <w:rsid w:val="004A52B4"/>
    <w:rsid w:val="004A7222"/>
    <w:rsid w:val="004B1F0B"/>
    <w:rsid w:val="004B2848"/>
    <w:rsid w:val="004B68A3"/>
    <w:rsid w:val="004C7A20"/>
    <w:rsid w:val="004D1572"/>
    <w:rsid w:val="004D285B"/>
    <w:rsid w:val="004D503A"/>
    <w:rsid w:val="004E13D7"/>
    <w:rsid w:val="004E41F4"/>
    <w:rsid w:val="004F0A37"/>
    <w:rsid w:val="004F2C20"/>
    <w:rsid w:val="004F4880"/>
    <w:rsid w:val="005027A4"/>
    <w:rsid w:val="00502EF8"/>
    <w:rsid w:val="00503CF0"/>
    <w:rsid w:val="00507D04"/>
    <w:rsid w:val="005142CD"/>
    <w:rsid w:val="00515883"/>
    <w:rsid w:val="0052505A"/>
    <w:rsid w:val="0053028C"/>
    <w:rsid w:val="005354E8"/>
    <w:rsid w:val="00541084"/>
    <w:rsid w:val="00541722"/>
    <w:rsid w:val="00546792"/>
    <w:rsid w:val="00546FB1"/>
    <w:rsid w:val="0055098F"/>
    <w:rsid w:val="00567D0C"/>
    <w:rsid w:val="00567E4E"/>
    <w:rsid w:val="0057775C"/>
    <w:rsid w:val="00582EBC"/>
    <w:rsid w:val="00583C7E"/>
    <w:rsid w:val="005849F0"/>
    <w:rsid w:val="005A0F10"/>
    <w:rsid w:val="005A2B79"/>
    <w:rsid w:val="005A648E"/>
    <w:rsid w:val="005A6F71"/>
    <w:rsid w:val="005B0243"/>
    <w:rsid w:val="005B0705"/>
    <w:rsid w:val="005B16E2"/>
    <w:rsid w:val="005C67D8"/>
    <w:rsid w:val="005C6FA1"/>
    <w:rsid w:val="005E1148"/>
    <w:rsid w:val="005E18EF"/>
    <w:rsid w:val="005E1B7F"/>
    <w:rsid w:val="005E322C"/>
    <w:rsid w:val="005E3F3D"/>
    <w:rsid w:val="005E64CF"/>
    <w:rsid w:val="005E6A44"/>
    <w:rsid w:val="005F514D"/>
    <w:rsid w:val="005F7BEA"/>
    <w:rsid w:val="0060038A"/>
    <w:rsid w:val="006010A2"/>
    <w:rsid w:val="006165F6"/>
    <w:rsid w:val="00616F9E"/>
    <w:rsid w:val="00621991"/>
    <w:rsid w:val="006273C0"/>
    <w:rsid w:val="00630A86"/>
    <w:rsid w:val="00633C74"/>
    <w:rsid w:val="00635364"/>
    <w:rsid w:val="0063608A"/>
    <w:rsid w:val="006375C3"/>
    <w:rsid w:val="0064225D"/>
    <w:rsid w:val="00645948"/>
    <w:rsid w:val="00645A8F"/>
    <w:rsid w:val="00647814"/>
    <w:rsid w:val="00652EEC"/>
    <w:rsid w:val="006532E8"/>
    <w:rsid w:val="006537EE"/>
    <w:rsid w:val="00653C73"/>
    <w:rsid w:val="00661C13"/>
    <w:rsid w:val="00663013"/>
    <w:rsid w:val="006715E5"/>
    <w:rsid w:val="0067351D"/>
    <w:rsid w:val="0068396E"/>
    <w:rsid w:val="0069549B"/>
    <w:rsid w:val="006A60C8"/>
    <w:rsid w:val="006A6340"/>
    <w:rsid w:val="006A66A6"/>
    <w:rsid w:val="006B074D"/>
    <w:rsid w:val="006B1D41"/>
    <w:rsid w:val="006B278C"/>
    <w:rsid w:val="006B3FD9"/>
    <w:rsid w:val="006B4721"/>
    <w:rsid w:val="006D1B98"/>
    <w:rsid w:val="006E2F7E"/>
    <w:rsid w:val="006E59C3"/>
    <w:rsid w:val="006E78FC"/>
    <w:rsid w:val="006F10CE"/>
    <w:rsid w:val="006F401C"/>
    <w:rsid w:val="0070017B"/>
    <w:rsid w:val="00705086"/>
    <w:rsid w:val="00705F1D"/>
    <w:rsid w:val="0070754B"/>
    <w:rsid w:val="00716B8F"/>
    <w:rsid w:val="0072190B"/>
    <w:rsid w:val="00721AA0"/>
    <w:rsid w:val="0072394D"/>
    <w:rsid w:val="007247B0"/>
    <w:rsid w:val="00730F0A"/>
    <w:rsid w:val="00741A40"/>
    <w:rsid w:val="00746E16"/>
    <w:rsid w:val="0075139B"/>
    <w:rsid w:val="00752F6F"/>
    <w:rsid w:val="007559B1"/>
    <w:rsid w:val="00761FDB"/>
    <w:rsid w:val="00764EAF"/>
    <w:rsid w:val="0076768C"/>
    <w:rsid w:val="007739FB"/>
    <w:rsid w:val="00775701"/>
    <w:rsid w:val="007758D0"/>
    <w:rsid w:val="0077743D"/>
    <w:rsid w:val="0078249D"/>
    <w:rsid w:val="007825A9"/>
    <w:rsid w:val="00784171"/>
    <w:rsid w:val="007864D2"/>
    <w:rsid w:val="0078679A"/>
    <w:rsid w:val="00792BBD"/>
    <w:rsid w:val="007A4D29"/>
    <w:rsid w:val="007B2B76"/>
    <w:rsid w:val="007C7A22"/>
    <w:rsid w:val="007D1766"/>
    <w:rsid w:val="007D1CA1"/>
    <w:rsid w:val="007D7CA0"/>
    <w:rsid w:val="007E4755"/>
    <w:rsid w:val="007E6281"/>
    <w:rsid w:val="007E7106"/>
    <w:rsid w:val="007F2648"/>
    <w:rsid w:val="00801D28"/>
    <w:rsid w:val="00806438"/>
    <w:rsid w:val="0081183F"/>
    <w:rsid w:val="008253D8"/>
    <w:rsid w:val="0082601C"/>
    <w:rsid w:val="008264BE"/>
    <w:rsid w:val="00835895"/>
    <w:rsid w:val="008363EA"/>
    <w:rsid w:val="00841129"/>
    <w:rsid w:val="008455F7"/>
    <w:rsid w:val="00853A5B"/>
    <w:rsid w:val="008577C1"/>
    <w:rsid w:val="00866487"/>
    <w:rsid w:val="00870FD9"/>
    <w:rsid w:val="008737BD"/>
    <w:rsid w:val="0087407F"/>
    <w:rsid w:val="00883469"/>
    <w:rsid w:val="008874BD"/>
    <w:rsid w:val="00891B40"/>
    <w:rsid w:val="008948B7"/>
    <w:rsid w:val="00896445"/>
    <w:rsid w:val="008A1EE9"/>
    <w:rsid w:val="008A4F22"/>
    <w:rsid w:val="008B3302"/>
    <w:rsid w:val="008B538B"/>
    <w:rsid w:val="008B6A47"/>
    <w:rsid w:val="008C27FE"/>
    <w:rsid w:val="008C67CE"/>
    <w:rsid w:val="008D3FB8"/>
    <w:rsid w:val="008D47C0"/>
    <w:rsid w:val="008D4AE0"/>
    <w:rsid w:val="008D7035"/>
    <w:rsid w:val="008E1C26"/>
    <w:rsid w:val="008E4E9B"/>
    <w:rsid w:val="008F03BC"/>
    <w:rsid w:val="008F1822"/>
    <w:rsid w:val="008F18DB"/>
    <w:rsid w:val="008F2A9C"/>
    <w:rsid w:val="00917439"/>
    <w:rsid w:val="00917D6C"/>
    <w:rsid w:val="009212CE"/>
    <w:rsid w:val="00923C92"/>
    <w:rsid w:val="00923CDA"/>
    <w:rsid w:val="009245C5"/>
    <w:rsid w:val="00931BB1"/>
    <w:rsid w:val="00947A34"/>
    <w:rsid w:val="00951235"/>
    <w:rsid w:val="00952BBC"/>
    <w:rsid w:val="0095624C"/>
    <w:rsid w:val="00962D1B"/>
    <w:rsid w:val="009671ED"/>
    <w:rsid w:val="00970092"/>
    <w:rsid w:val="0097206B"/>
    <w:rsid w:val="00976BD6"/>
    <w:rsid w:val="00983B02"/>
    <w:rsid w:val="00986AA0"/>
    <w:rsid w:val="00986CDA"/>
    <w:rsid w:val="00992C28"/>
    <w:rsid w:val="0099305F"/>
    <w:rsid w:val="009A1894"/>
    <w:rsid w:val="009A1F35"/>
    <w:rsid w:val="009B49FC"/>
    <w:rsid w:val="009B713B"/>
    <w:rsid w:val="009C12AD"/>
    <w:rsid w:val="009F7DF8"/>
    <w:rsid w:val="00A0094B"/>
    <w:rsid w:val="00A07F10"/>
    <w:rsid w:val="00A16C2F"/>
    <w:rsid w:val="00A34ED2"/>
    <w:rsid w:val="00A460F3"/>
    <w:rsid w:val="00A50007"/>
    <w:rsid w:val="00A5145A"/>
    <w:rsid w:val="00A523B9"/>
    <w:rsid w:val="00A53410"/>
    <w:rsid w:val="00A5385E"/>
    <w:rsid w:val="00A5626C"/>
    <w:rsid w:val="00A56800"/>
    <w:rsid w:val="00A577BE"/>
    <w:rsid w:val="00A63047"/>
    <w:rsid w:val="00A63F01"/>
    <w:rsid w:val="00A64709"/>
    <w:rsid w:val="00A67B82"/>
    <w:rsid w:val="00A77093"/>
    <w:rsid w:val="00A80041"/>
    <w:rsid w:val="00A81598"/>
    <w:rsid w:val="00A82147"/>
    <w:rsid w:val="00A85DF8"/>
    <w:rsid w:val="00A86E5D"/>
    <w:rsid w:val="00AA0B13"/>
    <w:rsid w:val="00AA1B3B"/>
    <w:rsid w:val="00AA2EEC"/>
    <w:rsid w:val="00AB1F24"/>
    <w:rsid w:val="00AB3AFA"/>
    <w:rsid w:val="00AB6760"/>
    <w:rsid w:val="00AB7141"/>
    <w:rsid w:val="00AC1D99"/>
    <w:rsid w:val="00AC5E50"/>
    <w:rsid w:val="00AD3F0B"/>
    <w:rsid w:val="00AD71C4"/>
    <w:rsid w:val="00AD7641"/>
    <w:rsid w:val="00AE2C14"/>
    <w:rsid w:val="00AE52D1"/>
    <w:rsid w:val="00AF0BB2"/>
    <w:rsid w:val="00B12893"/>
    <w:rsid w:val="00B130D2"/>
    <w:rsid w:val="00B16385"/>
    <w:rsid w:val="00B16F38"/>
    <w:rsid w:val="00B21E94"/>
    <w:rsid w:val="00B224CD"/>
    <w:rsid w:val="00B25987"/>
    <w:rsid w:val="00B26394"/>
    <w:rsid w:val="00B27029"/>
    <w:rsid w:val="00B270FE"/>
    <w:rsid w:val="00B309BA"/>
    <w:rsid w:val="00B36426"/>
    <w:rsid w:val="00B44EE8"/>
    <w:rsid w:val="00B52539"/>
    <w:rsid w:val="00B608B6"/>
    <w:rsid w:val="00B721FC"/>
    <w:rsid w:val="00B77D02"/>
    <w:rsid w:val="00B81294"/>
    <w:rsid w:val="00B83AC2"/>
    <w:rsid w:val="00B8472C"/>
    <w:rsid w:val="00B905E2"/>
    <w:rsid w:val="00B90AC3"/>
    <w:rsid w:val="00BA1A3A"/>
    <w:rsid w:val="00BA5406"/>
    <w:rsid w:val="00BA702F"/>
    <w:rsid w:val="00BB02BF"/>
    <w:rsid w:val="00BB3F72"/>
    <w:rsid w:val="00BB50E5"/>
    <w:rsid w:val="00BB62AA"/>
    <w:rsid w:val="00BB678C"/>
    <w:rsid w:val="00BC3175"/>
    <w:rsid w:val="00BC5106"/>
    <w:rsid w:val="00BD1142"/>
    <w:rsid w:val="00BD1B17"/>
    <w:rsid w:val="00BD45C8"/>
    <w:rsid w:val="00BE3C55"/>
    <w:rsid w:val="00BF0F08"/>
    <w:rsid w:val="00BF3F9B"/>
    <w:rsid w:val="00BF5593"/>
    <w:rsid w:val="00BF646E"/>
    <w:rsid w:val="00BF743B"/>
    <w:rsid w:val="00C050F5"/>
    <w:rsid w:val="00C0733A"/>
    <w:rsid w:val="00C07B3B"/>
    <w:rsid w:val="00C11CA2"/>
    <w:rsid w:val="00C15129"/>
    <w:rsid w:val="00C15E33"/>
    <w:rsid w:val="00C16C66"/>
    <w:rsid w:val="00C20141"/>
    <w:rsid w:val="00C20A7B"/>
    <w:rsid w:val="00C34090"/>
    <w:rsid w:val="00C3745C"/>
    <w:rsid w:val="00C4062A"/>
    <w:rsid w:val="00C41F95"/>
    <w:rsid w:val="00C43AB8"/>
    <w:rsid w:val="00C519C3"/>
    <w:rsid w:val="00C54100"/>
    <w:rsid w:val="00C56C84"/>
    <w:rsid w:val="00C63C23"/>
    <w:rsid w:val="00C679FA"/>
    <w:rsid w:val="00C7360D"/>
    <w:rsid w:val="00C8326D"/>
    <w:rsid w:val="00C92079"/>
    <w:rsid w:val="00C9358C"/>
    <w:rsid w:val="00C94A6A"/>
    <w:rsid w:val="00CA055F"/>
    <w:rsid w:val="00CA498F"/>
    <w:rsid w:val="00CB4C4B"/>
    <w:rsid w:val="00CB5CF3"/>
    <w:rsid w:val="00CC058B"/>
    <w:rsid w:val="00CC7E26"/>
    <w:rsid w:val="00CD3080"/>
    <w:rsid w:val="00CD498D"/>
    <w:rsid w:val="00CD7B1A"/>
    <w:rsid w:val="00CE0003"/>
    <w:rsid w:val="00CE0806"/>
    <w:rsid w:val="00CF0079"/>
    <w:rsid w:val="00CF75C3"/>
    <w:rsid w:val="00D00B44"/>
    <w:rsid w:val="00D11A67"/>
    <w:rsid w:val="00D20F79"/>
    <w:rsid w:val="00D2140E"/>
    <w:rsid w:val="00D240E6"/>
    <w:rsid w:val="00D323D6"/>
    <w:rsid w:val="00D36C56"/>
    <w:rsid w:val="00D4101A"/>
    <w:rsid w:val="00D418E4"/>
    <w:rsid w:val="00D51151"/>
    <w:rsid w:val="00D54F29"/>
    <w:rsid w:val="00D65384"/>
    <w:rsid w:val="00D72600"/>
    <w:rsid w:val="00D7324B"/>
    <w:rsid w:val="00D74A52"/>
    <w:rsid w:val="00D75B66"/>
    <w:rsid w:val="00D7664E"/>
    <w:rsid w:val="00D97CFA"/>
    <w:rsid w:val="00DA02BF"/>
    <w:rsid w:val="00DA1614"/>
    <w:rsid w:val="00DA1971"/>
    <w:rsid w:val="00DB57AB"/>
    <w:rsid w:val="00DB664C"/>
    <w:rsid w:val="00DC6749"/>
    <w:rsid w:val="00DD484C"/>
    <w:rsid w:val="00DE1EF7"/>
    <w:rsid w:val="00DE3A42"/>
    <w:rsid w:val="00DE46FD"/>
    <w:rsid w:val="00DE50F8"/>
    <w:rsid w:val="00DF46BB"/>
    <w:rsid w:val="00DF4B88"/>
    <w:rsid w:val="00E01163"/>
    <w:rsid w:val="00E04E62"/>
    <w:rsid w:val="00E0501B"/>
    <w:rsid w:val="00E110E7"/>
    <w:rsid w:val="00E11D2F"/>
    <w:rsid w:val="00E15F11"/>
    <w:rsid w:val="00E20B9A"/>
    <w:rsid w:val="00E252B0"/>
    <w:rsid w:val="00E25630"/>
    <w:rsid w:val="00E30DA2"/>
    <w:rsid w:val="00E36C46"/>
    <w:rsid w:val="00E40BCA"/>
    <w:rsid w:val="00E41F44"/>
    <w:rsid w:val="00E453E8"/>
    <w:rsid w:val="00E53D7E"/>
    <w:rsid w:val="00E56929"/>
    <w:rsid w:val="00E60148"/>
    <w:rsid w:val="00E62794"/>
    <w:rsid w:val="00E77477"/>
    <w:rsid w:val="00E81B4A"/>
    <w:rsid w:val="00E90516"/>
    <w:rsid w:val="00EA13D9"/>
    <w:rsid w:val="00EA7E4F"/>
    <w:rsid w:val="00EB2779"/>
    <w:rsid w:val="00ED2310"/>
    <w:rsid w:val="00ED6F0B"/>
    <w:rsid w:val="00EE1421"/>
    <w:rsid w:val="00EE1461"/>
    <w:rsid w:val="00EE1FA0"/>
    <w:rsid w:val="00EE3797"/>
    <w:rsid w:val="00EF5A77"/>
    <w:rsid w:val="00EF6B9E"/>
    <w:rsid w:val="00F00888"/>
    <w:rsid w:val="00F1043F"/>
    <w:rsid w:val="00F1097F"/>
    <w:rsid w:val="00F1614E"/>
    <w:rsid w:val="00F169EB"/>
    <w:rsid w:val="00F242D4"/>
    <w:rsid w:val="00F27248"/>
    <w:rsid w:val="00F27FCB"/>
    <w:rsid w:val="00F31BB1"/>
    <w:rsid w:val="00F31C3C"/>
    <w:rsid w:val="00F33548"/>
    <w:rsid w:val="00F37F46"/>
    <w:rsid w:val="00F46A49"/>
    <w:rsid w:val="00F52532"/>
    <w:rsid w:val="00F64439"/>
    <w:rsid w:val="00F7122D"/>
    <w:rsid w:val="00F72DC1"/>
    <w:rsid w:val="00F93475"/>
    <w:rsid w:val="00F9571D"/>
    <w:rsid w:val="00FA2425"/>
    <w:rsid w:val="00FA76D3"/>
    <w:rsid w:val="00FB4B9A"/>
    <w:rsid w:val="00FB5287"/>
    <w:rsid w:val="00FC2839"/>
    <w:rsid w:val="00FC5391"/>
    <w:rsid w:val="00FC6A58"/>
    <w:rsid w:val="00FC7CD5"/>
    <w:rsid w:val="00FD2045"/>
    <w:rsid w:val="00FE08D8"/>
    <w:rsid w:val="00FE2002"/>
    <w:rsid w:val="00FE3B38"/>
    <w:rsid w:val="00FE5010"/>
    <w:rsid w:val="00FF054E"/>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FD955"/>
  <w15:docId w15:val="{97ADFEBC-C5FD-4F6A-B9BB-D96F1E020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pPr>
        <w:spacing w:line="48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76D3"/>
    <w:pPr>
      <w:tabs>
        <w:tab w:val="left" w:pos="7632"/>
      </w:tabs>
      <w:ind w:firstLine="720"/>
    </w:pPr>
    <w:rPr>
      <w:rFonts w:asciiTheme="minorHAnsi" w:hAnsiTheme="minorHAnsi"/>
      <w:sz w:val="24"/>
      <w:szCs w:val="24"/>
      <w:lang w:bidi="en-US"/>
    </w:rPr>
  </w:style>
  <w:style w:type="paragraph" w:styleId="Heading1">
    <w:name w:val="heading 1"/>
    <w:next w:val="Normal"/>
    <w:link w:val="Heading1Char"/>
    <w:autoRedefine/>
    <w:uiPriority w:val="9"/>
    <w:qFormat/>
    <w:rsid w:val="00F52532"/>
    <w:pPr>
      <w:numPr>
        <w:numId w:val="2"/>
      </w:numPr>
      <w:ind w:left="0" w:firstLine="0"/>
      <w:jc w:val="center"/>
      <w:outlineLvl w:val="0"/>
    </w:pPr>
    <w:rPr>
      <w:rFonts w:asciiTheme="majorHAnsi" w:hAnsiTheme="majorHAnsi"/>
      <w:b/>
      <w:bCs/>
      <w:sz w:val="28"/>
      <w:szCs w:val="32"/>
      <w:lang w:bidi="en-US"/>
    </w:rPr>
  </w:style>
  <w:style w:type="paragraph" w:styleId="Heading2">
    <w:name w:val="heading 2"/>
    <w:next w:val="Normal"/>
    <w:link w:val="Heading2Char"/>
    <w:autoRedefine/>
    <w:unhideWhenUsed/>
    <w:qFormat/>
    <w:rsid w:val="00F52532"/>
    <w:pPr>
      <w:keepNext/>
      <w:numPr>
        <w:ilvl w:val="1"/>
        <w:numId w:val="2"/>
      </w:numPr>
      <w:ind w:left="0" w:firstLine="0"/>
      <w:jc w:val="center"/>
      <w:outlineLvl w:val="1"/>
    </w:pPr>
    <w:rPr>
      <w:rFonts w:asciiTheme="majorHAnsi" w:hAnsiTheme="majorHAnsi"/>
      <w:b/>
      <w:bCs/>
      <w:iCs/>
      <w:sz w:val="24"/>
      <w:szCs w:val="28"/>
      <w:lang w:bidi="en-US"/>
    </w:rPr>
  </w:style>
  <w:style w:type="paragraph" w:styleId="Heading3">
    <w:name w:val="heading 3"/>
    <w:next w:val="Normal"/>
    <w:link w:val="Heading3Char"/>
    <w:autoRedefine/>
    <w:unhideWhenUsed/>
    <w:qFormat/>
    <w:rsid w:val="009C12AD"/>
    <w:pPr>
      <w:keepNext/>
      <w:numPr>
        <w:ilvl w:val="2"/>
        <w:numId w:val="2"/>
      </w:numPr>
      <w:tabs>
        <w:tab w:val="left" w:pos="720"/>
      </w:tabs>
      <w:jc w:val="center"/>
      <w:outlineLvl w:val="2"/>
    </w:pPr>
    <w:rPr>
      <w:rFonts w:asciiTheme="majorHAnsi" w:hAnsiTheme="majorHAnsi"/>
      <w:bCs/>
      <w:i/>
      <w:sz w:val="24"/>
      <w:szCs w:val="24"/>
      <w:lang w:bidi="en-US"/>
    </w:rPr>
  </w:style>
  <w:style w:type="paragraph" w:styleId="Heading4">
    <w:name w:val="heading 4"/>
    <w:basedOn w:val="Normal"/>
    <w:next w:val="Normal"/>
    <w:link w:val="Heading4Char"/>
    <w:unhideWhenUsed/>
    <w:qFormat/>
    <w:rsid w:val="00C20141"/>
    <w:pPr>
      <w:keepNext/>
      <w:numPr>
        <w:ilvl w:val="3"/>
        <w:numId w:val="2"/>
      </w:numPr>
      <w:spacing w:before="60" w:after="60"/>
      <w:jc w:val="center"/>
      <w:outlineLvl w:val="3"/>
    </w:pPr>
    <w:rPr>
      <w:bCs/>
      <w:i/>
      <w:sz w:val="22"/>
      <w:szCs w:val="28"/>
      <w:u w:val="single"/>
    </w:rPr>
  </w:style>
  <w:style w:type="paragraph" w:styleId="Heading5">
    <w:name w:val="heading 5"/>
    <w:basedOn w:val="Normal"/>
    <w:next w:val="Normal"/>
    <w:link w:val="Heading5Char"/>
    <w:semiHidden/>
    <w:unhideWhenUsed/>
    <w:qFormat/>
    <w:rsid w:val="003A060D"/>
    <w:pPr>
      <w:numPr>
        <w:ilvl w:val="4"/>
        <w:numId w:val="2"/>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3A060D"/>
    <w:pPr>
      <w:numPr>
        <w:ilvl w:val="5"/>
        <w:numId w:val="2"/>
      </w:numPr>
      <w:spacing w:before="240" w:after="60"/>
      <w:outlineLvl w:val="5"/>
    </w:pPr>
    <w:rPr>
      <w:b/>
      <w:bCs/>
      <w:sz w:val="22"/>
      <w:szCs w:val="22"/>
    </w:rPr>
  </w:style>
  <w:style w:type="paragraph" w:styleId="Heading7">
    <w:name w:val="heading 7"/>
    <w:basedOn w:val="Normal"/>
    <w:next w:val="Normal"/>
    <w:link w:val="Heading7Char"/>
    <w:semiHidden/>
    <w:unhideWhenUsed/>
    <w:qFormat/>
    <w:rsid w:val="003A060D"/>
    <w:pPr>
      <w:numPr>
        <w:ilvl w:val="6"/>
        <w:numId w:val="2"/>
      </w:numPr>
      <w:spacing w:before="240" w:after="60"/>
      <w:outlineLvl w:val="6"/>
    </w:pPr>
  </w:style>
  <w:style w:type="paragraph" w:styleId="Heading8">
    <w:name w:val="heading 8"/>
    <w:basedOn w:val="Normal"/>
    <w:next w:val="Normal"/>
    <w:link w:val="Heading8Char"/>
    <w:semiHidden/>
    <w:unhideWhenUsed/>
    <w:qFormat/>
    <w:rsid w:val="003A060D"/>
    <w:pPr>
      <w:numPr>
        <w:ilvl w:val="7"/>
        <w:numId w:val="2"/>
      </w:numPr>
      <w:spacing w:before="240" w:after="60"/>
      <w:outlineLvl w:val="7"/>
    </w:pPr>
    <w:rPr>
      <w:i/>
      <w:iCs/>
    </w:rPr>
  </w:style>
  <w:style w:type="paragraph" w:styleId="Heading9">
    <w:name w:val="heading 9"/>
    <w:basedOn w:val="Normal"/>
    <w:next w:val="Normal"/>
    <w:link w:val="Heading9Char"/>
    <w:semiHidden/>
    <w:unhideWhenUsed/>
    <w:qFormat/>
    <w:rsid w:val="003A060D"/>
    <w:pPr>
      <w:numPr>
        <w:ilvl w:val="8"/>
        <w:numId w:val="2"/>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532"/>
    <w:rPr>
      <w:rFonts w:asciiTheme="majorHAnsi" w:hAnsiTheme="majorHAnsi"/>
      <w:b/>
      <w:bCs/>
      <w:sz w:val="28"/>
      <w:szCs w:val="32"/>
      <w:lang w:bidi="en-US"/>
    </w:rPr>
  </w:style>
  <w:style w:type="character" w:customStyle="1" w:styleId="Heading2Char">
    <w:name w:val="Heading 2 Char"/>
    <w:basedOn w:val="DefaultParagraphFont"/>
    <w:link w:val="Heading2"/>
    <w:rsid w:val="00F52532"/>
    <w:rPr>
      <w:rFonts w:asciiTheme="majorHAnsi" w:hAnsiTheme="majorHAnsi"/>
      <w:b/>
      <w:bCs/>
      <w:iCs/>
      <w:sz w:val="24"/>
      <w:szCs w:val="28"/>
      <w:lang w:bidi="en-US"/>
    </w:rPr>
  </w:style>
  <w:style w:type="character" w:customStyle="1" w:styleId="Heading3Char">
    <w:name w:val="Heading 3 Char"/>
    <w:basedOn w:val="DefaultParagraphFont"/>
    <w:link w:val="Heading3"/>
    <w:rsid w:val="009C12AD"/>
    <w:rPr>
      <w:rFonts w:asciiTheme="majorHAnsi" w:hAnsiTheme="majorHAnsi"/>
      <w:bCs/>
      <w:i/>
      <w:sz w:val="24"/>
      <w:szCs w:val="24"/>
      <w:lang w:bidi="en-US"/>
    </w:rPr>
  </w:style>
  <w:style w:type="character" w:customStyle="1" w:styleId="Heading4Char">
    <w:name w:val="Heading 4 Char"/>
    <w:basedOn w:val="DefaultParagraphFont"/>
    <w:link w:val="Heading4"/>
    <w:rsid w:val="00C20141"/>
    <w:rPr>
      <w:rFonts w:asciiTheme="minorHAnsi" w:hAnsiTheme="minorHAnsi"/>
      <w:bCs/>
      <w:i/>
      <w:sz w:val="22"/>
      <w:szCs w:val="28"/>
      <w:u w:val="single"/>
      <w:lang w:bidi="en-US"/>
    </w:rPr>
  </w:style>
  <w:style w:type="character" w:customStyle="1" w:styleId="Heading5Char">
    <w:name w:val="Heading 5 Char"/>
    <w:basedOn w:val="DefaultParagraphFont"/>
    <w:link w:val="Heading5"/>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semiHidden/>
    <w:rsid w:val="003A060D"/>
    <w:rPr>
      <w:rFonts w:asciiTheme="minorHAnsi" w:hAnsiTheme="minorHAnsi"/>
      <w:sz w:val="24"/>
      <w:szCs w:val="24"/>
      <w:lang w:bidi="en-US"/>
    </w:rPr>
  </w:style>
  <w:style w:type="character" w:customStyle="1" w:styleId="Heading8Char">
    <w:name w:val="Heading 8 Char"/>
    <w:basedOn w:val="DefaultParagraphFont"/>
    <w:link w:val="Heading8"/>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semiHidden/>
    <w:rsid w:val="003A060D"/>
    <w:rPr>
      <w:sz w:val="22"/>
      <w:szCs w:val="22"/>
      <w:lang w:bidi="en-US"/>
    </w:rPr>
  </w:style>
  <w:style w:type="paragraph" w:styleId="Caption">
    <w:name w:val="caption"/>
    <w:basedOn w:val="Normal"/>
    <w:next w:val="Normal"/>
    <w:uiPriority w:val="35"/>
    <w:unhideWhenUsed/>
    <w:qFormat/>
    <w:rsid w:val="00BF3F9B"/>
    <w:pPr>
      <w:spacing w:line="240" w:lineRule="auto"/>
      <w:ind w:firstLine="0"/>
      <w:jc w:val="center"/>
    </w:pPr>
    <w:rPr>
      <w:rFonts w:eastAsia="Calibri"/>
      <w:b/>
      <w:color w:val="000000"/>
      <w:sz w:val="22"/>
      <w:szCs w:val="18"/>
    </w:rPr>
  </w:style>
  <w:style w:type="paragraph" w:styleId="Title">
    <w:name w:val="Title"/>
    <w:basedOn w:val="Heading1"/>
    <w:next w:val="Normal"/>
    <w:link w:val="TitleChar"/>
    <w:autoRedefine/>
    <w:qFormat/>
    <w:rsid w:val="0057775C"/>
    <w:pPr>
      <w:keepNext/>
    </w:pPr>
    <w:rPr>
      <w:bCs w:val="0"/>
    </w:rPr>
  </w:style>
  <w:style w:type="character" w:customStyle="1" w:styleId="TitleChar">
    <w:name w:val="Title Char"/>
    <w:basedOn w:val="DefaultParagraphFont"/>
    <w:link w:val="Title"/>
    <w:rsid w:val="00C3745C"/>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6537EE"/>
    <w:pPr>
      <w:tabs>
        <w:tab w:val="clear" w:pos="7632"/>
        <w:tab w:val="right" w:leader="dot" w:pos="8482"/>
      </w:tabs>
      <w:ind w:left="720" w:hanging="720"/>
    </w:p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BE3C55"/>
    <w:pPr>
      <w:tabs>
        <w:tab w:val="clear" w:pos="7632"/>
        <w:tab w:val="right" w:leader="dot" w:pos="8482"/>
      </w:tabs>
      <w:ind w:left="432" w:hanging="432"/>
    </w:pPr>
    <w:rPr>
      <w:noProof/>
    </w:rPr>
  </w:style>
  <w:style w:type="paragraph" w:styleId="TOC2">
    <w:name w:val="toc 2"/>
    <w:basedOn w:val="Normal"/>
    <w:next w:val="Normal"/>
    <w:autoRedefine/>
    <w:uiPriority w:val="39"/>
    <w:unhideWhenUsed/>
    <w:rsid w:val="006537EE"/>
    <w:pPr>
      <w:tabs>
        <w:tab w:val="clear" w:pos="7632"/>
        <w:tab w:val="right" w:leader="dot" w:pos="8482"/>
      </w:tabs>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537EE"/>
    <w:pPr>
      <w:tabs>
        <w:tab w:val="clear" w:pos="7632"/>
        <w:tab w:val="right" w:leader="dot" w:pos="8482"/>
      </w:tabs>
      <w:ind w:left="1440" w:right="36" w:hanging="720"/>
    </w:pPr>
    <w:rPr>
      <w:noProof/>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link w:val="ListParagraphChar"/>
    <w:uiPriority w:val="34"/>
    <w:unhideWhenUsed/>
    <w:qFormat/>
    <w:rsid w:val="00F52532"/>
    <w:pPr>
      <w:contextualSpacing/>
    </w:pPr>
  </w:style>
  <w:style w:type="character" w:styleId="FollowedHyperlink">
    <w:name w:val="FollowedHyperlink"/>
    <w:basedOn w:val="DefaultParagraphFont"/>
    <w:uiPriority w:val="99"/>
    <w:semiHidden/>
    <w:unhideWhenUsed/>
    <w:rsid w:val="00E36C46"/>
    <w:rPr>
      <w:color w:val="800080" w:themeColor="followedHyperlink"/>
      <w:u w:val="single"/>
    </w:rPr>
  </w:style>
  <w:style w:type="paragraph" w:customStyle="1" w:styleId="Heading1Modified">
    <w:name w:val="Heading1 Modified"/>
    <w:basedOn w:val="Heading1"/>
    <w:qFormat/>
    <w:rsid w:val="00FC2839"/>
    <w:pPr>
      <w:numPr>
        <w:numId w:val="0"/>
      </w:numPr>
    </w:pPr>
  </w:style>
  <w:style w:type="paragraph" w:customStyle="1" w:styleId="para">
    <w:name w:val="para"/>
    <w:basedOn w:val="Normal"/>
    <w:next w:val="Normal"/>
    <w:rsid w:val="00962D1B"/>
    <w:pPr>
      <w:suppressAutoHyphens/>
      <w:overflowPunct w:val="0"/>
      <w:autoSpaceDE w:val="0"/>
      <w:autoSpaceDN w:val="0"/>
      <w:adjustRightInd w:val="0"/>
      <w:spacing w:line="240" w:lineRule="auto"/>
      <w:textAlignment w:val="baseline"/>
    </w:pPr>
    <w:rPr>
      <w:rFonts w:ascii="Times New Roman" w:eastAsia="Times New Roman" w:hAnsi="Times New Roman"/>
      <w:sz w:val="22"/>
      <w:szCs w:val="20"/>
      <w:lang w:bidi="ar-SA"/>
    </w:rPr>
  </w:style>
  <w:style w:type="paragraph" w:customStyle="1" w:styleId="Equation">
    <w:name w:val="Equation"/>
    <w:basedOn w:val="Normal"/>
    <w:next w:val="para"/>
    <w:rsid w:val="00962D1B"/>
    <w:pPr>
      <w:suppressAutoHyphens/>
      <w:overflowPunct w:val="0"/>
      <w:autoSpaceDE w:val="0"/>
      <w:autoSpaceDN w:val="0"/>
      <w:adjustRightInd w:val="0"/>
      <w:spacing w:before="100" w:after="100" w:line="240" w:lineRule="auto"/>
      <w:ind w:firstLine="288"/>
      <w:textAlignment w:val="baseline"/>
    </w:pPr>
    <w:rPr>
      <w:rFonts w:ascii="Times New Roman" w:eastAsia="Times New Roman" w:hAnsi="Times New Roman"/>
      <w:sz w:val="22"/>
      <w:szCs w:val="20"/>
      <w:lang w:bidi="ar-SA"/>
    </w:rPr>
  </w:style>
  <w:style w:type="paragraph" w:customStyle="1" w:styleId="para1">
    <w:name w:val="para1"/>
    <w:basedOn w:val="para"/>
    <w:rsid w:val="00F52532"/>
    <w:pPr>
      <w:ind w:firstLine="288"/>
    </w:pPr>
  </w:style>
  <w:style w:type="paragraph" w:customStyle="1" w:styleId="Number">
    <w:name w:val="Number"/>
    <w:basedOn w:val="Normal"/>
    <w:next w:val="Title"/>
    <w:rsid w:val="006B074D"/>
    <w:pPr>
      <w:widowControl w:val="0"/>
      <w:suppressAutoHyphens/>
      <w:overflowPunct w:val="0"/>
      <w:autoSpaceDE w:val="0"/>
      <w:autoSpaceDN w:val="0"/>
      <w:adjustRightInd w:val="0"/>
      <w:spacing w:before="120" w:after="360" w:line="240" w:lineRule="auto"/>
      <w:jc w:val="left"/>
      <w:textAlignment w:val="baseline"/>
    </w:pPr>
    <w:rPr>
      <w:rFonts w:ascii="Arial" w:eastAsia="Times New Roman" w:hAnsi="Arial"/>
      <w:sz w:val="28"/>
      <w:szCs w:val="20"/>
      <w:lang w:bidi="ar-SA"/>
    </w:rPr>
  </w:style>
  <w:style w:type="paragraph" w:customStyle="1" w:styleId="Author">
    <w:name w:val="Author"/>
    <w:basedOn w:val="Normal"/>
    <w:next w:val="copyright"/>
    <w:rsid w:val="006B074D"/>
    <w:pPr>
      <w:widowControl w:val="0"/>
      <w:suppressAutoHyphens/>
      <w:overflowPunct w:val="0"/>
      <w:autoSpaceDE w:val="0"/>
      <w:autoSpaceDN w:val="0"/>
      <w:adjustRightInd w:val="0"/>
      <w:spacing w:after="480" w:line="240" w:lineRule="auto"/>
      <w:jc w:val="left"/>
      <w:textAlignment w:val="baseline"/>
    </w:pPr>
    <w:rPr>
      <w:rFonts w:ascii="Arial" w:eastAsia="Times New Roman" w:hAnsi="Arial"/>
      <w:sz w:val="20"/>
      <w:szCs w:val="20"/>
      <w:lang w:bidi="ar-SA"/>
    </w:rPr>
  </w:style>
  <w:style w:type="paragraph" w:customStyle="1" w:styleId="copyright">
    <w:name w:val="copyright"/>
    <w:basedOn w:val="Author"/>
    <w:rsid w:val="006B074D"/>
    <w:pPr>
      <w:suppressAutoHyphens w:val="0"/>
      <w:spacing w:after="0"/>
      <w:jc w:val="both"/>
    </w:pPr>
    <w:rPr>
      <w:sz w:val="14"/>
    </w:rPr>
  </w:style>
  <w:style w:type="paragraph" w:customStyle="1" w:styleId="Head1">
    <w:name w:val="Head1"/>
    <w:basedOn w:val="Normal"/>
    <w:next w:val="para"/>
    <w:rsid w:val="006B074D"/>
    <w:pPr>
      <w:keepNext/>
      <w:widowControl w:val="0"/>
      <w:suppressAutoHyphens/>
      <w:overflowPunct w:val="0"/>
      <w:autoSpaceDE w:val="0"/>
      <w:autoSpaceDN w:val="0"/>
      <w:adjustRightInd w:val="0"/>
      <w:spacing w:line="240" w:lineRule="auto"/>
      <w:jc w:val="left"/>
      <w:textAlignment w:val="baseline"/>
    </w:pPr>
    <w:rPr>
      <w:rFonts w:ascii="Arial" w:eastAsia="Times New Roman" w:hAnsi="Arial"/>
      <w:b/>
      <w:sz w:val="22"/>
      <w:szCs w:val="20"/>
      <w:lang w:bidi="ar-SA"/>
    </w:rPr>
  </w:style>
  <w:style w:type="paragraph" w:customStyle="1" w:styleId="Head2">
    <w:name w:val="Head2"/>
    <w:basedOn w:val="Head1"/>
    <w:next w:val="para1"/>
    <w:rsid w:val="006B074D"/>
  </w:style>
  <w:style w:type="paragraph" w:customStyle="1" w:styleId="Head3">
    <w:name w:val="Head3"/>
    <w:basedOn w:val="para"/>
    <w:next w:val="para1"/>
    <w:rsid w:val="006B074D"/>
    <w:pPr>
      <w:ind w:firstLine="288"/>
    </w:pPr>
    <w:rPr>
      <w:b/>
      <w:i/>
    </w:rPr>
  </w:style>
  <w:style w:type="paragraph" w:customStyle="1" w:styleId="Head4">
    <w:name w:val="Head4"/>
    <w:basedOn w:val="Head3"/>
    <w:next w:val="para1"/>
    <w:rsid w:val="006B074D"/>
  </w:style>
  <w:style w:type="paragraph" w:customStyle="1" w:styleId="Nomenclature">
    <w:name w:val="Nomenclature"/>
    <w:basedOn w:val="para"/>
    <w:rsid w:val="006B074D"/>
    <w:pPr>
      <w:tabs>
        <w:tab w:val="right" w:pos="806"/>
        <w:tab w:val="left" w:pos="878"/>
      </w:tabs>
      <w:ind w:left="1032" w:hanging="1032"/>
      <w:jc w:val="left"/>
    </w:pPr>
    <w:rPr>
      <w:i/>
    </w:rPr>
  </w:style>
  <w:style w:type="paragraph" w:customStyle="1" w:styleId="References">
    <w:name w:val="References"/>
    <w:basedOn w:val="para"/>
    <w:rsid w:val="006B074D"/>
    <w:pPr>
      <w:tabs>
        <w:tab w:val="right" w:pos="240"/>
        <w:tab w:val="left" w:pos="374"/>
      </w:tabs>
      <w:ind w:left="374" w:hanging="374"/>
    </w:pPr>
    <w:rPr>
      <w:sz w:val="18"/>
    </w:rPr>
  </w:style>
  <w:style w:type="paragraph" w:customStyle="1" w:styleId="Metric">
    <w:name w:val="Metric"/>
    <w:basedOn w:val="para"/>
    <w:rsid w:val="006B074D"/>
    <w:pPr>
      <w:tabs>
        <w:tab w:val="right" w:pos="1152"/>
        <w:tab w:val="left" w:pos="1224"/>
        <w:tab w:val="right" w:pos="2866"/>
        <w:tab w:val="left" w:pos="2923"/>
      </w:tabs>
    </w:pPr>
  </w:style>
  <w:style w:type="paragraph" w:customStyle="1" w:styleId="FigCaption">
    <w:name w:val="FigCaption"/>
    <w:basedOn w:val="Normal"/>
    <w:rsid w:val="006B074D"/>
    <w:pPr>
      <w:widowControl w:val="0"/>
      <w:overflowPunct w:val="0"/>
      <w:autoSpaceDE w:val="0"/>
      <w:autoSpaceDN w:val="0"/>
      <w:adjustRightInd w:val="0"/>
      <w:spacing w:line="240" w:lineRule="auto"/>
      <w:textAlignment w:val="baseline"/>
    </w:pPr>
    <w:rPr>
      <w:rFonts w:ascii="Arial" w:eastAsia="Times New Roman" w:hAnsi="Arial"/>
      <w:sz w:val="16"/>
      <w:szCs w:val="20"/>
      <w:lang w:bidi="ar-SA"/>
    </w:rPr>
  </w:style>
  <w:style w:type="character" w:styleId="PageNumber">
    <w:name w:val="page number"/>
    <w:basedOn w:val="DefaultParagraphFont"/>
    <w:uiPriority w:val="99"/>
    <w:rsid w:val="006B074D"/>
  </w:style>
  <w:style w:type="paragraph" w:customStyle="1" w:styleId="-">
    <w:name w:val=":-)"/>
    <w:rsid w:val="006B074D"/>
    <w:pPr>
      <w:overflowPunct w:val="0"/>
      <w:autoSpaceDE w:val="0"/>
      <w:autoSpaceDN w:val="0"/>
      <w:adjustRightInd w:val="0"/>
      <w:textAlignment w:val="baseline"/>
    </w:pPr>
    <w:rPr>
      <w:rFonts w:eastAsia="Times New Roman"/>
    </w:rPr>
  </w:style>
  <w:style w:type="paragraph" w:customStyle="1" w:styleId="rule">
    <w:name w:val="rule"/>
    <w:basedOn w:val="Normal"/>
    <w:next w:val="copyright"/>
    <w:rsid w:val="006B074D"/>
    <w:pPr>
      <w:widowControl w:val="0"/>
      <w:overflowPunct w:val="0"/>
      <w:autoSpaceDE w:val="0"/>
      <w:autoSpaceDN w:val="0"/>
      <w:adjustRightInd w:val="0"/>
      <w:spacing w:line="240" w:lineRule="auto"/>
      <w:jc w:val="left"/>
      <w:textAlignment w:val="baseline"/>
    </w:pPr>
    <w:rPr>
      <w:rFonts w:ascii="Times New Roman" w:eastAsia="Times New Roman" w:hAnsi="Times New Roman"/>
      <w:sz w:val="20"/>
      <w:szCs w:val="20"/>
      <w:lang w:bidi="ar-SA"/>
    </w:rPr>
  </w:style>
  <w:style w:type="paragraph" w:styleId="BodyTextIndent2">
    <w:name w:val="Body Text Indent 2"/>
    <w:basedOn w:val="Normal"/>
    <w:link w:val="BodyTextIndent2Char"/>
    <w:rsid w:val="006B074D"/>
    <w:pPr>
      <w:tabs>
        <w:tab w:val="left" w:pos="-720"/>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360"/>
    </w:pPr>
    <w:rPr>
      <w:rFonts w:ascii="Arial" w:eastAsia="Times New Roman" w:hAnsi="Arial" w:cs="Arial"/>
      <w:sz w:val="12"/>
      <w:lang w:bidi="ar-SA"/>
    </w:rPr>
  </w:style>
  <w:style w:type="character" w:customStyle="1" w:styleId="BodyTextIndent2Char">
    <w:name w:val="Body Text Indent 2 Char"/>
    <w:basedOn w:val="DefaultParagraphFont"/>
    <w:link w:val="BodyTextIndent2"/>
    <w:rsid w:val="006B074D"/>
    <w:rPr>
      <w:rFonts w:ascii="Arial" w:eastAsia="Times New Roman" w:hAnsi="Arial" w:cs="Arial"/>
      <w:sz w:val="12"/>
      <w:szCs w:val="24"/>
    </w:rPr>
  </w:style>
  <w:style w:type="paragraph" w:styleId="DocumentMap">
    <w:name w:val="Document Map"/>
    <w:basedOn w:val="Normal"/>
    <w:link w:val="DocumentMapChar"/>
    <w:semiHidden/>
    <w:rsid w:val="006B074D"/>
    <w:pPr>
      <w:widowControl w:val="0"/>
      <w:shd w:val="clear" w:color="auto" w:fill="000080"/>
      <w:overflowPunct w:val="0"/>
      <w:autoSpaceDE w:val="0"/>
      <w:autoSpaceDN w:val="0"/>
      <w:adjustRightInd w:val="0"/>
      <w:spacing w:line="240" w:lineRule="auto"/>
      <w:jc w:val="left"/>
      <w:textAlignment w:val="baseline"/>
    </w:pPr>
    <w:rPr>
      <w:rFonts w:ascii="Tahoma" w:eastAsia="Times New Roman" w:hAnsi="Tahoma" w:cs="Tahoma"/>
      <w:sz w:val="20"/>
      <w:szCs w:val="20"/>
      <w:lang w:bidi="ar-SA"/>
    </w:rPr>
  </w:style>
  <w:style w:type="character" w:customStyle="1" w:styleId="DocumentMapChar">
    <w:name w:val="Document Map Char"/>
    <w:basedOn w:val="DefaultParagraphFont"/>
    <w:link w:val="DocumentMap"/>
    <w:semiHidden/>
    <w:rsid w:val="006B074D"/>
    <w:rPr>
      <w:rFonts w:ascii="Tahoma" w:eastAsia="Times New Roman" w:hAnsi="Tahoma" w:cs="Tahoma"/>
      <w:shd w:val="clear" w:color="auto" w:fill="000080"/>
    </w:rPr>
  </w:style>
  <w:style w:type="paragraph" w:customStyle="1" w:styleId="EndNoteBibliographyTitle">
    <w:name w:val="EndNote Bibliography Title"/>
    <w:basedOn w:val="Normal"/>
    <w:link w:val="EndNoteBibliographyTitleChar"/>
    <w:rsid w:val="006B074D"/>
    <w:pPr>
      <w:spacing w:line="276" w:lineRule="auto"/>
      <w:jc w:val="center"/>
    </w:pPr>
    <w:rPr>
      <w:rFonts w:ascii="Calibri" w:eastAsia="Calibri" w:hAnsi="Calibri"/>
      <w:noProof/>
      <w:sz w:val="22"/>
      <w:szCs w:val="22"/>
      <w:lang w:bidi="ar-SA"/>
    </w:rPr>
  </w:style>
  <w:style w:type="character" w:customStyle="1" w:styleId="EndNoteBibliographyTitleChar">
    <w:name w:val="EndNote Bibliography Title Char"/>
    <w:link w:val="EndNoteBibliographyTitle"/>
    <w:rsid w:val="006B074D"/>
    <w:rPr>
      <w:rFonts w:ascii="Calibri" w:eastAsia="Calibri" w:hAnsi="Calibri"/>
      <w:noProof/>
      <w:sz w:val="22"/>
      <w:szCs w:val="22"/>
    </w:rPr>
  </w:style>
  <w:style w:type="paragraph" w:customStyle="1" w:styleId="EndNoteBibliography">
    <w:name w:val="EndNote Bibliography"/>
    <w:basedOn w:val="Normal"/>
    <w:link w:val="EndNoteBibliographyChar"/>
    <w:rsid w:val="006B074D"/>
    <w:pPr>
      <w:spacing w:after="200" w:line="240" w:lineRule="auto"/>
      <w:jc w:val="left"/>
    </w:pPr>
    <w:rPr>
      <w:rFonts w:ascii="Calibri" w:eastAsia="Calibri" w:hAnsi="Calibri"/>
      <w:noProof/>
      <w:sz w:val="22"/>
      <w:szCs w:val="22"/>
      <w:lang w:bidi="ar-SA"/>
    </w:rPr>
  </w:style>
  <w:style w:type="character" w:customStyle="1" w:styleId="EndNoteBibliographyChar">
    <w:name w:val="EndNote Bibliography Char"/>
    <w:link w:val="EndNoteBibliography"/>
    <w:rsid w:val="006B074D"/>
    <w:rPr>
      <w:rFonts w:ascii="Calibri" w:eastAsia="Calibri" w:hAnsi="Calibri"/>
      <w:noProof/>
      <w:sz w:val="22"/>
      <w:szCs w:val="22"/>
    </w:rPr>
  </w:style>
  <w:style w:type="table" w:styleId="LightShading">
    <w:name w:val="Light Shading"/>
    <w:basedOn w:val="TableNormal"/>
    <w:uiPriority w:val="60"/>
    <w:rsid w:val="006B074D"/>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ColorfulShading">
    <w:name w:val="Colorful Shading"/>
    <w:basedOn w:val="TableNormal"/>
    <w:uiPriority w:val="71"/>
    <w:rsid w:val="006B074D"/>
    <w:rPr>
      <w:rFonts w:ascii="Calibri" w:eastAsia="Calibri" w:hAnsi="Calibri"/>
      <w:color w:val="000000"/>
      <w:sz w:val="22"/>
      <w:szCs w:val="22"/>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ableClassic1">
    <w:name w:val="Table Classic 1"/>
    <w:basedOn w:val="TableNormal"/>
    <w:rsid w:val="006B074D"/>
    <w:pPr>
      <w:widowControl w:val="0"/>
      <w:overflowPunct w:val="0"/>
      <w:autoSpaceDE w:val="0"/>
      <w:autoSpaceDN w:val="0"/>
      <w:adjustRightInd w:val="0"/>
      <w:textAlignment w:val="baseline"/>
    </w:pPr>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FigCaptionCentered">
    <w:name w:val="Style FigCaption + Centered"/>
    <w:basedOn w:val="FigCaption"/>
    <w:rsid w:val="006B074D"/>
    <w:pPr>
      <w:jc w:val="center"/>
    </w:pPr>
    <w:rPr>
      <w:bCs/>
    </w:rPr>
  </w:style>
  <w:style w:type="paragraph" w:customStyle="1" w:styleId="StyleFigCaptionBold">
    <w:name w:val="Style FigCaption + Bold"/>
    <w:basedOn w:val="FigCaption"/>
    <w:rsid w:val="006B074D"/>
    <w:rPr>
      <w:bCs/>
    </w:rPr>
  </w:style>
  <w:style w:type="paragraph" w:customStyle="1" w:styleId="StyleReferences10pt">
    <w:name w:val="Style References + 10 pt"/>
    <w:basedOn w:val="References"/>
    <w:rsid w:val="006B074D"/>
    <w:rPr>
      <w:sz w:val="22"/>
    </w:rPr>
  </w:style>
  <w:style w:type="character" w:customStyle="1" w:styleId="apple-converted-space">
    <w:name w:val="apple-converted-space"/>
    <w:basedOn w:val="DefaultParagraphFont"/>
    <w:rsid w:val="006B074D"/>
  </w:style>
  <w:style w:type="paragraph" w:customStyle="1" w:styleId="TableNormal1">
    <w:name w:val="Table Normal1"/>
    <w:basedOn w:val="Normal"/>
    <w:qFormat/>
    <w:rsid w:val="003C325C"/>
    <w:pPr>
      <w:keepNext/>
      <w:ind w:firstLine="0"/>
      <w:jc w:val="center"/>
    </w:pPr>
    <w:rPr>
      <w:noProof/>
      <w:lang w:eastAsia="zh-CN" w:bidi="ar-SA"/>
    </w:rPr>
  </w:style>
  <w:style w:type="paragraph" w:customStyle="1" w:styleId="Para0">
    <w:name w:val="Para"/>
    <w:basedOn w:val="Normal"/>
    <w:link w:val="ParaChar"/>
    <w:qFormat/>
    <w:rsid w:val="00A85DF8"/>
    <w:pPr>
      <w:widowControl w:val="0"/>
      <w:tabs>
        <w:tab w:val="clear" w:pos="7632"/>
      </w:tabs>
      <w:overflowPunct w:val="0"/>
      <w:autoSpaceDE w:val="0"/>
      <w:autoSpaceDN w:val="0"/>
      <w:adjustRightInd w:val="0"/>
      <w:spacing w:line="360" w:lineRule="auto"/>
      <w:ind w:firstLine="0"/>
      <w:textAlignment w:val="baseline"/>
    </w:pPr>
    <w:rPr>
      <w:rFonts w:ascii="Times New Roman" w:eastAsia="SimSun" w:hAnsi="Times New Roman"/>
      <w:lang w:bidi="ar-SA"/>
    </w:rPr>
  </w:style>
  <w:style w:type="paragraph" w:customStyle="1" w:styleId="Para10">
    <w:name w:val="Para1"/>
    <w:basedOn w:val="Normal"/>
    <w:link w:val="Para1Char"/>
    <w:qFormat/>
    <w:rsid w:val="00792BBD"/>
    <w:pPr>
      <w:widowControl w:val="0"/>
      <w:tabs>
        <w:tab w:val="clear" w:pos="7632"/>
      </w:tabs>
      <w:overflowPunct w:val="0"/>
      <w:autoSpaceDE w:val="0"/>
      <w:autoSpaceDN w:val="0"/>
      <w:adjustRightInd w:val="0"/>
      <w:spacing w:line="360" w:lineRule="auto"/>
      <w:ind w:firstLine="288"/>
      <w:textAlignment w:val="baseline"/>
    </w:pPr>
    <w:rPr>
      <w:rFonts w:ascii="Times New Roman" w:eastAsia="SimSun" w:hAnsi="Times New Roman"/>
      <w:lang w:bidi="ar-SA"/>
    </w:rPr>
  </w:style>
  <w:style w:type="character" w:customStyle="1" w:styleId="Para1Char">
    <w:name w:val="Para1 Char"/>
    <w:basedOn w:val="DefaultParagraphFont"/>
    <w:link w:val="Para10"/>
    <w:rsid w:val="00792BBD"/>
    <w:rPr>
      <w:rFonts w:eastAsia="SimSun"/>
      <w:sz w:val="24"/>
      <w:szCs w:val="24"/>
    </w:rPr>
  </w:style>
  <w:style w:type="character" w:customStyle="1" w:styleId="Mention1">
    <w:name w:val="Mention1"/>
    <w:basedOn w:val="DefaultParagraphFont"/>
    <w:uiPriority w:val="99"/>
    <w:semiHidden/>
    <w:unhideWhenUsed/>
    <w:rsid w:val="0041747C"/>
    <w:rPr>
      <w:color w:val="2B579A"/>
      <w:shd w:val="clear" w:color="auto" w:fill="E6E6E6"/>
    </w:rPr>
  </w:style>
  <w:style w:type="character" w:customStyle="1" w:styleId="ParaChar">
    <w:name w:val="Para Char"/>
    <w:basedOn w:val="DefaultParagraphFont"/>
    <w:link w:val="Para0"/>
    <w:rsid w:val="00EE1FA0"/>
    <w:rPr>
      <w:rFonts w:eastAsia="SimSun"/>
      <w:sz w:val="24"/>
      <w:szCs w:val="24"/>
    </w:rPr>
  </w:style>
  <w:style w:type="character" w:customStyle="1" w:styleId="ListParagraphChar">
    <w:name w:val="List Paragraph Char"/>
    <w:basedOn w:val="DefaultParagraphFont"/>
    <w:link w:val="ListParagraph"/>
    <w:uiPriority w:val="34"/>
    <w:rsid w:val="004274BB"/>
    <w:rPr>
      <w:rFonts w:asciiTheme="minorHAnsi" w:hAnsiTheme="minorHAnsi"/>
      <w:sz w:val="24"/>
      <w:szCs w:val="24"/>
      <w:lang w:bidi="en-US"/>
    </w:rPr>
  </w:style>
  <w:style w:type="character" w:styleId="CommentReference">
    <w:name w:val="annotation reference"/>
    <w:basedOn w:val="DefaultParagraphFont"/>
    <w:uiPriority w:val="99"/>
    <w:semiHidden/>
    <w:unhideWhenUsed/>
    <w:rsid w:val="00EE1421"/>
    <w:rPr>
      <w:sz w:val="16"/>
      <w:szCs w:val="16"/>
    </w:rPr>
  </w:style>
  <w:style w:type="paragraph" w:styleId="CommentText">
    <w:name w:val="annotation text"/>
    <w:basedOn w:val="Normal"/>
    <w:link w:val="CommentTextChar"/>
    <w:uiPriority w:val="99"/>
    <w:semiHidden/>
    <w:unhideWhenUsed/>
    <w:rsid w:val="00EE1421"/>
    <w:pPr>
      <w:spacing w:line="240" w:lineRule="auto"/>
    </w:pPr>
    <w:rPr>
      <w:sz w:val="20"/>
      <w:szCs w:val="20"/>
    </w:rPr>
  </w:style>
  <w:style w:type="character" w:customStyle="1" w:styleId="CommentTextChar">
    <w:name w:val="Comment Text Char"/>
    <w:basedOn w:val="DefaultParagraphFont"/>
    <w:link w:val="CommentText"/>
    <w:uiPriority w:val="99"/>
    <w:semiHidden/>
    <w:rsid w:val="00EE1421"/>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EE1421"/>
    <w:rPr>
      <w:b/>
      <w:bCs/>
    </w:rPr>
  </w:style>
  <w:style w:type="character" w:customStyle="1" w:styleId="CommentSubjectChar">
    <w:name w:val="Comment Subject Char"/>
    <w:basedOn w:val="CommentTextChar"/>
    <w:link w:val="CommentSubject"/>
    <w:uiPriority w:val="99"/>
    <w:semiHidden/>
    <w:rsid w:val="00EE1421"/>
    <w:rPr>
      <w:rFonts w:asciiTheme="minorHAnsi" w:hAnsiTheme="minorHAnsi"/>
      <w:b/>
      <w:bCs/>
      <w:lang w:bidi="en-US"/>
    </w:rPr>
  </w:style>
  <w:style w:type="character" w:customStyle="1" w:styleId="UnresolvedMention1">
    <w:name w:val="Unresolved Mention1"/>
    <w:basedOn w:val="DefaultParagraphFont"/>
    <w:uiPriority w:val="99"/>
    <w:semiHidden/>
    <w:unhideWhenUsed/>
    <w:rsid w:val="00B8129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701854566">
      <w:bodyDiv w:val="1"/>
      <w:marLeft w:val="0"/>
      <w:marRight w:val="0"/>
      <w:marTop w:val="0"/>
      <w:marBottom w:val="0"/>
      <w:divBdr>
        <w:top w:val="none" w:sz="0" w:space="0" w:color="auto"/>
        <w:left w:val="none" w:sz="0" w:space="0" w:color="auto"/>
        <w:bottom w:val="none" w:sz="0" w:space="0" w:color="auto"/>
        <w:right w:val="none" w:sz="0" w:space="0" w:color="auto"/>
      </w:divBdr>
      <w:divsChild>
        <w:div w:id="67461966">
          <w:marLeft w:val="0"/>
          <w:marRight w:val="0"/>
          <w:marTop w:val="0"/>
          <w:marBottom w:val="0"/>
          <w:divBdr>
            <w:top w:val="none" w:sz="0" w:space="0" w:color="auto"/>
            <w:left w:val="none" w:sz="0" w:space="0" w:color="auto"/>
            <w:bottom w:val="none" w:sz="0" w:space="0" w:color="auto"/>
            <w:right w:val="none" w:sz="0" w:space="0" w:color="auto"/>
          </w:divBdr>
        </w:div>
        <w:div w:id="1421676201">
          <w:marLeft w:val="0"/>
          <w:marRight w:val="0"/>
          <w:marTop w:val="0"/>
          <w:marBottom w:val="0"/>
          <w:divBdr>
            <w:top w:val="none" w:sz="0" w:space="0" w:color="auto"/>
            <w:left w:val="none" w:sz="0" w:space="0" w:color="auto"/>
            <w:bottom w:val="none" w:sz="0" w:space="0" w:color="auto"/>
            <w:right w:val="none" w:sz="0" w:space="0" w:color="auto"/>
          </w:divBdr>
        </w:div>
        <w:div w:id="128936157">
          <w:marLeft w:val="0"/>
          <w:marRight w:val="0"/>
          <w:marTop w:val="0"/>
          <w:marBottom w:val="0"/>
          <w:divBdr>
            <w:top w:val="none" w:sz="0" w:space="0" w:color="auto"/>
            <w:left w:val="none" w:sz="0" w:space="0" w:color="auto"/>
            <w:bottom w:val="none" w:sz="0" w:space="0" w:color="auto"/>
            <w:right w:val="none" w:sz="0" w:space="0" w:color="auto"/>
          </w:divBdr>
        </w:div>
        <w:div w:id="406653330">
          <w:marLeft w:val="0"/>
          <w:marRight w:val="0"/>
          <w:marTop w:val="0"/>
          <w:marBottom w:val="0"/>
          <w:divBdr>
            <w:top w:val="none" w:sz="0" w:space="0" w:color="auto"/>
            <w:left w:val="none" w:sz="0" w:space="0" w:color="auto"/>
            <w:bottom w:val="none" w:sz="0" w:space="0" w:color="auto"/>
            <w:right w:val="none" w:sz="0" w:space="0" w:color="auto"/>
          </w:divBdr>
        </w:div>
        <w:div w:id="626349254">
          <w:marLeft w:val="0"/>
          <w:marRight w:val="0"/>
          <w:marTop w:val="0"/>
          <w:marBottom w:val="0"/>
          <w:divBdr>
            <w:top w:val="none" w:sz="0" w:space="0" w:color="auto"/>
            <w:left w:val="none" w:sz="0" w:space="0" w:color="auto"/>
            <w:bottom w:val="none" w:sz="0" w:space="0" w:color="auto"/>
            <w:right w:val="none" w:sz="0" w:space="0" w:color="auto"/>
          </w:divBdr>
        </w:div>
        <w:div w:id="1098794940">
          <w:marLeft w:val="0"/>
          <w:marRight w:val="0"/>
          <w:marTop w:val="0"/>
          <w:marBottom w:val="0"/>
          <w:divBdr>
            <w:top w:val="none" w:sz="0" w:space="0" w:color="auto"/>
            <w:left w:val="none" w:sz="0" w:space="0" w:color="auto"/>
            <w:bottom w:val="none" w:sz="0" w:space="0" w:color="auto"/>
            <w:right w:val="none" w:sz="0" w:space="0" w:color="auto"/>
          </w:divBdr>
        </w:div>
        <w:div w:id="623082358">
          <w:marLeft w:val="0"/>
          <w:marRight w:val="0"/>
          <w:marTop w:val="0"/>
          <w:marBottom w:val="0"/>
          <w:divBdr>
            <w:top w:val="none" w:sz="0" w:space="0" w:color="auto"/>
            <w:left w:val="none" w:sz="0" w:space="0" w:color="auto"/>
            <w:bottom w:val="none" w:sz="0" w:space="0" w:color="auto"/>
            <w:right w:val="none" w:sz="0" w:space="0" w:color="auto"/>
          </w:divBdr>
        </w:div>
        <w:div w:id="289550647">
          <w:marLeft w:val="0"/>
          <w:marRight w:val="0"/>
          <w:marTop w:val="0"/>
          <w:marBottom w:val="0"/>
          <w:divBdr>
            <w:top w:val="none" w:sz="0" w:space="0" w:color="auto"/>
            <w:left w:val="none" w:sz="0" w:space="0" w:color="auto"/>
            <w:bottom w:val="none" w:sz="0" w:space="0" w:color="auto"/>
            <w:right w:val="none" w:sz="0" w:space="0" w:color="auto"/>
          </w:divBdr>
        </w:div>
        <w:div w:id="446893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8.jpg"/><Relationship Id="rId34" Type="http://schemas.openxmlformats.org/officeDocument/2006/relationships/image" Target="media/image18.emf"/><Relationship Id="rId42" Type="http://schemas.openxmlformats.org/officeDocument/2006/relationships/image" Target="media/image25.emf"/><Relationship Id="rId47" Type="http://schemas.openxmlformats.org/officeDocument/2006/relationships/image" Target="media/image30.emf"/><Relationship Id="rId50" Type="http://schemas.openxmlformats.org/officeDocument/2006/relationships/image" Target="media/image33.png"/><Relationship Id="rId55" Type="http://schemas.openxmlformats.org/officeDocument/2006/relationships/image" Target="media/image37.jpeg"/><Relationship Id="rId63" Type="http://schemas.openxmlformats.org/officeDocument/2006/relationships/image" Target="media/image43.emf"/><Relationship Id="rId68" Type="http://schemas.openxmlformats.org/officeDocument/2006/relationships/chart" Target="charts/chart12.xml"/><Relationship Id="rId76" Type="http://schemas.openxmlformats.org/officeDocument/2006/relationships/hyperlink" Target="http://dx.doi.org/10.2118/942107-G" TargetMode="External"/><Relationship Id="rId84" Type="http://schemas.openxmlformats.org/officeDocument/2006/relationships/hyperlink" Target="http://dx.doi.org/10.2118/36675-MS" TargetMode="External"/><Relationship Id="rId89" Type="http://schemas.openxmlformats.org/officeDocument/2006/relationships/hyperlink" Target="http://dx.doi.org/10.2118/124614-MS" TargetMode="External"/><Relationship Id="rId97" Type="http://schemas.openxmlformats.org/officeDocument/2006/relationships/glossaryDocument" Target="glossary/document.xml"/><Relationship Id="rId7" Type="http://schemas.openxmlformats.org/officeDocument/2006/relationships/footnotes" Target="footnotes.xml"/><Relationship Id="rId71" Type="http://schemas.openxmlformats.org/officeDocument/2006/relationships/image" Target="media/image46.emf"/><Relationship Id="rId92" Type="http://schemas.openxmlformats.org/officeDocument/2006/relationships/hyperlink" Target="http://dx.doi.org/10.2118/24135-PA" TargetMode="External"/><Relationship Id="rId2" Type="http://schemas.openxmlformats.org/officeDocument/2006/relationships/customXml" Target="../customXml/item2.xml"/><Relationship Id="rId16" Type="http://schemas.openxmlformats.org/officeDocument/2006/relationships/image" Target="media/image6.jpg"/><Relationship Id="rId29" Type="http://schemas.openxmlformats.org/officeDocument/2006/relationships/image" Target="media/image14.emf"/><Relationship Id="rId11" Type="http://schemas.openxmlformats.org/officeDocument/2006/relationships/image" Target="media/image1.png"/><Relationship Id="rId24" Type="http://schemas.openxmlformats.org/officeDocument/2006/relationships/chart" Target="charts/chart5.xml"/><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chart" Target="charts/chart7.xml"/><Relationship Id="rId45" Type="http://schemas.openxmlformats.org/officeDocument/2006/relationships/image" Target="media/image28.png"/><Relationship Id="rId53" Type="http://schemas.openxmlformats.org/officeDocument/2006/relationships/chart" Target="charts/chart8.xml"/><Relationship Id="rId58" Type="http://schemas.openxmlformats.org/officeDocument/2006/relationships/image" Target="media/image40.png"/><Relationship Id="rId66" Type="http://schemas.openxmlformats.org/officeDocument/2006/relationships/oleObject" Target="embeddings/oleObject2.bin"/><Relationship Id="rId74" Type="http://schemas.openxmlformats.org/officeDocument/2006/relationships/hyperlink" Target="http://dx.doi.org/10.2523/IPTC-11891-MS" TargetMode="External"/><Relationship Id="rId79" Type="http://schemas.openxmlformats.org/officeDocument/2006/relationships/hyperlink" Target="http://dx.doi.org/10.2118/68051-PA" TargetMode="External"/><Relationship Id="rId87" Type="http://schemas.openxmlformats.org/officeDocument/2006/relationships/hyperlink" Target="http://dx.doi.org/10.2118/19683-PA" TargetMode="External"/><Relationship Id="rId5" Type="http://schemas.openxmlformats.org/officeDocument/2006/relationships/settings" Target="settings.xml"/><Relationship Id="rId61" Type="http://schemas.openxmlformats.org/officeDocument/2006/relationships/image" Target="media/image41.jpeg"/><Relationship Id="rId82" Type="http://schemas.openxmlformats.org/officeDocument/2006/relationships/hyperlink" Target="http://dx.doi.org/10.2118/4755-MS" TargetMode="External"/><Relationship Id="rId90" Type="http://schemas.openxmlformats.org/officeDocument/2006/relationships/hyperlink" Target="http://dx.doi.org/10.2118/22344-PA" TargetMode="External"/><Relationship Id="rId95" Type="http://schemas.openxmlformats.org/officeDocument/2006/relationships/footer" Target="footer3.xml"/><Relationship Id="rId19" Type="http://schemas.openxmlformats.org/officeDocument/2006/relationships/chart" Target="charts/chart2.xml"/><Relationship Id="rId14" Type="http://schemas.openxmlformats.org/officeDocument/2006/relationships/image" Target="media/image4.png"/><Relationship Id="rId22" Type="http://schemas.openxmlformats.org/officeDocument/2006/relationships/image" Target="media/image9.jpg"/><Relationship Id="rId27" Type="http://schemas.openxmlformats.org/officeDocument/2006/relationships/image" Target="media/image12.emf"/><Relationship Id="rId30" Type="http://schemas.openxmlformats.org/officeDocument/2006/relationships/image" Target="media/image15.png"/><Relationship Id="rId35" Type="http://schemas.openxmlformats.org/officeDocument/2006/relationships/image" Target="media/image19.emf"/><Relationship Id="rId43" Type="http://schemas.openxmlformats.org/officeDocument/2006/relationships/image" Target="media/image26.emf"/><Relationship Id="rId48" Type="http://schemas.openxmlformats.org/officeDocument/2006/relationships/image" Target="media/image31.emf"/><Relationship Id="rId56" Type="http://schemas.openxmlformats.org/officeDocument/2006/relationships/image" Target="media/image38.jpeg"/><Relationship Id="rId64" Type="http://schemas.openxmlformats.org/officeDocument/2006/relationships/oleObject" Target="embeddings/oleObject1.bin"/><Relationship Id="rId69" Type="http://schemas.openxmlformats.org/officeDocument/2006/relationships/image" Target="media/image45.emf"/><Relationship Id="rId77" Type="http://schemas.openxmlformats.org/officeDocument/2006/relationships/hyperlink" Target="http://dx.doi.org/10.2118/163846-MS" TargetMode="External"/><Relationship Id="rId8" Type="http://schemas.openxmlformats.org/officeDocument/2006/relationships/endnotes" Target="endnotes.xml"/><Relationship Id="rId51" Type="http://schemas.openxmlformats.org/officeDocument/2006/relationships/image" Target="media/image34.png"/><Relationship Id="rId72" Type="http://schemas.openxmlformats.org/officeDocument/2006/relationships/oleObject" Target="embeddings/oleObject4.bin"/><Relationship Id="rId80" Type="http://schemas.openxmlformats.org/officeDocument/2006/relationships/hyperlink" Target="http://dx.doi.org/10.2118/170923-MS" TargetMode="External"/><Relationship Id="rId85" Type="http://schemas.openxmlformats.org/officeDocument/2006/relationships/hyperlink" Target="http://dx.doi.org/10.2118/129724-MS" TargetMode="External"/><Relationship Id="rId93" Type="http://schemas.openxmlformats.org/officeDocument/2006/relationships/image" Target="media/image47.emf"/><Relationship Id="rId98"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0.png"/><Relationship Id="rId33" Type="http://schemas.openxmlformats.org/officeDocument/2006/relationships/image" Target="media/image17.emf"/><Relationship Id="rId38" Type="http://schemas.openxmlformats.org/officeDocument/2006/relationships/image" Target="media/image22.emf"/><Relationship Id="rId46" Type="http://schemas.openxmlformats.org/officeDocument/2006/relationships/image" Target="media/image29.png"/><Relationship Id="rId59" Type="http://schemas.openxmlformats.org/officeDocument/2006/relationships/chart" Target="charts/chart9.xml"/><Relationship Id="rId67" Type="http://schemas.openxmlformats.org/officeDocument/2006/relationships/chart" Target="charts/chart11.xml"/><Relationship Id="rId20" Type="http://schemas.openxmlformats.org/officeDocument/2006/relationships/chart" Target="charts/chart3.xml"/><Relationship Id="rId41" Type="http://schemas.openxmlformats.org/officeDocument/2006/relationships/image" Target="media/image24.emf"/><Relationship Id="rId54" Type="http://schemas.openxmlformats.org/officeDocument/2006/relationships/image" Target="media/image36.png"/><Relationship Id="rId62" Type="http://schemas.openxmlformats.org/officeDocument/2006/relationships/image" Target="media/image42.jpeg"/><Relationship Id="rId70" Type="http://schemas.openxmlformats.org/officeDocument/2006/relationships/oleObject" Target="embeddings/oleObject3.bin"/><Relationship Id="rId75" Type="http://schemas.openxmlformats.org/officeDocument/2006/relationships/hyperlink" Target="http://dx.doi.org/10.2118/6047-MS" TargetMode="External"/><Relationship Id="rId83" Type="http://schemas.openxmlformats.org/officeDocument/2006/relationships/hyperlink" Target="http://dx.doi.org/10.2118/0611-0086-JPT" TargetMode="External"/><Relationship Id="rId88" Type="http://schemas.openxmlformats.org/officeDocument/2006/relationships/hyperlink" Target="http://dx.doi.org/10.2118/8838-PA" TargetMode="External"/><Relationship Id="rId91" Type="http://schemas.openxmlformats.org/officeDocument/2006/relationships/hyperlink" Target="http://dx.doi.org/10.2118/64627-MS"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chart" Target="charts/chart4.xml"/><Relationship Id="rId28" Type="http://schemas.openxmlformats.org/officeDocument/2006/relationships/image" Target="media/image13.emf"/><Relationship Id="rId36" Type="http://schemas.openxmlformats.org/officeDocument/2006/relationships/image" Target="media/image20.emf"/><Relationship Id="rId49" Type="http://schemas.openxmlformats.org/officeDocument/2006/relationships/image" Target="media/image32.emf"/><Relationship Id="rId57" Type="http://schemas.openxmlformats.org/officeDocument/2006/relationships/image" Target="media/image39.png"/><Relationship Id="rId10" Type="http://schemas.openxmlformats.org/officeDocument/2006/relationships/footer" Target="footer2.xml"/><Relationship Id="rId31" Type="http://schemas.openxmlformats.org/officeDocument/2006/relationships/chart" Target="charts/chart6.xml"/><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chart" Target="charts/chart10.xml"/><Relationship Id="rId65" Type="http://schemas.openxmlformats.org/officeDocument/2006/relationships/image" Target="media/image44.emf"/><Relationship Id="rId73" Type="http://schemas.openxmlformats.org/officeDocument/2006/relationships/hyperlink" Target="http://dx.doi.org/10.2118/10760-PA" TargetMode="External"/><Relationship Id="rId78" Type="http://schemas.openxmlformats.org/officeDocument/2006/relationships/hyperlink" Target="http://dx.doi.org/10.2118/127863-PA" TargetMode="External"/><Relationship Id="rId81" Type="http://schemas.openxmlformats.org/officeDocument/2006/relationships/hyperlink" Target="http://dx.doi.org/10.2118/28591-PA" TargetMode="External"/><Relationship Id="rId86" Type="http://schemas.openxmlformats.org/officeDocument/2006/relationships/hyperlink" Target="http://dx.doi.org/10.2118/173618-MS" TargetMode="External"/><Relationship Id="rId94" Type="http://schemas.openxmlformats.org/officeDocument/2006/relationships/image" Target="media/image48.emf"/><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chart" Target="charts/chart1.xml"/><Relationship Id="rId39" Type="http://schemas.openxmlformats.org/officeDocument/2006/relationships/image" Target="media/image2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u0274\AppData\Local\Chemistry%20Add-in%20for%20Word\Chemistry%20Gallery\Chem4Word2010.dotx"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tian4080\Desktop\Table.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G:\Wei%20Tian\Radon\Single%20Hydraulic%20Fracture\Revised%20Radium%20emanation%202015.1\Initial%20Radon%20Concentration%20Sensitive%20Analysis\Initial%20Radon%20Concentration.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tian4080\Desktop\Radon\Concentration%20Calculation%20-%20For%20Revision.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tian4080\Desktop\Radon\Concentration%20Calculation%20-%20For%20Revis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ian4080\Desktop\Tabl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ian4080\Desktop\Tabl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tian4080\Desktop\Tabl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tian4080\Desktop\Tabl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Ginger\Google%20Drive\Remote%20Connection\Results%20R=20000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Wei%20Tian\Shale,%20HF,%20Swept%20Volume%20Detection\Revised%20Relative%20Permeability\K%20value%20SA\Base%20case\Results%20R=200000.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G:\Wei%20Tian\My%20Files\Radon\Pore%20size%20distribution\Marcellus%20Lab%20Measurement%20of%20PSD.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Wei%20Tian\My%20Files\Radon\Pore%20size%20distribution\PS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38066001336855"/>
          <c:y val="6.2040417593540703E-2"/>
          <c:w val="0.79856286658669973"/>
          <c:h val="0.79967350493744349"/>
        </c:manualLayout>
      </c:layout>
      <c:scatterChart>
        <c:scatterStyle val="smoothMarker"/>
        <c:varyColors val="0"/>
        <c:ser>
          <c:idx val="0"/>
          <c:order val="0"/>
          <c:tx>
            <c:v>Alcohol, Water</c:v>
          </c:tx>
          <c:spPr>
            <a:ln w="12700">
              <a:solidFill>
                <a:schemeClr val="tx1"/>
              </a:solidFill>
              <a:prstDash val="dash"/>
            </a:ln>
          </c:spPr>
          <c:marker>
            <c:symbol val="none"/>
          </c:marker>
          <c:xVal>
            <c:numRef>
              <c:f>'Figure 7'!$A$18:$A$102</c:f>
              <c:numCache>
                <c:formatCode>General</c:formatCode>
                <c:ptCount val="85"/>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pt idx="35">
                  <c:v>0.70727296200000001</c:v>
                </c:pt>
                <c:pt idx="36">
                  <c:v>0.72727294300000023</c:v>
                </c:pt>
                <c:pt idx="37">
                  <c:v>0.74727292400000001</c:v>
                </c:pt>
                <c:pt idx="38">
                  <c:v>0.76727290499999978</c:v>
                </c:pt>
                <c:pt idx="39">
                  <c:v>0.78727288600000001</c:v>
                </c:pt>
                <c:pt idx="40">
                  <c:v>0.80727310499999994</c:v>
                </c:pt>
                <c:pt idx="41">
                  <c:v>0.82727308600000016</c:v>
                </c:pt>
                <c:pt idx="42">
                  <c:v>0.84727306699999994</c:v>
                </c:pt>
                <c:pt idx="43">
                  <c:v>0.86727304800000016</c:v>
                </c:pt>
                <c:pt idx="44">
                  <c:v>0.88727302899999994</c:v>
                </c:pt>
                <c:pt idx="45">
                  <c:v>0.90727301000000016</c:v>
                </c:pt>
                <c:pt idx="46">
                  <c:v>0.92727298999999985</c:v>
                </c:pt>
                <c:pt idx="47">
                  <c:v>0.94727297100000007</c:v>
                </c:pt>
                <c:pt idx="48">
                  <c:v>0.96727295199999985</c:v>
                </c:pt>
                <c:pt idx="49">
                  <c:v>0.98727293300000007</c:v>
                </c:pt>
                <c:pt idx="50">
                  <c:v>1.0072729139999999</c:v>
                </c:pt>
                <c:pt idx="51">
                  <c:v>1.0272728950000001</c:v>
                </c:pt>
                <c:pt idx="52">
                  <c:v>1.047273114</c:v>
                </c:pt>
                <c:pt idx="53">
                  <c:v>1.0672730950000002</c:v>
                </c:pt>
                <c:pt idx="54">
                  <c:v>1.087273076</c:v>
                </c:pt>
                <c:pt idx="55">
                  <c:v>1.1072730569999998</c:v>
                </c:pt>
                <c:pt idx="56">
                  <c:v>1.127273038</c:v>
                </c:pt>
                <c:pt idx="57">
                  <c:v>1.1472730190000002</c:v>
                </c:pt>
                <c:pt idx="58">
                  <c:v>1.167273</c:v>
                </c:pt>
                <c:pt idx="59">
                  <c:v>1.1872729809999998</c:v>
                </c:pt>
                <c:pt idx="60">
                  <c:v>1.207272962</c:v>
                </c:pt>
                <c:pt idx="61">
                  <c:v>1.2272729430000002</c:v>
                </c:pt>
                <c:pt idx="62">
                  <c:v>1.247272924</c:v>
                </c:pt>
                <c:pt idx="63">
                  <c:v>1.2672729049999998</c:v>
                </c:pt>
                <c:pt idx="64">
                  <c:v>1.287272886</c:v>
                </c:pt>
                <c:pt idx="65">
                  <c:v>1.3072731049999999</c:v>
                </c:pt>
                <c:pt idx="66">
                  <c:v>1.3272730860000002</c:v>
                </c:pt>
                <c:pt idx="67">
                  <c:v>1.3472730669999999</c:v>
                </c:pt>
                <c:pt idx="68">
                  <c:v>1.3672730480000002</c:v>
                </c:pt>
                <c:pt idx="69">
                  <c:v>1.3872730289999999</c:v>
                </c:pt>
                <c:pt idx="70">
                  <c:v>1.4072730100000002</c:v>
                </c:pt>
                <c:pt idx="71">
                  <c:v>1.4272729899999999</c:v>
                </c:pt>
                <c:pt idx="72">
                  <c:v>1.4472729710000001</c:v>
                </c:pt>
                <c:pt idx="73">
                  <c:v>1.4672729519999999</c:v>
                </c:pt>
                <c:pt idx="74">
                  <c:v>1.4872729330000001</c:v>
                </c:pt>
                <c:pt idx="75">
                  <c:v>1.5072729139999999</c:v>
                </c:pt>
                <c:pt idx="76">
                  <c:v>1.5272728950000001</c:v>
                </c:pt>
                <c:pt idx="77">
                  <c:v>1.547273114</c:v>
                </c:pt>
                <c:pt idx="78">
                  <c:v>1.5672730950000002</c:v>
                </c:pt>
                <c:pt idx="79">
                  <c:v>1.587273076</c:v>
                </c:pt>
                <c:pt idx="80">
                  <c:v>1.6072730569999998</c:v>
                </c:pt>
                <c:pt idx="81">
                  <c:v>1.627273038</c:v>
                </c:pt>
                <c:pt idx="82">
                  <c:v>1.6472730190000002</c:v>
                </c:pt>
                <c:pt idx="83">
                  <c:v>1.667273</c:v>
                </c:pt>
                <c:pt idx="84">
                  <c:v>1.6872729809999998</c:v>
                </c:pt>
              </c:numCache>
            </c:numRef>
          </c:xVal>
          <c:yVal>
            <c:numRef>
              <c:f>'Figure 7'!$C$18:$C$105</c:f>
              <c:numCache>
                <c:formatCode>0.00E+00</c:formatCode>
                <c:ptCount val="88"/>
                <c:pt idx="0" formatCode="General">
                  <c:v>0</c:v>
                </c:pt>
                <c:pt idx="1">
                  <c:v>1.2468603407E-11</c:v>
                </c:pt>
                <c:pt idx="2">
                  <c:v>5.6915188117999997E-9</c:v>
                </c:pt>
                <c:pt idx="3">
                  <c:v>2.0192773320000001E-7</c:v>
                </c:pt>
                <c:pt idx="4">
                  <c:v>2.2931183139E-6</c:v>
                </c:pt>
                <c:pt idx="5">
                  <c:v>1.2908503777000001E-5</c:v>
                </c:pt>
                <c:pt idx="6">
                  <c:v>4.4971595344000003E-5</c:v>
                </c:pt>
                <c:pt idx="7" formatCode="General">
                  <c:v>1.1058811651E-4</c:v>
                </c:pt>
                <c:pt idx="8" formatCode="General">
                  <c:v>2.1054201352000001E-4</c:v>
                </c:pt>
                <c:pt idx="9" formatCode="General">
                  <c:v>3.3291609724999999E-4</c:v>
                </c:pt>
                <c:pt idx="10" formatCode="General">
                  <c:v>4.6043805196000002E-4</c:v>
                </c:pt>
                <c:pt idx="11" formatCode="General">
                  <c:v>5.7817681226999997E-4</c:v>
                </c:pt>
                <c:pt idx="12" formatCode="General">
                  <c:v>6.7811459302999995E-4</c:v>
                </c:pt>
                <c:pt idx="13" formatCode="General">
                  <c:v>7.6053931843E-4</c:v>
                </c:pt>
                <c:pt idx="14" formatCode="General">
                  <c:v>8.3285407162999995E-4</c:v>
                </c:pt>
                <c:pt idx="15" formatCode="General">
                  <c:v>9.0676301625000004E-4</c:v>
                </c:pt>
                <c:pt idx="16" formatCode="General">
                  <c:v>9.9490454886E-4</c:v>
                </c:pt>
                <c:pt idx="17" formatCode="General">
                  <c:v>1.1077923700000001E-3</c:v>
                </c:pt>
                <c:pt idx="18" formatCode="General">
                  <c:v>1.2515095295000001E-3</c:v>
                </c:pt>
                <c:pt idx="19" formatCode="General">
                  <c:v>1.4262996847000001E-3</c:v>
                </c:pt>
                <c:pt idx="20" formatCode="General">
                  <c:v>1.6261364799E-3</c:v>
                </c:pt>
                <c:pt idx="21" formatCode="General">
                  <c:v>1.8393390345999999E-3</c:v>
                </c:pt>
                <c:pt idx="22" formatCode="General">
                  <c:v>2.0501730031999999E-3</c:v>
                </c:pt>
                <c:pt idx="23" formatCode="General">
                  <c:v>2.2411679382999998E-3</c:v>
                </c:pt>
                <c:pt idx="24" formatCode="General">
                  <c:v>2.3957039230000001E-3</c:v>
                </c:pt>
                <c:pt idx="25" formatCode="General">
                  <c:v>2.5003585033E-3</c:v>
                </c:pt>
                <c:pt idx="26" formatCode="General">
                  <c:v>2.5465886574000001E-3</c:v>
                </c:pt>
                <c:pt idx="27" formatCode="General">
                  <c:v>2.5315026287000002E-3</c:v>
                </c:pt>
                <c:pt idx="28" formatCode="General">
                  <c:v>2.4577053264E-3</c:v>
                </c:pt>
                <c:pt idx="29" formatCode="General">
                  <c:v>2.3323856294000002E-3</c:v>
                </c:pt>
                <c:pt idx="30" formatCode="General">
                  <c:v>2.1659308113000002E-3</c:v>
                </c:pt>
                <c:pt idx="31" formatCode="General">
                  <c:v>1.9703782164E-3</c:v>
                </c:pt>
                <c:pt idx="32" formatCode="General">
                  <c:v>1.7579726409E-3</c:v>
                </c:pt>
                <c:pt idx="33" formatCode="General">
                  <c:v>1.5400076518E-3</c:v>
                </c:pt>
                <c:pt idx="34" formatCode="General">
                  <c:v>1.3260419946E-3</c:v>
                </c:pt>
                <c:pt idx="35" formatCode="General">
                  <c:v>1.1234894628E-3</c:v>
                </c:pt>
                <c:pt idx="36" formatCode="General">
                  <c:v>9.3753362307000005E-4</c:v>
                </c:pt>
                <c:pt idx="37" formatCode="General">
                  <c:v>7.7128183329000001E-4</c:v>
                </c:pt>
                <c:pt idx="38" formatCode="General">
                  <c:v>6.2607030850000002E-4</c:v>
                </c:pt>
                <c:pt idx="39" formatCode="General">
                  <c:v>5.0184054998999997E-4</c:v>
                </c:pt>
                <c:pt idx="40" formatCode="General">
                  <c:v>3.9752532029999998E-4</c:v>
                </c:pt>
                <c:pt idx="41" formatCode="General">
                  <c:v>3.1140091595999999E-4</c:v>
                </c:pt>
                <c:pt idx="42" formatCode="General">
                  <c:v>2.4138405570000001E-4</c:v>
                </c:pt>
                <c:pt idx="43" formatCode="General">
                  <c:v>1.8526263010999999E-4</c:v>
                </c:pt>
                <c:pt idx="44" formatCode="General">
                  <c:v>1.4086258307E-4</c:v>
                </c:pt>
                <c:pt idx="45" formatCode="General">
                  <c:v>1.0615805512999999E-4</c:v>
                </c:pt>
                <c:pt idx="46">
                  <c:v>7.9335033660999998E-5</c:v>
                </c:pt>
                <c:pt idx="47">
                  <c:v>5.8819718105999998E-5</c:v>
                </c:pt>
                <c:pt idx="48">
                  <c:v>4.3281761464000003E-5</c:v>
                </c:pt>
                <c:pt idx="49">
                  <c:v>3.1621148081999998E-5</c:v>
                </c:pt>
                <c:pt idx="50">
                  <c:v>2.2945476302999999E-5</c:v>
                </c:pt>
                <c:pt idx="51">
                  <c:v>1.6542824596000001E-5</c:v>
                </c:pt>
                <c:pt idx="52">
                  <c:v>1.1853677279E-5</c:v>
                </c:pt>
                <c:pt idx="53">
                  <c:v>8.4441699073000002E-6</c:v>
                </c:pt>
                <c:pt idx="54">
                  <c:v>5.9819594752999997E-6</c:v>
                </c:pt>
                <c:pt idx="55">
                  <c:v>4.2152937566999998E-6</c:v>
                </c:pt>
                <c:pt idx="56">
                  <c:v>2.9554187222000002E-6</c:v>
                </c:pt>
                <c:pt idx="57">
                  <c:v>2.0621469048000002E-6</c:v>
                </c:pt>
                <c:pt idx="58">
                  <c:v>1.4322744164000001E-6</c:v>
                </c:pt>
                <c:pt idx="59">
                  <c:v>9.9044370926999993E-7</c:v>
                </c:pt>
                <c:pt idx="60">
                  <c:v>6.8204826674999998E-7</c:v>
                </c:pt>
                <c:pt idx="61">
                  <c:v>4.6780070306E-7</c:v>
                </c:pt>
                <c:pt idx="62">
                  <c:v>3.1962383672999998E-7</c:v>
                </c:pt>
                <c:pt idx="63">
                  <c:v>2.1757797697000001E-7</c:v>
                </c:pt>
                <c:pt idx="64">
                  <c:v>1.4758605004999999E-7</c:v>
                </c:pt>
                <c:pt idx="65">
                  <c:v>9.9765067318000003E-8</c:v>
                </c:pt>
                <c:pt idx="66">
                  <c:v>6.7212930332999997E-8</c:v>
                </c:pt>
                <c:pt idx="67">
                  <c:v>4.5133120352000003E-8</c:v>
                </c:pt>
                <c:pt idx="68">
                  <c:v>3.0207889523E-8</c:v>
                </c:pt>
                <c:pt idx="69">
                  <c:v>2.0152437941000001E-8</c:v>
                </c:pt>
                <c:pt idx="70">
                  <c:v>1.3399843900999999E-8</c:v>
                </c:pt>
                <c:pt idx="71">
                  <c:v>8.8797218467E-9</c:v>
                </c:pt>
                <c:pt idx="72">
                  <c:v>5.8635922784000001E-9</c:v>
                </c:pt>
                <c:pt idx="73">
                  <c:v>3.8574166083999999E-9</c:v>
                </c:pt>
                <c:pt idx="74">
                  <c:v>2.5272792747E-9</c:v>
                </c:pt>
                <c:pt idx="75">
                  <c:v>1.6482201158999999E-9</c:v>
                </c:pt>
                <c:pt idx="76">
                  <c:v>1.0691585395000001E-9</c:v>
                </c:pt>
                <c:pt idx="77">
                  <c:v>6.8894268068E-10</c:v>
                </c:pt>
                <c:pt idx="78">
                  <c:v>4.4005349363999999E-10</c:v>
                </c:pt>
                <c:pt idx="79">
                  <c:v>2.7755192589E-10</c:v>
                </c:pt>
                <c:pt idx="80">
                  <c:v>1.7159909604E-10</c:v>
                </c:pt>
                <c:pt idx="81">
                  <c:v>1.0239232379000001E-10</c:v>
                </c:pt>
                <c:pt idx="82">
                  <c:v>5.6690326045000003E-11</c:v>
                </c:pt>
                <c:pt idx="83">
                  <c:v>2.5076723683999998E-11</c:v>
                </c:pt>
                <c:pt idx="84" formatCode="General">
                  <c:v>0</c:v>
                </c:pt>
                <c:pt idx="85" formatCode="General">
                  <c:v>0</c:v>
                </c:pt>
                <c:pt idx="86" formatCode="General">
                  <c:v>0</c:v>
                </c:pt>
                <c:pt idx="87" formatCode="General">
                  <c:v>0</c:v>
                </c:pt>
              </c:numCache>
            </c:numRef>
          </c:yVal>
          <c:smooth val="1"/>
          <c:extLst>
            <c:ext xmlns:c16="http://schemas.microsoft.com/office/drawing/2014/chart" uri="{C3380CC4-5D6E-409C-BE32-E72D297353CC}">
              <c16:uniqueId val="{00000000-12CD-4B95-93D5-48824379A053}"/>
            </c:ext>
          </c:extLst>
        </c:ser>
        <c:ser>
          <c:idx val="1"/>
          <c:order val="1"/>
          <c:tx>
            <c:v>Ester, Oil</c:v>
          </c:tx>
          <c:spPr>
            <a:ln w="12700">
              <a:solidFill>
                <a:schemeClr val="tx1"/>
              </a:solidFill>
              <a:prstDash val="solid"/>
            </a:ln>
          </c:spPr>
          <c:marker>
            <c:symbol val="none"/>
          </c:marker>
          <c:xVal>
            <c:numRef>
              <c:f>'Figure 7'!$A$18:$A$105</c:f>
              <c:numCache>
                <c:formatCode>General</c:formatCode>
                <c:ptCount val="88"/>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pt idx="35">
                  <c:v>0.70727296200000001</c:v>
                </c:pt>
                <c:pt idx="36">
                  <c:v>0.72727294300000023</c:v>
                </c:pt>
                <c:pt idx="37">
                  <c:v>0.74727292400000001</c:v>
                </c:pt>
                <c:pt idx="38">
                  <c:v>0.76727290499999978</c:v>
                </c:pt>
                <c:pt idx="39">
                  <c:v>0.78727288600000001</c:v>
                </c:pt>
                <c:pt idx="40">
                  <c:v>0.80727310499999994</c:v>
                </c:pt>
                <c:pt idx="41">
                  <c:v>0.82727308600000016</c:v>
                </c:pt>
                <c:pt idx="42">
                  <c:v>0.84727306699999994</c:v>
                </c:pt>
                <c:pt idx="43">
                  <c:v>0.86727304800000016</c:v>
                </c:pt>
                <c:pt idx="44">
                  <c:v>0.88727302899999994</c:v>
                </c:pt>
                <c:pt idx="45">
                  <c:v>0.90727301000000016</c:v>
                </c:pt>
                <c:pt idx="46">
                  <c:v>0.92727298999999985</c:v>
                </c:pt>
                <c:pt idx="47">
                  <c:v>0.94727297100000007</c:v>
                </c:pt>
                <c:pt idx="48">
                  <c:v>0.96727295199999985</c:v>
                </c:pt>
                <c:pt idx="49">
                  <c:v>0.98727293300000007</c:v>
                </c:pt>
                <c:pt idx="50">
                  <c:v>1.0072729139999999</c:v>
                </c:pt>
                <c:pt idx="51">
                  <c:v>1.0272728950000001</c:v>
                </c:pt>
                <c:pt idx="52">
                  <c:v>1.047273114</c:v>
                </c:pt>
                <c:pt idx="53">
                  <c:v>1.0672730950000002</c:v>
                </c:pt>
                <c:pt idx="54">
                  <c:v>1.087273076</c:v>
                </c:pt>
                <c:pt idx="55">
                  <c:v>1.1072730569999998</c:v>
                </c:pt>
                <c:pt idx="56">
                  <c:v>1.127273038</c:v>
                </c:pt>
                <c:pt idx="57">
                  <c:v>1.1472730190000002</c:v>
                </c:pt>
                <c:pt idx="58">
                  <c:v>1.167273</c:v>
                </c:pt>
                <c:pt idx="59">
                  <c:v>1.1872729809999998</c:v>
                </c:pt>
                <c:pt idx="60">
                  <c:v>1.207272962</c:v>
                </c:pt>
                <c:pt idx="61">
                  <c:v>1.2272729430000002</c:v>
                </c:pt>
                <c:pt idx="62">
                  <c:v>1.247272924</c:v>
                </c:pt>
                <c:pt idx="63">
                  <c:v>1.2672729049999998</c:v>
                </c:pt>
                <c:pt idx="64">
                  <c:v>1.287272886</c:v>
                </c:pt>
                <c:pt idx="65">
                  <c:v>1.3072731049999999</c:v>
                </c:pt>
                <c:pt idx="66">
                  <c:v>1.3272730860000002</c:v>
                </c:pt>
                <c:pt idx="67">
                  <c:v>1.3472730669999999</c:v>
                </c:pt>
                <c:pt idx="68">
                  <c:v>1.3672730480000002</c:v>
                </c:pt>
                <c:pt idx="69">
                  <c:v>1.3872730289999999</c:v>
                </c:pt>
                <c:pt idx="70">
                  <c:v>1.4072730100000002</c:v>
                </c:pt>
                <c:pt idx="71">
                  <c:v>1.4272729899999999</c:v>
                </c:pt>
                <c:pt idx="72">
                  <c:v>1.4472729710000001</c:v>
                </c:pt>
                <c:pt idx="73">
                  <c:v>1.4672729519999999</c:v>
                </c:pt>
                <c:pt idx="74">
                  <c:v>1.4872729330000001</c:v>
                </c:pt>
                <c:pt idx="75">
                  <c:v>1.5072729139999999</c:v>
                </c:pt>
                <c:pt idx="76">
                  <c:v>1.5272728950000001</c:v>
                </c:pt>
                <c:pt idx="77">
                  <c:v>1.547273114</c:v>
                </c:pt>
                <c:pt idx="78">
                  <c:v>1.5672730950000002</c:v>
                </c:pt>
                <c:pt idx="79">
                  <c:v>1.587273076</c:v>
                </c:pt>
                <c:pt idx="80">
                  <c:v>1.6072730569999998</c:v>
                </c:pt>
                <c:pt idx="81">
                  <c:v>1.627273038</c:v>
                </c:pt>
                <c:pt idx="82">
                  <c:v>1.6472730190000002</c:v>
                </c:pt>
                <c:pt idx="83">
                  <c:v>1.667273</c:v>
                </c:pt>
                <c:pt idx="84">
                  <c:v>1.6872729809999998</c:v>
                </c:pt>
                <c:pt idx="85">
                  <c:v>1.707272962</c:v>
                </c:pt>
                <c:pt idx="86">
                  <c:v>1.7272729430000002</c:v>
                </c:pt>
                <c:pt idx="87">
                  <c:v>1.747272924</c:v>
                </c:pt>
              </c:numCache>
            </c:numRef>
          </c:xVal>
          <c:yVal>
            <c:numRef>
              <c:f>'Figure 7'!$D$18:$D$105</c:f>
              <c:numCache>
                <c:formatCode>0.00E+00</c:formatCode>
                <c:ptCount val="88"/>
                <c:pt idx="0" formatCode="General">
                  <c:v>0</c:v>
                </c:pt>
                <c:pt idx="1">
                  <c:v>2.1664057700999999E-11</c:v>
                </c:pt>
                <c:pt idx="2">
                  <c:v>2.6057534796999999E-8</c:v>
                </c:pt>
                <c:pt idx="3">
                  <c:v>2.0700522327000001E-6</c:v>
                </c:pt>
                <c:pt idx="4">
                  <c:v>3.7247398723000002E-5</c:v>
                </c:pt>
                <c:pt idx="5" formatCode="General">
                  <c:v>2.6013594470000002E-4</c:v>
                </c:pt>
                <c:pt idx="6" formatCode="General">
                  <c:v>9.4583583996000001E-4</c:v>
                </c:pt>
                <c:pt idx="7" formatCode="General">
                  <c:v>2.1420456469000001E-3</c:v>
                </c:pt>
                <c:pt idx="8" formatCode="General">
                  <c:v>3.4008005168000002E-3</c:v>
                </c:pt>
                <c:pt idx="9" formatCode="General">
                  <c:v>4.1071199811999999E-3</c:v>
                </c:pt>
                <c:pt idx="10" formatCode="General">
                  <c:v>3.9984877220999998E-3</c:v>
                </c:pt>
                <c:pt idx="11" formatCode="General">
                  <c:v>3.2729862723000001E-3</c:v>
                </c:pt>
                <c:pt idx="12" formatCode="General">
                  <c:v>2.3241622839000001E-3</c:v>
                </c:pt>
                <c:pt idx="13" formatCode="General">
                  <c:v>1.466367743E-3</c:v>
                </c:pt>
                <c:pt idx="14" formatCode="General">
                  <c:v>8.3752040518000003E-4</c:v>
                </c:pt>
                <c:pt idx="15" formatCode="General">
                  <c:v>4.3951335828999998E-4</c:v>
                </c:pt>
                <c:pt idx="16" formatCode="General">
                  <c:v>2.1446878964E-4</c:v>
                </c:pt>
                <c:pt idx="17">
                  <c:v>9.8270647868000004E-5</c:v>
                </c:pt>
                <c:pt idx="18">
                  <c:v>4.2627922084999999E-5</c:v>
                </c:pt>
                <c:pt idx="19">
                  <c:v>1.7626543922E-5</c:v>
                </c:pt>
                <c:pt idx="20">
                  <c:v>6.9886832534000001E-6</c:v>
                </c:pt>
                <c:pt idx="21">
                  <c:v>2.6703883122999998E-6</c:v>
                </c:pt>
                <c:pt idx="22">
                  <c:v>9.8765633537999993E-7</c:v>
                </c:pt>
                <c:pt idx="23">
                  <c:v>3.5493252426000001E-7</c:v>
                </c:pt>
                <c:pt idx="24">
                  <c:v>1.2434909991000001E-7</c:v>
                </c:pt>
                <c:pt idx="25">
                  <c:v>4.2595658556E-8</c:v>
                </c:pt>
                <c:pt idx="26">
                  <c:v>1.4302782958E-8</c:v>
                </c:pt>
                <c:pt idx="27">
                  <c:v>4.7179158357999998E-9</c:v>
                </c:pt>
                <c:pt idx="28">
                  <c:v>1.5313531553999999E-9</c:v>
                </c:pt>
                <c:pt idx="29">
                  <c:v>4.8940079766999996E-10</c:v>
                </c:pt>
                <c:pt idx="30">
                  <c:v>1.5361795168999999E-10</c:v>
                </c:pt>
                <c:pt idx="31">
                  <c:v>4.6697673506000002E-11</c:v>
                </c:pt>
                <c:pt idx="32">
                  <c:v>1.2842514378000001E-11</c:v>
                </c:pt>
                <c:pt idx="33">
                  <c:v>1.7622604764E-12</c:v>
                </c:pt>
                <c:pt idx="34" formatCode="General">
                  <c:v>0</c:v>
                </c:pt>
                <c:pt idx="35" formatCode="General">
                  <c:v>0</c:v>
                </c:pt>
                <c:pt idx="36" formatCode="General">
                  <c:v>0</c:v>
                </c:pt>
                <c:pt idx="37" formatCode="General">
                  <c:v>0</c:v>
                </c:pt>
                <c:pt idx="38" formatCode="General">
                  <c:v>0</c:v>
                </c:pt>
                <c:pt idx="39" formatCode="General">
                  <c:v>0</c:v>
                </c:pt>
                <c:pt idx="40" formatCode="General">
                  <c:v>0</c:v>
                </c:pt>
                <c:pt idx="41" formatCode="General">
                  <c:v>0</c:v>
                </c:pt>
                <c:pt idx="42" formatCode="General">
                  <c:v>0</c:v>
                </c:pt>
                <c:pt idx="43" formatCode="General">
                  <c:v>0</c:v>
                </c:pt>
                <c:pt idx="44" formatCode="General">
                  <c:v>0</c:v>
                </c:pt>
                <c:pt idx="45" formatCode="General">
                  <c:v>0</c:v>
                </c:pt>
                <c:pt idx="46" formatCode="General">
                  <c:v>0</c:v>
                </c:pt>
                <c:pt idx="47" formatCode="General">
                  <c:v>0</c:v>
                </c:pt>
                <c:pt idx="48" formatCode="General">
                  <c:v>0</c:v>
                </c:pt>
                <c:pt idx="49" formatCode="General">
                  <c:v>0</c:v>
                </c:pt>
                <c:pt idx="50" formatCode="General">
                  <c:v>0</c:v>
                </c:pt>
                <c:pt idx="51" formatCode="General">
                  <c:v>0</c:v>
                </c:pt>
                <c:pt idx="52" formatCode="General">
                  <c:v>0</c:v>
                </c:pt>
                <c:pt idx="53" formatCode="General">
                  <c:v>0</c:v>
                </c:pt>
                <c:pt idx="54" formatCode="General">
                  <c:v>0</c:v>
                </c:pt>
                <c:pt idx="55" formatCode="General">
                  <c:v>0</c:v>
                </c:pt>
                <c:pt idx="56" formatCode="General">
                  <c:v>0</c:v>
                </c:pt>
                <c:pt idx="57" formatCode="General">
                  <c:v>0</c:v>
                </c:pt>
                <c:pt idx="58" formatCode="General">
                  <c:v>0</c:v>
                </c:pt>
                <c:pt idx="59" formatCode="General">
                  <c:v>0</c:v>
                </c:pt>
                <c:pt idx="60" formatCode="General">
                  <c:v>0</c:v>
                </c:pt>
                <c:pt idx="61" formatCode="General">
                  <c:v>0</c:v>
                </c:pt>
                <c:pt idx="62" formatCode="General">
                  <c:v>0</c:v>
                </c:pt>
                <c:pt idx="63" formatCode="General">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0</c:v>
                </c:pt>
                <c:pt idx="76" formatCode="General">
                  <c:v>0</c:v>
                </c:pt>
                <c:pt idx="77" formatCode="General">
                  <c:v>0</c:v>
                </c:pt>
                <c:pt idx="78" formatCode="General">
                  <c:v>0</c:v>
                </c:pt>
                <c:pt idx="79" formatCode="General">
                  <c:v>0</c:v>
                </c:pt>
                <c:pt idx="80" formatCode="General">
                  <c:v>0</c:v>
                </c:pt>
                <c:pt idx="81" formatCode="General">
                  <c:v>0</c:v>
                </c:pt>
                <c:pt idx="82" formatCode="General">
                  <c:v>0</c:v>
                </c:pt>
                <c:pt idx="83" formatCode="General">
                  <c:v>0</c:v>
                </c:pt>
                <c:pt idx="84" formatCode="General">
                  <c:v>0</c:v>
                </c:pt>
                <c:pt idx="85" formatCode="General">
                  <c:v>0</c:v>
                </c:pt>
                <c:pt idx="86" formatCode="General">
                  <c:v>0</c:v>
                </c:pt>
                <c:pt idx="87" formatCode="General">
                  <c:v>0</c:v>
                </c:pt>
              </c:numCache>
            </c:numRef>
          </c:yVal>
          <c:smooth val="1"/>
          <c:extLst>
            <c:ext xmlns:c16="http://schemas.microsoft.com/office/drawing/2014/chart" uri="{C3380CC4-5D6E-409C-BE32-E72D297353CC}">
              <c16:uniqueId val="{00000001-12CD-4B95-93D5-48824379A053}"/>
            </c:ext>
          </c:extLst>
        </c:ser>
        <c:ser>
          <c:idx val="2"/>
          <c:order val="2"/>
          <c:tx>
            <c:v>Ester, Water</c:v>
          </c:tx>
          <c:spPr>
            <a:ln w="12700">
              <a:solidFill>
                <a:schemeClr val="tx1"/>
              </a:solidFill>
              <a:prstDash val="sysDot"/>
            </a:ln>
          </c:spPr>
          <c:marker>
            <c:symbol val="none"/>
          </c:marker>
          <c:xVal>
            <c:numRef>
              <c:f>'Figure 7'!$A$18:$A$105</c:f>
              <c:numCache>
                <c:formatCode>General</c:formatCode>
                <c:ptCount val="88"/>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pt idx="35">
                  <c:v>0.70727296200000001</c:v>
                </c:pt>
                <c:pt idx="36">
                  <c:v>0.72727294300000023</c:v>
                </c:pt>
                <c:pt idx="37">
                  <c:v>0.74727292400000001</c:v>
                </c:pt>
                <c:pt idx="38">
                  <c:v>0.76727290499999978</c:v>
                </c:pt>
                <c:pt idx="39">
                  <c:v>0.78727288600000001</c:v>
                </c:pt>
                <c:pt idx="40">
                  <c:v>0.80727310499999994</c:v>
                </c:pt>
                <c:pt idx="41">
                  <c:v>0.82727308600000016</c:v>
                </c:pt>
                <c:pt idx="42">
                  <c:v>0.84727306699999994</c:v>
                </c:pt>
                <c:pt idx="43">
                  <c:v>0.86727304800000016</c:v>
                </c:pt>
                <c:pt idx="44">
                  <c:v>0.88727302899999994</c:v>
                </c:pt>
                <c:pt idx="45">
                  <c:v>0.90727301000000016</c:v>
                </c:pt>
                <c:pt idx="46">
                  <c:v>0.92727298999999985</c:v>
                </c:pt>
                <c:pt idx="47">
                  <c:v>0.94727297100000007</c:v>
                </c:pt>
                <c:pt idx="48">
                  <c:v>0.96727295199999985</c:v>
                </c:pt>
                <c:pt idx="49">
                  <c:v>0.98727293300000007</c:v>
                </c:pt>
                <c:pt idx="50">
                  <c:v>1.0072729139999999</c:v>
                </c:pt>
                <c:pt idx="51">
                  <c:v>1.0272728950000001</c:v>
                </c:pt>
                <c:pt idx="52">
                  <c:v>1.047273114</c:v>
                </c:pt>
                <c:pt idx="53">
                  <c:v>1.0672730950000002</c:v>
                </c:pt>
                <c:pt idx="54">
                  <c:v>1.087273076</c:v>
                </c:pt>
                <c:pt idx="55">
                  <c:v>1.1072730569999998</c:v>
                </c:pt>
                <c:pt idx="56">
                  <c:v>1.127273038</c:v>
                </c:pt>
                <c:pt idx="57">
                  <c:v>1.1472730190000002</c:v>
                </c:pt>
                <c:pt idx="58">
                  <c:v>1.167273</c:v>
                </c:pt>
                <c:pt idx="59">
                  <c:v>1.1872729809999998</c:v>
                </c:pt>
                <c:pt idx="60">
                  <c:v>1.207272962</c:v>
                </c:pt>
                <c:pt idx="61">
                  <c:v>1.2272729430000002</c:v>
                </c:pt>
                <c:pt idx="62">
                  <c:v>1.247272924</c:v>
                </c:pt>
                <c:pt idx="63">
                  <c:v>1.2672729049999998</c:v>
                </c:pt>
                <c:pt idx="64">
                  <c:v>1.287272886</c:v>
                </c:pt>
                <c:pt idx="65">
                  <c:v>1.3072731049999999</c:v>
                </c:pt>
                <c:pt idx="66">
                  <c:v>1.3272730860000002</c:v>
                </c:pt>
                <c:pt idx="67">
                  <c:v>1.3472730669999999</c:v>
                </c:pt>
                <c:pt idx="68">
                  <c:v>1.3672730480000002</c:v>
                </c:pt>
                <c:pt idx="69">
                  <c:v>1.3872730289999999</c:v>
                </c:pt>
                <c:pt idx="70">
                  <c:v>1.4072730100000002</c:v>
                </c:pt>
                <c:pt idx="71">
                  <c:v>1.4272729899999999</c:v>
                </c:pt>
                <c:pt idx="72">
                  <c:v>1.4472729710000001</c:v>
                </c:pt>
                <c:pt idx="73">
                  <c:v>1.4672729519999999</c:v>
                </c:pt>
                <c:pt idx="74">
                  <c:v>1.4872729330000001</c:v>
                </c:pt>
                <c:pt idx="75">
                  <c:v>1.5072729139999999</c:v>
                </c:pt>
                <c:pt idx="76">
                  <c:v>1.5272728950000001</c:v>
                </c:pt>
                <c:pt idx="77">
                  <c:v>1.547273114</c:v>
                </c:pt>
                <c:pt idx="78">
                  <c:v>1.5672730950000002</c:v>
                </c:pt>
                <c:pt idx="79">
                  <c:v>1.587273076</c:v>
                </c:pt>
                <c:pt idx="80">
                  <c:v>1.6072730569999998</c:v>
                </c:pt>
                <c:pt idx="81">
                  <c:v>1.627273038</c:v>
                </c:pt>
                <c:pt idx="82">
                  <c:v>1.6472730190000002</c:v>
                </c:pt>
                <c:pt idx="83">
                  <c:v>1.667273</c:v>
                </c:pt>
                <c:pt idx="84">
                  <c:v>1.6872729809999998</c:v>
                </c:pt>
                <c:pt idx="85">
                  <c:v>1.707272962</c:v>
                </c:pt>
                <c:pt idx="86">
                  <c:v>1.7272729430000002</c:v>
                </c:pt>
                <c:pt idx="87">
                  <c:v>1.747272924</c:v>
                </c:pt>
              </c:numCache>
            </c:numRef>
          </c:xVal>
          <c:yVal>
            <c:numRef>
              <c:f>'Figure 7'!$E$18:$E$105</c:f>
              <c:numCache>
                <c:formatCode>0.00E+00</c:formatCode>
                <c:ptCount val="88"/>
                <c:pt idx="0" formatCode="General">
                  <c:v>0</c:v>
                </c:pt>
                <c:pt idx="1">
                  <c:v>1.3798941155999999E-11</c:v>
                </c:pt>
                <c:pt idx="2">
                  <c:v>1.6597221374999999E-8</c:v>
                </c:pt>
                <c:pt idx="3">
                  <c:v>1.3181846725E-6</c:v>
                </c:pt>
                <c:pt idx="4">
                  <c:v>2.367056004E-5</c:v>
                </c:pt>
                <c:pt idx="5" formatCode="General">
                  <c:v>1.6404756752E-4</c:v>
                </c:pt>
                <c:pt idx="6" formatCode="General">
                  <c:v>5.8667338452999998E-4</c:v>
                </c:pt>
                <c:pt idx="7" formatCode="General">
                  <c:v>1.299292082E-3</c:v>
                </c:pt>
                <c:pt idx="8" formatCode="General">
                  <c:v>2.0236889832000002E-3</c:v>
                </c:pt>
                <c:pt idx="9" formatCode="General">
                  <c:v>2.4244345258999998E-3</c:v>
                </c:pt>
                <c:pt idx="10" formatCode="General">
                  <c:v>2.3719128220999999E-3</c:v>
                </c:pt>
                <c:pt idx="11" formatCode="General">
                  <c:v>1.9694620278000001E-3</c:v>
                </c:pt>
                <c:pt idx="12" formatCode="General">
                  <c:v>1.4241185272000001E-3</c:v>
                </c:pt>
                <c:pt idx="13" formatCode="General">
                  <c:v>9.1427960433000004E-4</c:v>
                </c:pt>
                <c:pt idx="14" formatCode="General">
                  <c:v>5.2962341578999999E-4</c:v>
                </c:pt>
                <c:pt idx="15" formatCode="General">
                  <c:v>2.8078086325000003E-4</c:v>
                </c:pt>
                <c:pt idx="16" formatCode="General">
                  <c:v>1.3793316611999999E-4</c:v>
                </c:pt>
                <c:pt idx="17">
                  <c:v>6.3460378442000006E-5</c:v>
                </c:pt>
                <c:pt idx="18">
                  <c:v>2.7592086552999999E-5</c:v>
                </c:pt>
                <c:pt idx="19">
                  <c:v>1.1423385331E-5</c:v>
                </c:pt>
                <c:pt idx="20">
                  <c:v>4.5319256969000003E-6</c:v>
                </c:pt>
                <c:pt idx="21">
                  <c:v>1.7320793404E-6</c:v>
                </c:pt>
                <c:pt idx="22">
                  <c:v>6.4065693549999997E-7</c:v>
                </c:pt>
                <c:pt idx="23">
                  <c:v>2.3022660400000001E-7</c:v>
                </c:pt>
                <c:pt idx="24">
                  <c:v>8.0654956491000001E-8</c:v>
                </c:pt>
                <c:pt idx="25">
                  <c:v>2.7627104160000001E-8</c:v>
                </c:pt>
                <c:pt idx="26">
                  <c:v>9.2764693704000008E-9</c:v>
                </c:pt>
                <c:pt idx="27">
                  <c:v>3.0599782707999998E-9</c:v>
                </c:pt>
                <c:pt idx="28">
                  <c:v>9.9326225023000009E-10</c:v>
                </c:pt>
                <c:pt idx="29">
                  <c:v>3.1745842066000002E-10</c:v>
                </c:pt>
                <c:pt idx="30">
                  <c:v>9.9657136710000006E-11</c:v>
                </c:pt>
                <c:pt idx="31">
                  <c:v>3.0297968995000002E-11</c:v>
                </c:pt>
                <c:pt idx="32">
                  <c:v>8.3334459125000003E-12</c:v>
                </c:pt>
                <c:pt idx="33">
                  <c:v>1.1436742395000001E-12</c:v>
                </c:pt>
                <c:pt idx="34" formatCode="General">
                  <c:v>0</c:v>
                </c:pt>
                <c:pt idx="35" formatCode="General">
                  <c:v>0</c:v>
                </c:pt>
                <c:pt idx="36" formatCode="General">
                  <c:v>0</c:v>
                </c:pt>
                <c:pt idx="37" formatCode="General">
                  <c:v>0</c:v>
                </c:pt>
                <c:pt idx="38" formatCode="General">
                  <c:v>0</c:v>
                </c:pt>
                <c:pt idx="39" formatCode="General">
                  <c:v>0</c:v>
                </c:pt>
                <c:pt idx="40" formatCode="General">
                  <c:v>0</c:v>
                </c:pt>
                <c:pt idx="41" formatCode="General">
                  <c:v>0</c:v>
                </c:pt>
                <c:pt idx="42" formatCode="General">
                  <c:v>0</c:v>
                </c:pt>
                <c:pt idx="43" formatCode="General">
                  <c:v>0</c:v>
                </c:pt>
                <c:pt idx="44" formatCode="General">
                  <c:v>0</c:v>
                </c:pt>
                <c:pt idx="45" formatCode="General">
                  <c:v>0</c:v>
                </c:pt>
                <c:pt idx="46" formatCode="General">
                  <c:v>0</c:v>
                </c:pt>
                <c:pt idx="47" formatCode="General">
                  <c:v>0</c:v>
                </c:pt>
                <c:pt idx="48" formatCode="General">
                  <c:v>0</c:v>
                </c:pt>
                <c:pt idx="49" formatCode="General">
                  <c:v>0</c:v>
                </c:pt>
                <c:pt idx="50" formatCode="General">
                  <c:v>0</c:v>
                </c:pt>
                <c:pt idx="51" formatCode="General">
                  <c:v>0</c:v>
                </c:pt>
                <c:pt idx="52" formatCode="General">
                  <c:v>0</c:v>
                </c:pt>
                <c:pt idx="53" formatCode="General">
                  <c:v>0</c:v>
                </c:pt>
                <c:pt idx="54" formatCode="General">
                  <c:v>0</c:v>
                </c:pt>
                <c:pt idx="55" formatCode="General">
                  <c:v>0</c:v>
                </c:pt>
                <c:pt idx="56" formatCode="General">
                  <c:v>0</c:v>
                </c:pt>
                <c:pt idx="57" formatCode="General">
                  <c:v>0</c:v>
                </c:pt>
                <c:pt idx="58" formatCode="General">
                  <c:v>0</c:v>
                </c:pt>
                <c:pt idx="59" formatCode="General">
                  <c:v>0</c:v>
                </c:pt>
                <c:pt idx="60" formatCode="General">
                  <c:v>0</c:v>
                </c:pt>
                <c:pt idx="61" formatCode="General">
                  <c:v>0</c:v>
                </c:pt>
                <c:pt idx="62" formatCode="General">
                  <c:v>0</c:v>
                </c:pt>
                <c:pt idx="63" formatCode="General">
                  <c:v>0</c:v>
                </c:pt>
                <c:pt idx="64" formatCode="General">
                  <c:v>0</c:v>
                </c:pt>
                <c:pt idx="65" formatCode="General">
                  <c:v>0</c:v>
                </c:pt>
                <c:pt idx="66" formatCode="General">
                  <c:v>0</c:v>
                </c:pt>
                <c:pt idx="67" formatCode="General">
                  <c:v>0</c:v>
                </c:pt>
                <c:pt idx="68" formatCode="General">
                  <c:v>0</c:v>
                </c:pt>
                <c:pt idx="69" formatCode="General">
                  <c:v>0</c:v>
                </c:pt>
                <c:pt idx="70" formatCode="General">
                  <c:v>0</c:v>
                </c:pt>
                <c:pt idx="71" formatCode="General">
                  <c:v>0</c:v>
                </c:pt>
                <c:pt idx="72" formatCode="General">
                  <c:v>0</c:v>
                </c:pt>
                <c:pt idx="73" formatCode="General">
                  <c:v>0</c:v>
                </c:pt>
                <c:pt idx="74" formatCode="General">
                  <c:v>0</c:v>
                </c:pt>
                <c:pt idx="75" formatCode="General">
                  <c:v>0</c:v>
                </c:pt>
                <c:pt idx="76" formatCode="General">
                  <c:v>0</c:v>
                </c:pt>
                <c:pt idx="77" formatCode="General">
                  <c:v>0</c:v>
                </c:pt>
                <c:pt idx="78" formatCode="General">
                  <c:v>0</c:v>
                </c:pt>
                <c:pt idx="79" formatCode="General">
                  <c:v>0</c:v>
                </c:pt>
                <c:pt idx="80" formatCode="General">
                  <c:v>0</c:v>
                </c:pt>
                <c:pt idx="81" formatCode="General">
                  <c:v>0</c:v>
                </c:pt>
                <c:pt idx="82" formatCode="General">
                  <c:v>0</c:v>
                </c:pt>
                <c:pt idx="83" formatCode="General">
                  <c:v>0</c:v>
                </c:pt>
                <c:pt idx="84" formatCode="General">
                  <c:v>0</c:v>
                </c:pt>
                <c:pt idx="85" formatCode="General">
                  <c:v>0</c:v>
                </c:pt>
                <c:pt idx="86" formatCode="General">
                  <c:v>0</c:v>
                </c:pt>
                <c:pt idx="87" formatCode="General">
                  <c:v>0</c:v>
                </c:pt>
              </c:numCache>
            </c:numRef>
          </c:yVal>
          <c:smooth val="1"/>
          <c:extLst>
            <c:ext xmlns:c16="http://schemas.microsoft.com/office/drawing/2014/chart" uri="{C3380CC4-5D6E-409C-BE32-E72D297353CC}">
              <c16:uniqueId val="{00000002-12CD-4B95-93D5-48824379A053}"/>
            </c:ext>
          </c:extLst>
        </c:ser>
        <c:dLbls>
          <c:showLegendKey val="0"/>
          <c:showVal val="0"/>
          <c:showCatName val="0"/>
          <c:showSerName val="0"/>
          <c:showPercent val="0"/>
          <c:showBubbleSize val="0"/>
        </c:dLbls>
        <c:axId val="176845952"/>
        <c:axId val="176847872"/>
      </c:scatterChart>
      <c:valAx>
        <c:axId val="176845952"/>
        <c:scaling>
          <c:orientation val="minMax"/>
          <c:max val="1.2"/>
        </c:scaling>
        <c:delete val="0"/>
        <c:axPos val="b"/>
        <c:title>
          <c:tx>
            <c:rich>
              <a:bodyPr/>
              <a:lstStyle/>
              <a:p>
                <a:pPr>
                  <a:defRPr sz="1200">
                    <a:latin typeface="+mn-lt"/>
                  </a:defRPr>
                </a:pPr>
                <a:r>
                  <a:rPr lang="en-US" sz="1200">
                    <a:latin typeface="+mn-lt"/>
                  </a:rPr>
                  <a:t>Time, days</a:t>
                </a:r>
              </a:p>
            </c:rich>
          </c:tx>
          <c:overlay val="0"/>
        </c:title>
        <c:numFmt formatCode="General" sourceLinked="1"/>
        <c:majorTickMark val="out"/>
        <c:minorTickMark val="none"/>
        <c:tickLblPos val="nextTo"/>
        <c:spPr>
          <a:ln w="9525">
            <a:solidFill>
              <a:schemeClr val="tx1"/>
            </a:solidFill>
          </a:ln>
        </c:spPr>
        <c:txPr>
          <a:bodyPr rot="0" vert="horz"/>
          <a:lstStyle/>
          <a:p>
            <a:pPr>
              <a:defRPr sz="1200" b="0" i="0" u="none" strike="noStrike" baseline="0">
                <a:solidFill>
                  <a:srgbClr val="000000"/>
                </a:solidFill>
                <a:latin typeface="Calibri"/>
                <a:ea typeface="Calibri"/>
                <a:cs typeface="Calibri"/>
              </a:defRPr>
            </a:pPr>
            <a:endParaRPr lang="en-US"/>
          </a:p>
        </c:txPr>
        <c:crossAx val="176847872"/>
        <c:crosses val="autoZero"/>
        <c:crossBetween val="midCat"/>
      </c:valAx>
      <c:valAx>
        <c:axId val="176847872"/>
        <c:scaling>
          <c:orientation val="minMax"/>
          <c:min val="0"/>
        </c:scaling>
        <c:delete val="0"/>
        <c:axPos val="l"/>
        <c:title>
          <c:tx>
            <c:rich>
              <a:bodyPr/>
              <a:lstStyle/>
              <a:p>
                <a:pPr>
                  <a:defRPr sz="1200">
                    <a:latin typeface="+mn-lt"/>
                  </a:defRPr>
                </a:pPr>
                <a:r>
                  <a:rPr lang="en-US" sz="1200">
                    <a:latin typeface="+mn-lt"/>
                  </a:rPr>
                  <a:t>Tracer concentration, mole fraction</a:t>
                </a:r>
              </a:p>
            </c:rich>
          </c:tx>
          <c:overlay val="0"/>
        </c:title>
        <c:numFmt formatCode="General" sourceLinked="1"/>
        <c:majorTickMark val="out"/>
        <c:minorTickMark val="none"/>
        <c:tickLblPos val="nextTo"/>
        <c:spPr>
          <a:ln w="9525">
            <a:solidFill>
              <a:schemeClr val="tx1"/>
            </a:solidFill>
          </a:ln>
        </c:spPr>
        <c:txPr>
          <a:bodyPr rot="0" vert="horz"/>
          <a:lstStyle/>
          <a:p>
            <a:pPr>
              <a:defRPr sz="1100" b="0" i="0" u="none" strike="noStrike" baseline="0">
                <a:solidFill>
                  <a:srgbClr val="000000"/>
                </a:solidFill>
                <a:latin typeface="Calibri"/>
                <a:ea typeface="Calibri"/>
                <a:cs typeface="Calibri"/>
              </a:defRPr>
            </a:pPr>
            <a:endParaRPr lang="en-US"/>
          </a:p>
        </c:txPr>
        <c:crossAx val="176845952"/>
        <c:crosses val="autoZero"/>
        <c:crossBetween val="midCat"/>
      </c:valAx>
      <c:spPr>
        <a:noFill/>
        <a:ln w="9525">
          <a:solidFill>
            <a:schemeClr val="tx1"/>
          </a:solidFill>
        </a:ln>
      </c:spPr>
    </c:plotArea>
    <c:legend>
      <c:legendPos val="r"/>
      <c:layout>
        <c:manualLayout>
          <c:xMode val="edge"/>
          <c:yMode val="edge"/>
          <c:x val="0.6297757985731236"/>
          <c:y val="9.3867448183326888E-2"/>
          <c:w val="0.24153959282697024"/>
          <c:h val="0.26965699065087967"/>
        </c:manualLayout>
      </c:layout>
      <c:overlay val="0"/>
      <c:txPr>
        <a:bodyPr/>
        <a:lstStyle/>
        <a:p>
          <a:pPr>
            <a:defRPr sz="1100" b="0" i="0" u="none" strike="noStrike" baseline="0">
              <a:solidFill>
                <a:srgbClr val="000000"/>
              </a:solidFill>
              <a:latin typeface="Calibri"/>
              <a:ea typeface="Calibri"/>
              <a:cs typeface="Calibri"/>
            </a:defRPr>
          </a:pPr>
          <a:endParaRPr lang="en-US"/>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92894624495788"/>
          <c:y val="3.3191389192942809E-2"/>
          <c:w val="0.78401343158144621"/>
          <c:h val="0.79912565767988675"/>
        </c:manualLayout>
      </c:layout>
      <c:scatterChart>
        <c:scatterStyle val="smoothMarker"/>
        <c:varyColors val="0"/>
        <c:ser>
          <c:idx val="1"/>
          <c:order val="0"/>
          <c:tx>
            <c:v>Case A</c:v>
          </c:tx>
          <c:spPr>
            <a:ln w="12700">
              <a:solidFill>
                <a:schemeClr val="tx1"/>
              </a:solidFill>
            </a:ln>
          </c:spPr>
          <c:marker>
            <c:symbol val="none"/>
          </c:marker>
          <c:xVal>
            <c:numRef>
              <c:f>'radon Case A B C'!$A$108:$A$304</c:f>
              <c:numCache>
                <c:formatCode>General</c:formatCode>
                <c:ptCount val="197"/>
                <c:pt idx="0">
                  <c:v>-0.51332423090000001</c:v>
                </c:pt>
                <c:pt idx="1">
                  <c:v>-0.50825467710000005</c:v>
                </c:pt>
                <c:pt idx="2">
                  <c:v>-0.50280618669999999</c:v>
                </c:pt>
                <c:pt idx="3">
                  <c:v>-0.5</c:v>
                </c:pt>
                <c:pt idx="4">
                  <c:v>-0.49827587600000001</c:v>
                </c:pt>
                <c:pt idx="5">
                  <c:v>-0.49224960799999995</c:v>
                </c:pt>
                <c:pt idx="6">
                  <c:v>-0.48551428320000001</c:v>
                </c:pt>
                <c:pt idx="7">
                  <c:v>-0.47819095850000004</c:v>
                </c:pt>
                <c:pt idx="8">
                  <c:v>-0.47020447249999997</c:v>
                </c:pt>
                <c:pt idx="9">
                  <c:v>-0.46146124600000005</c:v>
                </c:pt>
                <c:pt idx="10">
                  <c:v>-0.45185029509999997</c:v>
                </c:pt>
                <c:pt idx="11">
                  <c:v>-0.44123774770000002</c:v>
                </c:pt>
                <c:pt idx="12">
                  <c:v>-0.4294614792</c:v>
                </c:pt>
                <c:pt idx="13">
                  <c:v>-0.41632527109999995</c:v>
                </c:pt>
                <c:pt idx="14">
                  <c:v>-0.40158534050000005</c:v>
                </c:pt>
                <c:pt idx="15">
                  <c:v>-0.39999997620000005</c:v>
                </c:pt>
                <c:pt idx="16">
                  <c:v>-0.38860237600000003</c:v>
                </c:pt>
                <c:pt idx="17">
                  <c:v>-0.37027460339999996</c:v>
                </c:pt>
                <c:pt idx="18">
                  <c:v>-0.34921693799999998</c:v>
                </c:pt>
                <c:pt idx="19">
                  <c:v>-0.32492595909999999</c:v>
                </c:pt>
                <c:pt idx="20">
                  <c:v>-0.30000001190000003</c:v>
                </c:pt>
                <c:pt idx="21">
                  <c:v>-0.27207303049999998</c:v>
                </c:pt>
                <c:pt idx="22">
                  <c:v>-0.23424613480000001</c:v>
                </c:pt>
                <c:pt idx="23">
                  <c:v>-0.19999998809999997</c:v>
                </c:pt>
                <c:pt idx="24">
                  <c:v>-0.1909594536</c:v>
                </c:pt>
                <c:pt idx="25">
                  <c:v>-0.13638955350000004</c:v>
                </c:pt>
                <c:pt idx="26">
                  <c:v>-0.10000002379999995</c:v>
                </c:pt>
                <c:pt idx="27">
                  <c:v>-7.313603160000004E-2</c:v>
                </c:pt>
                <c:pt idx="28">
                  <c:v>0</c:v>
                </c:pt>
                <c:pt idx="29">
                  <c:v>2.3126599999989672E-4</c:v>
                </c:pt>
                <c:pt idx="30">
                  <c:v>1.1414290000000271E-3</c:v>
                </c:pt>
                <c:pt idx="31">
                  <c:v>3.0705929999998993E-3</c:v>
                </c:pt>
                <c:pt idx="32">
                  <c:v>6.8620440000000116E-3</c:v>
                </c:pt>
                <c:pt idx="33">
                  <c:v>1.3186573999999895E-2</c:v>
                </c:pt>
                <c:pt idx="34">
                  <c:v>2.1734595000000079E-2</c:v>
                </c:pt>
                <c:pt idx="35">
                  <c:v>3.2201528999999951E-2</c:v>
                </c:pt>
                <c:pt idx="36">
                  <c:v>4.5248151000000014E-2</c:v>
                </c:pt>
                <c:pt idx="37">
                  <c:v>6.1863422000000057E-2</c:v>
                </c:pt>
                <c:pt idx="38">
                  <c:v>8.3498478000000098E-2</c:v>
                </c:pt>
                <c:pt idx="39">
                  <c:v>0.10000002400000008</c:v>
                </c:pt>
                <c:pt idx="40">
                  <c:v>0.11269974699999996</c:v>
                </c:pt>
                <c:pt idx="41">
                  <c:v>0.15045177899999995</c:v>
                </c:pt>
                <c:pt idx="42">
                  <c:v>0.20000004799999993</c:v>
                </c:pt>
                <c:pt idx="43">
                  <c:v>0.26466822599999995</c:v>
                </c:pt>
                <c:pt idx="44">
                  <c:v>0.29999995200000007</c:v>
                </c:pt>
                <c:pt idx="45">
                  <c:v>0.32652556899999996</c:v>
                </c:pt>
                <c:pt idx="46">
                  <c:v>0.39999997599999992</c:v>
                </c:pt>
                <c:pt idx="47">
                  <c:v>0.42104411100000005</c:v>
                </c:pt>
                <c:pt idx="48">
                  <c:v>0.5</c:v>
                </c:pt>
                <c:pt idx="49">
                  <c:v>0.51819038399999995</c:v>
                </c:pt>
                <c:pt idx="50">
                  <c:v>0.60000002400000008</c:v>
                </c:pt>
                <c:pt idx="51">
                  <c:v>0.62816321800000008</c:v>
                </c:pt>
                <c:pt idx="52">
                  <c:v>0.70000004799999993</c:v>
                </c:pt>
                <c:pt idx="53">
                  <c:v>0.7664853330000001</c:v>
                </c:pt>
                <c:pt idx="54">
                  <c:v>0.79999995200000007</c:v>
                </c:pt>
                <c:pt idx="55">
                  <c:v>0.89999997599999992</c:v>
                </c:pt>
                <c:pt idx="56">
                  <c:v>0.9286822079999999</c:v>
                </c:pt>
                <c:pt idx="57">
                  <c:v>1</c:v>
                </c:pt>
                <c:pt idx="58">
                  <c:v>1.0999999049999998</c:v>
                </c:pt>
                <c:pt idx="59">
                  <c:v>1.2000000480000002</c:v>
                </c:pt>
                <c:pt idx="60">
                  <c:v>1.2999999519999998</c:v>
                </c:pt>
                <c:pt idx="61">
                  <c:v>1.3532593249999998</c:v>
                </c:pt>
                <c:pt idx="62">
                  <c:v>1.4000000950000002</c:v>
                </c:pt>
                <c:pt idx="63">
                  <c:v>1.420000076</c:v>
                </c:pt>
                <c:pt idx="64">
                  <c:v>1.4400000569999998</c:v>
                </c:pt>
                <c:pt idx="65">
                  <c:v>1.460000038</c:v>
                </c:pt>
                <c:pt idx="66">
                  <c:v>1.4800000190000002</c:v>
                </c:pt>
                <c:pt idx="67">
                  <c:v>1.5</c:v>
                </c:pt>
                <c:pt idx="68">
                  <c:v>1.5199999809999998</c:v>
                </c:pt>
                <c:pt idx="69">
                  <c:v>1.539999962</c:v>
                </c:pt>
                <c:pt idx="70">
                  <c:v>1.5599999430000002</c:v>
                </c:pt>
                <c:pt idx="71">
                  <c:v>1.579999924</c:v>
                </c:pt>
                <c:pt idx="72">
                  <c:v>1.5999999049999998</c:v>
                </c:pt>
                <c:pt idx="73">
                  <c:v>1.619999886</c:v>
                </c:pt>
                <c:pt idx="74">
                  <c:v>1.6400001049999999</c:v>
                </c:pt>
                <c:pt idx="75">
                  <c:v>1.6600000860000002</c:v>
                </c:pt>
                <c:pt idx="76">
                  <c:v>1.6800000669999999</c:v>
                </c:pt>
                <c:pt idx="77">
                  <c:v>1.7000000480000002</c:v>
                </c:pt>
                <c:pt idx="78">
                  <c:v>1.7200000289999999</c:v>
                </c:pt>
                <c:pt idx="79">
                  <c:v>1.7400000100000002</c:v>
                </c:pt>
                <c:pt idx="80">
                  <c:v>1.7599999899999998</c:v>
                </c:pt>
                <c:pt idx="81">
                  <c:v>1.7799999710000001</c:v>
                </c:pt>
                <c:pt idx="82">
                  <c:v>1.7999999519999998</c:v>
                </c:pt>
                <c:pt idx="83">
                  <c:v>1.8199999330000001</c:v>
                </c:pt>
                <c:pt idx="84">
                  <c:v>1.8399999139999998</c:v>
                </c:pt>
                <c:pt idx="85">
                  <c:v>1.8599998950000001</c:v>
                </c:pt>
                <c:pt idx="86">
                  <c:v>1.880000114</c:v>
                </c:pt>
                <c:pt idx="87">
                  <c:v>1.9000000950000002</c:v>
                </c:pt>
                <c:pt idx="88">
                  <c:v>1.920000076</c:v>
                </c:pt>
                <c:pt idx="89">
                  <c:v>1.9400000569999998</c:v>
                </c:pt>
                <c:pt idx="90">
                  <c:v>1.960000038</c:v>
                </c:pt>
                <c:pt idx="91">
                  <c:v>1.9800000190000002</c:v>
                </c:pt>
                <c:pt idx="92">
                  <c:v>2</c:v>
                </c:pt>
                <c:pt idx="93">
                  <c:v>2.0199999809999998</c:v>
                </c:pt>
                <c:pt idx="94">
                  <c:v>2.039999962</c:v>
                </c:pt>
                <c:pt idx="95">
                  <c:v>2.0599999430000002</c:v>
                </c:pt>
                <c:pt idx="96">
                  <c:v>2.079999924</c:v>
                </c:pt>
                <c:pt idx="97">
                  <c:v>2.0999999049999998</c:v>
                </c:pt>
                <c:pt idx="98">
                  <c:v>2.119999886</c:v>
                </c:pt>
                <c:pt idx="99">
                  <c:v>2.1400001049999999</c:v>
                </c:pt>
                <c:pt idx="100">
                  <c:v>2.1600000860000002</c:v>
                </c:pt>
                <c:pt idx="101">
                  <c:v>2.1800000669999999</c:v>
                </c:pt>
                <c:pt idx="102">
                  <c:v>2.2000000480000002</c:v>
                </c:pt>
                <c:pt idx="103">
                  <c:v>2.2200000289999999</c:v>
                </c:pt>
                <c:pt idx="104">
                  <c:v>2.2400000100000002</c:v>
                </c:pt>
                <c:pt idx="105">
                  <c:v>2.2599999899999998</c:v>
                </c:pt>
                <c:pt idx="106">
                  <c:v>2.2799999710000001</c:v>
                </c:pt>
                <c:pt idx="107">
                  <c:v>2.2999999519999998</c:v>
                </c:pt>
                <c:pt idx="108">
                  <c:v>2.3199999330000001</c:v>
                </c:pt>
                <c:pt idx="109">
                  <c:v>2.3399999139999998</c:v>
                </c:pt>
                <c:pt idx="110">
                  <c:v>2.3599998950000001</c:v>
                </c:pt>
                <c:pt idx="111">
                  <c:v>2.380000114</c:v>
                </c:pt>
                <c:pt idx="112">
                  <c:v>2.4000000950000002</c:v>
                </c:pt>
                <c:pt idx="113">
                  <c:v>2.420000076</c:v>
                </c:pt>
                <c:pt idx="114">
                  <c:v>2.4400000569999998</c:v>
                </c:pt>
                <c:pt idx="115">
                  <c:v>2.460000038</c:v>
                </c:pt>
                <c:pt idx="116">
                  <c:v>2.4800000190000002</c:v>
                </c:pt>
                <c:pt idx="117">
                  <c:v>2.5</c:v>
                </c:pt>
                <c:pt idx="118">
                  <c:v>2.5199999809999998</c:v>
                </c:pt>
                <c:pt idx="119">
                  <c:v>2.539999962</c:v>
                </c:pt>
                <c:pt idx="120">
                  <c:v>2.5599999430000002</c:v>
                </c:pt>
                <c:pt idx="121">
                  <c:v>2.579999924</c:v>
                </c:pt>
                <c:pt idx="122">
                  <c:v>2.5999999049999998</c:v>
                </c:pt>
                <c:pt idx="123">
                  <c:v>2.619999886</c:v>
                </c:pt>
                <c:pt idx="124">
                  <c:v>2.6400001049999999</c:v>
                </c:pt>
                <c:pt idx="125">
                  <c:v>2.6600000860000002</c:v>
                </c:pt>
                <c:pt idx="126">
                  <c:v>2.6800000669999999</c:v>
                </c:pt>
                <c:pt idx="127">
                  <c:v>2.7000000480000002</c:v>
                </c:pt>
                <c:pt idx="128">
                  <c:v>2.7200000289999999</c:v>
                </c:pt>
                <c:pt idx="129">
                  <c:v>2.7400000100000002</c:v>
                </c:pt>
                <c:pt idx="130">
                  <c:v>2.7599999899999998</c:v>
                </c:pt>
                <c:pt idx="131">
                  <c:v>2.7799999710000001</c:v>
                </c:pt>
                <c:pt idx="132">
                  <c:v>2.7999999519999998</c:v>
                </c:pt>
                <c:pt idx="133">
                  <c:v>2.8199999330000001</c:v>
                </c:pt>
                <c:pt idx="134">
                  <c:v>2.8399999139999998</c:v>
                </c:pt>
                <c:pt idx="135">
                  <c:v>2.8599998950000001</c:v>
                </c:pt>
                <c:pt idx="136">
                  <c:v>2.880000114</c:v>
                </c:pt>
                <c:pt idx="137">
                  <c:v>2.9000000950000002</c:v>
                </c:pt>
                <c:pt idx="138">
                  <c:v>2.920000076</c:v>
                </c:pt>
                <c:pt idx="139">
                  <c:v>2.9400000569999998</c:v>
                </c:pt>
                <c:pt idx="140">
                  <c:v>2.960000038</c:v>
                </c:pt>
                <c:pt idx="141">
                  <c:v>2.9800000190000002</c:v>
                </c:pt>
                <c:pt idx="142">
                  <c:v>3</c:v>
                </c:pt>
                <c:pt idx="143">
                  <c:v>3.3489823339999996</c:v>
                </c:pt>
                <c:pt idx="144">
                  <c:v>4.2850761410000002</c:v>
                </c:pt>
                <c:pt idx="145">
                  <c:v>5</c:v>
                </c:pt>
                <c:pt idx="146">
                  <c:v>5.5667572019999998</c:v>
                </c:pt>
                <c:pt idx="147">
                  <c:v>7.5079793929999994</c:v>
                </c:pt>
                <c:pt idx="148">
                  <c:v>10.59002209</c:v>
                </c:pt>
                <c:pt idx="149">
                  <c:v>15.80957794</c:v>
                </c:pt>
                <c:pt idx="150">
                  <c:v>24.546739580000001</c:v>
                </c:pt>
                <c:pt idx="151">
                  <c:v>36</c:v>
                </c:pt>
                <c:pt idx="152">
                  <c:v>57.641506200000002</c:v>
                </c:pt>
                <c:pt idx="153">
                  <c:v>64</c:v>
                </c:pt>
                <c:pt idx="154">
                  <c:v>95</c:v>
                </c:pt>
                <c:pt idx="155">
                  <c:v>125</c:v>
                </c:pt>
                <c:pt idx="156">
                  <c:v>145</c:v>
                </c:pt>
                <c:pt idx="157">
                  <c:v>156</c:v>
                </c:pt>
                <c:pt idx="158">
                  <c:v>186</c:v>
                </c:pt>
                <c:pt idx="159">
                  <c:v>196</c:v>
                </c:pt>
                <c:pt idx="160">
                  <c:v>217</c:v>
                </c:pt>
                <c:pt idx="161">
                  <c:v>248</c:v>
                </c:pt>
                <c:pt idx="162">
                  <c:v>278</c:v>
                </c:pt>
                <c:pt idx="163">
                  <c:v>298</c:v>
                </c:pt>
                <c:pt idx="164">
                  <c:v>309</c:v>
                </c:pt>
                <c:pt idx="165">
                  <c:v>339</c:v>
                </c:pt>
                <c:pt idx="166">
                  <c:v>349</c:v>
                </c:pt>
                <c:pt idx="167">
                  <c:v>370</c:v>
                </c:pt>
                <c:pt idx="168">
                  <c:v>401</c:v>
                </c:pt>
                <c:pt idx="169">
                  <c:v>430</c:v>
                </c:pt>
                <c:pt idx="170">
                  <c:v>450</c:v>
                </c:pt>
                <c:pt idx="171">
                  <c:v>461</c:v>
                </c:pt>
                <c:pt idx="172">
                  <c:v>491</c:v>
                </c:pt>
                <c:pt idx="173">
                  <c:v>501</c:v>
                </c:pt>
                <c:pt idx="174">
                  <c:v>522</c:v>
                </c:pt>
                <c:pt idx="175">
                  <c:v>552</c:v>
                </c:pt>
                <c:pt idx="176">
                  <c:v>602</c:v>
                </c:pt>
                <c:pt idx="177">
                  <c:v>652</c:v>
                </c:pt>
                <c:pt idx="178">
                  <c:v>702</c:v>
                </c:pt>
                <c:pt idx="179">
                  <c:v>736</c:v>
                </c:pt>
                <c:pt idx="180">
                  <c:v>744.84277340000006</c:v>
                </c:pt>
                <c:pt idx="181">
                  <c:v>794.84277340000006</c:v>
                </c:pt>
                <c:pt idx="182">
                  <c:v>844.84277340000006</c:v>
                </c:pt>
                <c:pt idx="183">
                  <c:v>894.84277340000006</c:v>
                </c:pt>
                <c:pt idx="184">
                  <c:v>917</c:v>
                </c:pt>
                <c:pt idx="185">
                  <c:v>934.84277340000006</c:v>
                </c:pt>
                <c:pt idx="186">
                  <c:v>984.84277340000006</c:v>
                </c:pt>
                <c:pt idx="187">
                  <c:v>1034.8427730000001</c:v>
                </c:pt>
                <c:pt idx="188">
                  <c:v>1084.8427730000001</c:v>
                </c:pt>
                <c:pt idx="189">
                  <c:v>1134.8427730000001</c:v>
                </c:pt>
                <c:pt idx="190">
                  <c:v>1184.8427730000001</c:v>
                </c:pt>
                <c:pt idx="191">
                  <c:v>1234.8427730000001</c:v>
                </c:pt>
                <c:pt idx="192">
                  <c:v>1282</c:v>
                </c:pt>
                <c:pt idx="193">
                  <c:v>1332</c:v>
                </c:pt>
                <c:pt idx="194">
                  <c:v>1382</c:v>
                </c:pt>
                <c:pt idx="195">
                  <c:v>1432</c:v>
                </c:pt>
                <c:pt idx="196">
                  <c:v>1482</c:v>
                </c:pt>
              </c:numCache>
            </c:numRef>
          </c:xVal>
          <c:yVal>
            <c:numRef>
              <c:f>'radon Case A B C'!$D$108:$D$304</c:f>
              <c:numCache>
                <c:formatCode>0.00E+00</c:formatCode>
                <c:ptCount val="19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35.517360138931657</c:v>
                </c:pt>
                <c:pt idx="30">
                  <c:v>35.708899140097415</c:v>
                </c:pt>
                <c:pt idx="31">
                  <c:v>36.170877217620365</c:v>
                </c:pt>
                <c:pt idx="32">
                  <c:v>36.919424218743643</c:v>
                </c:pt>
                <c:pt idx="33">
                  <c:v>37.863728555658632</c:v>
                </c:pt>
                <c:pt idx="34">
                  <c:v>38.892473934212973</c:v>
                </c:pt>
                <c:pt idx="35">
                  <c:v>39.973995452929699</c:v>
                </c:pt>
                <c:pt idx="36">
                  <c:v>41.149729053695346</c:v>
                </c:pt>
                <c:pt idx="37">
                  <c:v>42.450063963504135</c:v>
                </c:pt>
                <c:pt idx="38">
                  <c:v>43.912256920735885</c:v>
                </c:pt>
                <c:pt idx="39">
                  <c:v>44.88181648183825</c:v>
                </c:pt>
                <c:pt idx="40">
                  <c:v>45.55288386738853</c:v>
                </c:pt>
                <c:pt idx="41">
                  <c:v>47.241822093528931</c:v>
                </c:pt>
                <c:pt idx="42">
                  <c:v>48.92518413521551</c:v>
                </c:pt>
                <c:pt idx="43">
                  <c:v>50.536267087040912</c:v>
                </c:pt>
                <c:pt idx="44">
                  <c:v>51.24759648090582</c:v>
                </c:pt>
                <c:pt idx="45">
                  <c:v>51.723329146748988</c:v>
                </c:pt>
                <c:pt idx="46">
                  <c:v>52.846497915392867</c:v>
                </c:pt>
                <c:pt idx="47">
                  <c:v>53.131345069757877</c:v>
                </c:pt>
                <c:pt idx="48">
                  <c:v>54.114083991731285</c:v>
                </c:pt>
                <c:pt idx="49">
                  <c:v>54.319044966705661</c:v>
                </c:pt>
                <c:pt idx="50">
                  <c:v>55.156842223990232</c:v>
                </c:pt>
                <c:pt idx="51">
                  <c:v>55.423152967296623</c:v>
                </c:pt>
                <c:pt idx="52">
                  <c:v>56.094822972078553</c:v>
                </c:pt>
                <c:pt idx="53">
                  <c:v>56.673865705132407</c:v>
                </c:pt>
                <c:pt idx="54">
                  <c:v>56.949329217166614</c:v>
                </c:pt>
                <c:pt idx="55">
                  <c:v>57.730167217669802</c:v>
                </c:pt>
                <c:pt idx="56">
                  <c:v>57.950772814011124</c:v>
                </c:pt>
                <c:pt idx="57">
                  <c:v>58.488857004831274</c:v>
                </c:pt>
                <c:pt idx="58">
                  <c:v>59.207343480357473</c:v>
                </c:pt>
                <c:pt idx="59">
                  <c:v>59.876814316253459</c:v>
                </c:pt>
                <c:pt idx="60">
                  <c:v>60.541914206158921</c:v>
                </c:pt>
                <c:pt idx="61">
                  <c:v>60.888306784449831</c:v>
                </c:pt>
                <c:pt idx="62">
                  <c:v>61.185848073810753</c:v>
                </c:pt>
                <c:pt idx="63">
                  <c:v>61.311071567647886</c:v>
                </c:pt>
                <c:pt idx="64">
                  <c:v>61.434365897318017</c:v>
                </c:pt>
                <c:pt idx="65">
                  <c:v>61.555731062823348</c:v>
                </c:pt>
                <c:pt idx="66">
                  <c:v>61.675683594933659</c:v>
                </c:pt>
                <c:pt idx="67">
                  <c:v>61.794391757460382</c:v>
                </c:pt>
                <c:pt idx="68">
                  <c:v>61.911937725754157</c:v>
                </c:pt>
                <c:pt idx="69">
                  <c:v>62.028423240722525</c:v>
                </c:pt>
                <c:pt idx="70">
                  <c:v>62.143926564605017</c:v>
                </c:pt>
                <c:pt idx="71">
                  <c:v>62.25906988219338</c:v>
                </c:pt>
                <c:pt idx="72">
                  <c:v>62.375144520412803</c:v>
                </c:pt>
                <c:pt idx="73">
                  <c:v>62.49172003695633</c:v>
                </c:pt>
                <c:pt idx="74">
                  <c:v>62.608467730422433</c:v>
                </c:pt>
                <c:pt idx="75">
                  <c:v>62.725156727209153</c:v>
                </c:pt>
                <c:pt idx="76">
                  <c:v>62.841344845673937</c:v>
                </c:pt>
                <c:pt idx="77">
                  <c:v>62.956816864661704</c:v>
                </c:pt>
                <c:pt idx="78">
                  <c:v>63.071631480850712</c:v>
                </c:pt>
                <c:pt idx="79">
                  <c:v>63.185350425707348</c:v>
                </c:pt>
                <c:pt idx="80">
                  <c:v>63.297742825631921</c:v>
                </c:pt>
                <c:pt idx="81">
                  <c:v>63.409262601602599</c:v>
                </c:pt>
                <c:pt idx="82">
                  <c:v>63.520070191208532</c:v>
                </c:pt>
                <c:pt idx="83">
                  <c:v>63.630200812455548</c:v>
                </c:pt>
                <c:pt idx="84">
                  <c:v>63.739552724435008</c:v>
                </c:pt>
                <c:pt idx="85">
                  <c:v>63.847977228894599</c:v>
                </c:pt>
                <c:pt idx="86">
                  <c:v>63.955466499610914</c:v>
                </c:pt>
                <c:pt idx="87">
                  <c:v>64.062036189030749</c:v>
                </c:pt>
                <c:pt idx="88">
                  <c:v>64.167459336665544</c:v>
                </c:pt>
                <c:pt idx="89">
                  <c:v>64.271814204751564</c:v>
                </c:pt>
                <c:pt idx="90">
                  <c:v>64.375292535773625</c:v>
                </c:pt>
                <c:pt idx="91">
                  <c:v>64.477992157527069</c:v>
                </c:pt>
                <c:pt idx="92">
                  <c:v>64.579944374907669</c:v>
                </c:pt>
                <c:pt idx="93">
                  <c:v>64.681184405923474</c:v>
                </c:pt>
                <c:pt idx="94">
                  <c:v>64.781712250573449</c:v>
                </c:pt>
                <c:pt idx="95">
                  <c:v>64.881539648194277</c:v>
                </c:pt>
                <c:pt idx="96">
                  <c:v>64.981844445466848</c:v>
                </c:pt>
                <c:pt idx="97">
                  <c:v>65.082434899907312</c:v>
                </c:pt>
                <c:pt idx="98">
                  <c:v>65.183021441236619</c:v>
                </c:pt>
                <c:pt idx="99">
                  <c:v>65.283420153194385</c:v>
                </c:pt>
                <c:pt idx="100">
                  <c:v>65.383509729311825</c:v>
                </c:pt>
                <c:pt idx="101">
                  <c:v>65.483180602456912</c:v>
                </c:pt>
                <c:pt idx="102">
                  <c:v>65.582354510390147</c:v>
                </c:pt>
                <c:pt idx="103">
                  <c:v>65.680980582658847</c:v>
                </c:pt>
                <c:pt idx="104">
                  <c:v>65.778925773456365</c:v>
                </c:pt>
                <c:pt idx="105">
                  <c:v>65.87582225026631</c:v>
                </c:pt>
                <c:pt idx="106">
                  <c:v>65.971536967282091</c:v>
                </c:pt>
                <c:pt idx="107">
                  <c:v>66.0662029703103</c:v>
                </c:pt>
                <c:pt idx="108">
                  <c:v>66.159953305153195</c:v>
                </c:pt>
                <c:pt idx="109">
                  <c:v>66.252858407826892</c:v>
                </c:pt>
                <c:pt idx="110">
                  <c:v>66.344965235673968</c:v>
                </c:pt>
                <c:pt idx="111">
                  <c:v>66.436312919812593</c:v>
                </c:pt>
                <c:pt idx="112">
                  <c:v>66.526924938913993</c:v>
                </c:pt>
                <c:pt idx="113">
                  <c:v>66.616809119202742</c:v>
                </c:pt>
                <c:pt idx="114">
                  <c:v>66.705988939350107</c:v>
                </c:pt>
                <c:pt idx="115">
                  <c:v>66.794464399356116</c:v>
                </c:pt>
                <c:pt idx="116">
                  <c:v>66.882227672996237</c:v>
                </c:pt>
                <c:pt idx="117">
                  <c:v>66.969231802928974</c:v>
                </c:pt>
                <c:pt idx="118">
                  <c:v>67.055500267823433</c:v>
                </c:pt>
                <c:pt idx="119">
                  <c:v>67.140907848101861</c:v>
                </c:pt>
                <c:pt idx="120">
                  <c:v>67.225524979775997</c:v>
                </c:pt>
                <c:pt idx="121">
                  <c:v>67.30943775130882</c:v>
                </c:pt>
                <c:pt idx="122">
                  <c:v>67.392724424938635</c:v>
                </c:pt>
                <c:pt idx="123">
                  <c:v>67.475408479335698</c:v>
                </c:pt>
                <c:pt idx="124">
                  <c:v>67.557505566947924</c:v>
                </c:pt>
                <c:pt idx="125">
                  <c:v>67.639023513999831</c:v>
                </c:pt>
                <c:pt idx="126">
                  <c:v>67.719993625386081</c:v>
                </c:pt>
                <c:pt idx="127">
                  <c:v>67.800415901106717</c:v>
                </c:pt>
                <c:pt idx="128">
                  <c:v>67.880955570183858</c:v>
                </c:pt>
                <c:pt idx="129">
                  <c:v>67.961573501498322</c:v>
                </c:pt>
                <c:pt idx="130">
                  <c:v>68.042183606590498</c:v>
                </c:pt>
                <c:pt idx="131">
                  <c:v>68.12268414454843</c:v>
                </c:pt>
                <c:pt idx="132">
                  <c:v>68.20293424334541</c:v>
                </c:pt>
                <c:pt idx="133">
                  <c:v>68.282910424309037</c:v>
                </c:pt>
                <c:pt idx="134">
                  <c:v>68.36259703499249</c:v>
                </c:pt>
                <c:pt idx="135">
                  <c:v>68.44197059672446</c:v>
                </c:pt>
                <c:pt idx="136">
                  <c:v>68.521007630832528</c:v>
                </c:pt>
                <c:pt idx="137">
                  <c:v>68.599700311094438</c:v>
                </c:pt>
                <c:pt idx="138">
                  <c:v>68.677727762333063</c:v>
                </c:pt>
                <c:pt idx="139">
                  <c:v>68.755089984549528</c:v>
                </c:pt>
                <c:pt idx="140">
                  <c:v>68.831982633338782</c:v>
                </c:pt>
                <c:pt idx="141">
                  <c:v>68.908483970937056</c:v>
                </c:pt>
                <c:pt idx="142">
                  <c:v>68.984601823569932</c:v>
                </c:pt>
                <c:pt idx="143">
                  <c:v>70.23065404513612</c:v>
                </c:pt>
                <c:pt idx="144">
                  <c:v>73.061125274055357</c:v>
                </c:pt>
                <c:pt idx="145">
                  <c:v>74.839540716847807</c:v>
                </c:pt>
                <c:pt idx="146">
                  <c:v>76.11137251959461</c:v>
                </c:pt>
                <c:pt idx="147">
                  <c:v>79.648622193243398</c:v>
                </c:pt>
                <c:pt idx="148">
                  <c:v>83.651876536557239</c:v>
                </c:pt>
                <c:pt idx="149">
                  <c:v>88.012812785987421</c:v>
                </c:pt>
                <c:pt idx="150">
                  <c:v>92.020035024765178</c:v>
                </c:pt>
                <c:pt idx="151">
                  <c:v>94.658497679092562</c:v>
                </c:pt>
                <c:pt idx="152">
                  <c:v>96.840644528811481</c:v>
                </c:pt>
                <c:pt idx="153">
                  <c:v>97.190241945746621</c:v>
                </c:pt>
                <c:pt idx="154">
                  <c:v>98.149150016263306</c:v>
                </c:pt>
                <c:pt idx="155">
                  <c:v>98.528056641311522</c:v>
                </c:pt>
                <c:pt idx="156">
                  <c:v>98.652423163642723</c:v>
                </c:pt>
                <c:pt idx="157">
                  <c:v>98.6972126424225</c:v>
                </c:pt>
                <c:pt idx="158">
                  <c:v>98.772313085962509</c:v>
                </c:pt>
                <c:pt idx="159">
                  <c:v>98.787597701034258</c:v>
                </c:pt>
                <c:pt idx="160">
                  <c:v>98.806012805625173</c:v>
                </c:pt>
                <c:pt idx="161">
                  <c:v>98.812399004242351</c:v>
                </c:pt>
                <c:pt idx="162">
                  <c:v>98.800057049317118</c:v>
                </c:pt>
                <c:pt idx="163">
                  <c:v>98.785249833895989</c:v>
                </c:pt>
                <c:pt idx="164">
                  <c:v>98.775247919885643</c:v>
                </c:pt>
                <c:pt idx="165">
                  <c:v>98.745218699183255</c:v>
                </c:pt>
                <c:pt idx="166">
                  <c:v>98.732438475725516</c:v>
                </c:pt>
                <c:pt idx="167">
                  <c:v>98.706698025663016</c:v>
                </c:pt>
                <c:pt idx="168">
                  <c:v>98.666275579760409</c:v>
                </c:pt>
                <c:pt idx="169">
                  <c:v>98.627230549245866</c:v>
                </c:pt>
                <c:pt idx="170">
                  <c:v>98.600081378899461</c:v>
                </c:pt>
                <c:pt idx="171">
                  <c:v>98.584828068722459</c:v>
                </c:pt>
                <c:pt idx="172">
                  <c:v>98.543380387502481</c:v>
                </c:pt>
                <c:pt idx="173">
                  <c:v>98.528964483272347</c:v>
                </c:pt>
                <c:pt idx="174">
                  <c:v>98.500304851733503</c:v>
                </c:pt>
                <c:pt idx="175">
                  <c:v>98.459178045689526</c:v>
                </c:pt>
                <c:pt idx="176">
                  <c:v>98.391402947622197</c:v>
                </c:pt>
                <c:pt idx="177">
                  <c:v>98.325412228580717</c:v>
                </c:pt>
                <c:pt idx="178">
                  <c:v>98.261558068634685</c:v>
                </c:pt>
                <c:pt idx="179">
                  <c:v>98.219132109441063</c:v>
                </c:pt>
                <c:pt idx="180">
                  <c:v>98.208441487736152</c:v>
                </c:pt>
                <c:pt idx="181">
                  <c:v>98.148203043184367</c:v>
                </c:pt>
                <c:pt idx="182">
                  <c:v>98.089662889195509</c:v>
                </c:pt>
                <c:pt idx="183">
                  <c:v>98.032719284860931</c:v>
                </c:pt>
                <c:pt idx="184">
                  <c:v>98.007831893192119</c:v>
                </c:pt>
                <c:pt idx="185">
                  <c:v>97.988242855032624</c:v>
                </c:pt>
                <c:pt idx="186">
                  <c:v>97.933834947207885</c:v>
                </c:pt>
                <c:pt idx="187">
                  <c:v>97.881070546380045</c:v>
                </c:pt>
                <c:pt idx="188">
                  <c:v>97.829370511987676</c:v>
                </c:pt>
                <c:pt idx="189">
                  <c:v>97.778758322704249</c:v>
                </c:pt>
                <c:pt idx="190">
                  <c:v>97.72914006384238</c:v>
                </c:pt>
                <c:pt idx="191">
                  <c:v>97.680460951834945</c:v>
                </c:pt>
                <c:pt idx="192">
                  <c:v>97.635217552074735</c:v>
                </c:pt>
                <c:pt idx="193">
                  <c:v>97.587900203008559</c:v>
                </c:pt>
                <c:pt idx="194">
                  <c:v>97.541279387860328</c:v>
                </c:pt>
                <c:pt idx="195">
                  <c:v>97.495347280405554</c:v>
                </c:pt>
                <c:pt idx="196">
                  <c:v>97.45003344463035</c:v>
                </c:pt>
              </c:numCache>
            </c:numRef>
          </c:yVal>
          <c:smooth val="1"/>
          <c:extLst>
            <c:ext xmlns:c16="http://schemas.microsoft.com/office/drawing/2014/chart" uri="{C3380CC4-5D6E-409C-BE32-E72D297353CC}">
              <c16:uniqueId val="{00000000-411F-4FF6-B062-28AE4F155DB6}"/>
            </c:ext>
          </c:extLst>
        </c:ser>
        <c:ser>
          <c:idx val="0"/>
          <c:order val="1"/>
          <c:tx>
            <c:v>Case B</c:v>
          </c:tx>
          <c:spPr>
            <a:ln w="12700">
              <a:solidFill>
                <a:schemeClr val="tx1">
                  <a:lumMod val="95000"/>
                  <a:lumOff val="5000"/>
                </a:schemeClr>
              </a:solidFill>
              <a:prstDash val="dash"/>
            </a:ln>
          </c:spPr>
          <c:marker>
            <c:symbol val="none"/>
          </c:marker>
          <c:xVal>
            <c:numRef>
              <c:f>'radon Case A B C'!$F$108:$F$304</c:f>
              <c:numCache>
                <c:formatCode>General</c:formatCode>
                <c:ptCount val="197"/>
                <c:pt idx="0">
                  <c:v>-0.51323753599999999</c:v>
                </c:pt>
                <c:pt idx="1">
                  <c:v>-0.50816211100000008</c:v>
                </c:pt>
                <c:pt idx="2">
                  <c:v>-0.50270709400000002</c:v>
                </c:pt>
                <c:pt idx="3">
                  <c:v>-0.5</c:v>
                </c:pt>
                <c:pt idx="4">
                  <c:v>-0.49826490879999996</c:v>
                </c:pt>
                <c:pt idx="5">
                  <c:v>-0.49223363399999998</c:v>
                </c:pt>
                <c:pt idx="6">
                  <c:v>-0.48549759390000002</c:v>
                </c:pt>
                <c:pt idx="7">
                  <c:v>-0.4781734943</c:v>
                </c:pt>
                <c:pt idx="8">
                  <c:v>-0.47018617389999995</c:v>
                </c:pt>
                <c:pt idx="9">
                  <c:v>-0.46144211290000003</c:v>
                </c:pt>
                <c:pt idx="10">
                  <c:v>-0.45183020829999998</c:v>
                </c:pt>
                <c:pt idx="11">
                  <c:v>-0.44121670719999995</c:v>
                </c:pt>
                <c:pt idx="12">
                  <c:v>-0.42943936589999998</c:v>
                </c:pt>
                <c:pt idx="13">
                  <c:v>-0.4163019657</c:v>
                </c:pt>
                <c:pt idx="14">
                  <c:v>-0.40156078340000001</c:v>
                </c:pt>
                <c:pt idx="15">
                  <c:v>-0.39999997620000005</c:v>
                </c:pt>
                <c:pt idx="16">
                  <c:v>-0.38865101339999997</c:v>
                </c:pt>
                <c:pt idx="17">
                  <c:v>-0.37033474450000003</c:v>
                </c:pt>
                <c:pt idx="18">
                  <c:v>-0.34928786749999996</c:v>
                </c:pt>
                <c:pt idx="19">
                  <c:v>-0.32501029969999995</c:v>
                </c:pt>
                <c:pt idx="20">
                  <c:v>-0.30000001190000003</c:v>
                </c:pt>
                <c:pt idx="21">
                  <c:v>-0.27184253930000002</c:v>
                </c:pt>
                <c:pt idx="22">
                  <c:v>-0.23396760230000002</c:v>
                </c:pt>
                <c:pt idx="23">
                  <c:v>-0.19999998809999997</c:v>
                </c:pt>
                <c:pt idx="24">
                  <c:v>-0.19113498929999995</c:v>
                </c:pt>
                <c:pt idx="25">
                  <c:v>-0.13678622250000005</c:v>
                </c:pt>
                <c:pt idx="26">
                  <c:v>-0.10000002379999995</c:v>
                </c:pt>
                <c:pt idx="27">
                  <c:v>-7.2744131099999998E-2</c:v>
                </c:pt>
                <c:pt idx="28">
                  <c:v>0</c:v>
                </c:pt>
                <c:pt idx="29">
                  <c:v>2.3126599999989672E-4</c:v>
                </c:pt>
                <c:pt idx="30">
                  <c:v>1.141309999999951E-3</c:v>
                </c:pt>
                <c:pt idx="31">
                  <c:v>3.0702350000000322E-3</c:v>
                </c:pt>
                <c:pt idx="32">
                  <c:v>6.8608519999999729E-3</c:v>
                </c:pt>
                <c:pt idx="33">
                  <c:v>1.3183951000000027E-2</c:v>
                </c:pt>
                <c:pt idx="34">
                  <c:v>2.1730065000000076E-2</c:v>
                </c:pt>
                <c:pt idx="35">
                  <c:v>3.2194733999999947E-2</c:v>
                </c:pt>
                <c:pt idx="36">
                  <c:v>4.5238255999999977E-2</c:v>
                </c:pt>
                <c:pt idx="37">
                  <c:v>6.184923600000003E-2</c:v>
                </c:pt>
                <c:pt idx="38">
                  <c:v>8.3478450999999954E-2</c:v>
                </c:pt>
                <c:pt idx="39">
                  <c:v>0.10000002400000008</c:v>
                </c:pt>
                <c:pt idx="40">
                  <c:v>0.11271476699999994</c:v>
                </c:pt>
                <c:pt idx="41">
                  <c:v>0.15047121000000008</c:v>
                </c:pt>
                <c:pt idx="42">
                  <c:v>0.20000004799999993</c:v>
                </c:pt>
                <c:pt idx="43">
                  <c:v>0.26464700699999999</c:v>
                </c:pt>
                <c:pt idx="44">
                  <c:v>0.29999995200000007</c:v>
                </c:pt>
                <c:pt idx="45">
                  <c:v>0.3264813419999999</c:v>
                </c:pt>
                <c:pt idx="46">
                  <c:v>0.39999997599999992</c:v>
                </c:pt>
                <c:pt idx="47">
                  <c:v>0.42107760899999991</c:v>
                </c:pt>
                <c:pt idx="48">
                  <c:v>0.5</c:v>
                </c:pt>
                <c:pt idx="49">
                  <c:v>0.51826119399999993</c:v>
                </c:pt>
                <c:pt idx="50">
                  <c:v>0.60000002400000008</c:v>
                </c:pt>
                <c:pt idx="51">
                  <c:v>0.6283489470000001</c:v>
                </c:pt>
                <c:pt idx="52">
                  <c:v>0.70000004799999993</c:v>
                </c:pt>
                <c:pt idx="53">
                  <c:v>0.76710045300000007</c:v>
                </c:pt>
                <c:pt idx="54">
                  <c:v>0.79999995200000007</c:v>
                </c:pt>
                <c:pt idx="55">
                  <c:v>0.89999997599999992</c:v>
                </c:pt>
                <c:pt idx="56">
                  <c:v>0.92885136599999996</c:v>
                </c:pt>
                <c:pt idx="57">
                  <c:v>1</c:v>
                </c:pt>
                <c:pt idx="58">
                  <c:v>1.0999999049999998</c:v>
                </c:pt>
                <c:pt idx="59">
                  <c:v>1.2000000480000002</c:v>
                </c:pt>
                <c:pt idx="60">
                  <c:v>1.2999999519999998</c:v>
                </c:pt>
                <c:pt idx="61">
                  <c:v>1.3531031609999999</c:v>
                </c:pt>
                <c:pt idx="62">
                  <c:v>1.4000000950000002</c:v>
                </c:pt>
                <c:pt idx="63">
                  <c:v>1.420000076</c:v>
                </c:pt>
                <c:pt idx="64">
                  <c:v>1.4400000569999998</c:v>
                </c:pt>
                <c:pt idx="65">
                  <c:v>1.460000038</c:v>
                </c:pt>
                <c:pt idx="66">
                  <c:v>1.4800000190000002</c:v>
                </c:pt>
                <c:pt idx="67">
                  <c:v>1.5</c:v>
                </c:pt>
                <c:pt idx="68">
                  <c:v>1.5199999809999998</c:v>
                </c:pt>
                <c:pt idx="69">
                  <c:v>1.539999962</c:v>
                </c:pt>
                <c:pt idx="70">
                  <c:v>1.5599999430000002</c:v>
                </c:pt>
                <c:pt idx="71">
                  <c:v>1.579999924</c:v>
                </c:pt>
                <c:pt idx="72">
                  <c:v>1.5999999049999998</c:v>
                </c:pt>
                <c:pt idx="73">
                  <c:v>1.619999886</c:v>
                </c:pt>
                <c:pt idx="74">
                  <c:v>1.6400001049999999</c:v>
                </c:pt>
                <c:pt idx="75">
                  <c:v>1.6600000860000002</c:v>
                </c:pt>
                <c:pt idx="76">
                  <c:v>1.6800000669999999</c:v>
                </c:pt>
                <c:pt idx="77">
                  <c:v>1.7000000480000002</c:v>
                </c:pt>
                <c:pt idx="78">
                  <c:v>1.7200000289999999</c:v>
                </c:pt>
                <c:pt idx="79">
                  <c:v>1.7400000100000002</c:v>
                </c:pt>
                <c:pt idx="80">
                  <c:v>1.7599999899999998</c:v>
                </c:pt>
                <c:pt idx="81">
                  <c:v>1.7799999710000001</c:v>
                </c:pt>
                <c:pt idx="82">
                  <c:v>1.7999999519999998</c:v>
                </c:pt>
                <c:pt idx="83">
                  <c:v>1.8199999330000001</c:v>
                </c:pt>
                <c:pt idx="84">
                  <c:v>1.8399999139999998</c:v>
                </c:pt>
                <c:pt idx="85">
                  <c:v>1.8599998950000001</c:v>
                </c:pt>
                <c:pt idx="86">
                  <c:v>1.880000114</c:v>
                </c:pt>
                <c:pt idx="87">
                  <c:v>1.9000000950000002</c:v>
                </c:pt>
                <c:pt idx="88">
                  <c:v>1.920000076</c:v>
                </c:pt>
                <c:pt idx="89">
                  <c:v>1.9400000569999998</c:v>
                </c:pt>
                <c:pt idx="90">
                  <c:v>1.960000038</c:v>
                </c:pt>
                <c:pt idx="91">
                  <c:v>1.9800000190000002</c:v>
                </c:pt>
                <c:pt idx="92">
                  <c:v>2</c:v>
                </c:pt>
                <c:pt idx="93">
                  <c:v>2.0199999809999998</c:v>
                </c:pt>
                <c:pt idx="94">
                  <c:v>2.039999962</c:v>
                </c:pt>
                <c:pt idx="95">
                  <c:v>2.0599999430000002</c:v>
                </c:pt>
                <c:pt idx="96">
                  <c:v>2.079999924</c:v>
                </c:pt>
                <c:pt idx="97">
                  <c:v>2.0999999049999998</c:v>
                </c:pt>
                <c:pt idx="98">
                  <c:v>2.119999886</c:v>
                </c:pt>
                <c:pt idx="99">
                  <c:v>2.1400001049999999</c:v>
                </c:pt>
                <c:pt idx="100">
                  <c:v>2.1600000860000002</c:v>
                </c:pt>
                <c:pt idx="101">
                  <c:v>2.1800000669999999</c:v>
                </c:pt>
                <c:pt idx="102">
                  <c:v>2.2000000480000002</c:v>
                </c:pt>
                <c:pt idx="103">
                  <c:v>2.2200000289999999</c:v>
                </c:pt>
                <c:pt idx="104">
                  <c:v>2.2400000100000002</c:v>
                </c:pt>
                <c:pt idx="105">
                  <c:v>2.2599999899999998</c:v>
                </c:pt>
                <c:pt idx="106">
                  <c:v>2.2799999710000001</c:v>
                </c:pt>
                <c:pt idx="107">
                  <c:v>2.2999999519999998</c:v>
                </c:pt>
                <c:pt idx="108">
                  <c:v>2.3199999330000001</c:v>
                </c:pt>
                <c:pt idx="109">
                  <c:v>2.3399999139999998</c:v>
                </c:pt>
                <c:pt idx="110">
                  <c:v>2.3599998950000001</c:v>
                </c:pt>
                <c:pt idx="111">
                  <c:v>2.380000114</c:v>
                </c:pt>
                <c:pt idx="112">
                  <c:v>2.4000000950000002</c:v>
                </c:pt>
                <c:pt idx="113">
                  <c:v>2.420000076</c:v>
                </c:pt>
                <c:pt idx="114">
                  <c:v>2.4400000569999998</c:v>
                </c:pt>
                <c:pt idx="115">
                  <c:v>2.460000038</c:v>
                </c:pt>
                <c:pt idx="116">
                  <c:v>2.4800000190000002</c:v>
                </c:pt>
                <c:pt idx="117">
                  <c:v>2.5</c:v>
                </c:pt>
                <c:pt idx="118">
                  <c:v>2.5199999809999998</c:v>
                </c:pt>
                <c:pt idx="119">
                  <c:v>2.539999962</c:v>
                </c:pt>
                <c:pt idx="120">
                  <c:v>2.5599999430000002</c:v>
                </c:pt>
                <c:pt idx="121">
                  <c:v>2.579999924</c:v>
                </c:pt>
                <c:pt idx="122">
                  <c:v>2.5999999049999998</c:v>
                </c:pt>
                <c:pt idx="123">
                  <c:v>2.619999886</c:v>
                </c:pt>
                <c:pt idx="124">
                  <c:v>2.6400001049999999</c:v>
                </c:pt>
                <c:pt idx="125">
                  <c:v>2.6600000860000002</c:v>
                </c:pt>
                <c:pt idx="126">
                  <c:v>2.6800000669999999</c:v>
                </c:pt>
                <c:pt idx="127">
                  <c:v>2.7000000480000002</c:v>
                </c:pt>
                <c:pt idx="128">
                  <c:v>2.7200000289999999</c:v>
                </c:pt>
                <c:pt idx="129">
                  <c:v>2.7400000100000002</c:v>
                </c:pt>
                <c:pt idx="130">
                  <c:v>2.7599999899999998</c:v>
                </c:pt>
                <c:pt idx="131">
                  <c:v>2.7799999710000001</c:v>
                </c:pt>
                <c:pt idx="132">
                  <c:v>2.7999999519999998</c:v>
                </c:pt>
                <c:pt idx="133">
                  <c:v>2.8199999330000001</c:v>
                </c:pt>
                <c:pt idx="134">
                  <c:v>2.8399999139999998</c:v>
                </c:pt>
                <c:pt idx="135">
                  <c:v>2.8599998950000001</c:v>
                </c:pt>
                <c:pt idx="136">
                  <c:v>2.880000114</c:v>
                </c:pt>
                <c:pt idx="137">
                  <c:v>2.9000000950000002</c:v>
                </c:pt>
                <c:pt idx="138">
                  <c:v>2.920000076</c:v>
                </c:pt>
                <c:pt idx="139">
                  <c:v>2.9400000569999998</c:v>
                </c:pt>
                <c:pt idx="140">
                  <c:v>2.960000038</c:v>
                </c:pt>
                <c:pt idx="141">
                  <c:v>2.9800000190000002</c:v>
                </c:pt>
                <c:pt idx="142">
                  <c:v>3</c:v>
                </c:pt>
                <c:pt idx="143">
                  <c:v>3.3489847179999996</c:v>
                </c:pt>
                <c:pt idx="144">
                  <c:v>4.2851152419999998</c:v>
                </c:pt>
                <c:pt idx="145">
                  <c:v>5</c:v>
                </c:pt>
                <c:pt idx="146">
                  <c:v>5.566701889</c:v>
                </c:pt>
                <c:pt idx="147">
                  <c:v>7.5078353880000002</c:v>
                </c:pt>
                <c:pt idx="148">
                  <c:v>10.589711189999999</c:v>
                </c:pt>
                <c:pt idx="149">
                  <c:v>15.80888367</c:v>
                </c:pt>
                <c:pt idx="150">
                  <c:v>24.54559708</c:v>
                </c:pt>
                <c:pt idx="151">
                  <c:v>36</c:v>
                </c:pt>
                <c:pt idx="152">
                  <c:v>57.636478420000003</c:v>
                </c:pt>
                <c:pt idx="153">
                  <c:v>64</c:v>
                </c:pt>
                <c:pt idx="154">
                  <c:v>95</c:v>
                </c:pt>
                <c:pt idx="155">
                  <c:v>125</c:v>
                </c:pt>
                <c:pt idx="156">
                  <c:v>145</c:v>
                </c:pt>
                <c:pt idx="157">
                  <c:v>156</c:v>
                </c:pt>
                <c:pt idx="158">
                  <c:v>186</c:v>
                </c:pt>
                <c:pt idx="159">
                  <c:v>196</c:v>
                </c:pt>
                <c:pt idx="160">
                  <c:v>217</c:v>
                </c:pt>
                <c:pt idx="161">
                  <c:v>248</c:v>
                </c:pt>
                <c:pt idx="162">
                  <c:v>278</c:v>
                </c:pt>
                <c:pt idx="163">
                  <c:v>298</c:v>
                </c:pt>
                <c:pt idx="164">
                  <c:v>309</c:v>
                </c:pt>
                <c:pt idx="165">
                  <c:v>339</c:v>
                </c:pt>
                <c:pt idx="166">
                  <c:v>349</c:v>
                </c:pt>
                <c:pt idx="167">
                  <c:v>370</c:v>
                </c:pt>
                <c:pt idx="168">
                  <c:v>401</c:v>
                </c:pt>
                <c:pt idx="169">
                  <c:v>430</c:v>
                </c:pt>
                <c:pt idx="170">
                  <c:v>450</c:v>
                </c:pt>
                <c:pt idx="171">
                  <c:v>461</c:v>
                </c:pt>
                <c:pt idx="172">
                  <c:v>491</c:v>
                </c:pt>
                <c:pt idx="173">
                  <c:v>501</c:v>
                </c:pt>
                <c:pt idx="174">
                  <c:v>522</c:v>
                </c:pt>
                <c:pt idx="175">
                  <c:v>552</c:v>
                </c:pt>
                <c:pt idx="176">
                  <c:v>602</c:v>
                </c:pt>
                <c:pt idx="177">
                  <c:v>652</c:v>
                </c:pt>
                <c:pt idx="178">
                  <c:v>702</c:v>
                </c:pt>
                <c:pt idx="179">
                  <c:v>736</c:v>
                </c:pt>
                <c:pt idx="180">
                  <c:v>744.84283449999998</c:v>
                </c:pt>
                <c:pt idx="181">
                  <c:v>794.84283449999998</c:v>
                </c:pt>
                <c:pt idx="182">
                  <c:v>844.84283449999998</c:v>
                </c:pt>
                <c:pt idx="183">
                  <c:v>894.84283449999998</c:v>
                </c:pt>
                <c:pt idx="184">
                  <c:v>917</c:v>
                </c:pt>
                <c:pt idx="185">
                  <c:v>934.84283449999998</c:v>
                </c:pt>
                <c:pt idx="186">
                  <c:v>984.84283449999998</c:v>
                </c:pt>
                <c:pt idx="187">
                  <c:v>1034.8428960000001</c:v>
                </c:pt>
                <c:pt idx="188">
                  <c:v>1084.8428960000001</c:v>
                </c:pt>
                <c:pt idx="189">
                  <c:v>1134.8428960000001</c:v>
                </c:pt>
                <c:pt idx="190">
                  <c:v>1184.8428960000001</c:v>
                </c:pt>
                <c:pt idx="191">
                  <c:v>1234.8428960000001</c:v>
                </c:pt>
                <c:pt idx="192">
                  <c:v>1282</c:v>
                </c:pt>
                <c:pt idx="193">
                  <c:v>1332</c:v>
                </c:pt>
                <c:pt idx="194">
                  <c:v>1382</c:v>
                </c:pt>
                <c:pt idx="195">
                  <c:v>1432</c:v>
                </c:pt>
                <c:pt idx="196">
                  <c:v>1482</c:v>
                </c:pt>
              </c:numCache>
            </c:numRef>
          </c:xVal>
          <c:yVal>
            <c:numRef>
              <c:f>'radon Case A B C'!$I$108:$I$304</c:f>
              <c:numCache>
                <c:formatCode>0.00E+00</c:formatCode>
                <c:ptCount val="19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36.768933761384531</c:v>
                </c:pt>
                <c:pt idx="30">
                  <c:v>36.967230706797224</c:v>
                </c:pt>
                <c:pt idx="31">
                  <c:v>37.445502982262454</c:v>
                </c:pt>
                <c:pt idx="32">
                  <c:v>38.220467401807163</c:v>
                </c:pt>
                <c:pt idx="33">
                  <c:v>39.198111452089627</c:v>
                </c:pt>
                <c:pt idx="34">
                  <c:v>40.263201813948477</c:v>
                </c:pt>
                <c:pt idx="35">
                  <c:v>41.382954435906392</c:v>
                </c:pt>
                <c:pt idx="36">
                  <c:v>42.600268763695325</c:v>
                </c:pt>
                <c:pt idx="37">
                  <c:v>43.946625782532955</c:v>
                </c:pt>
                <c:pt idx="38">
                  <c:v>45.460620515065699</c:v>
                </c:pt>
                <c:pt idx="39">
                  <c:v>46.464564590413062</c:v>
                </c:pt>
                <c:pt idx="40">
                  <c:v>47.15945108808333</c:v>
                </c:pt>
                <c:pt idx="41">
                  <c:v>48.908412537622596</c:v>
                </c:pt>
                <c:pt idx="42">
                  <c:v>50.65177041092339</c:v>
                </c:pt>
                <c:pt idx="43">
                  <c:v>52.320516979671538</c:v>
                </c:pt>
                <c:pt idx="44">
                  <c:v>53.057406820451902</c:v>
                </c:pt>
                <c:pt idx="45">
                  <c:v>53.55026717707203</c:v>
                </c:pt>
                <c:pt idx="46">
                  <c:v>54.714038394765574</c:v>
                </c:pt>
                <c:pt idx="47">
                  <c:v>55.009216164540312</c:v>
                </c:pt>
                <c:pt idx="48">
                  <c:v>56.027677885027551</c:v>
                </c:pt>
                <c:pt idx="49">
                  <c:v>56.240116816838089</c:v>
                </c:pt>
                <c:pt idx="50">
                  <c:v>57.108565479616814</c:v>
                </c:pt>
                <c:pt idx="51">
                  <c:v>57.384659002667327</c:v>
                </c:pt>
                <c:pt idx="52">
                  <c:v>58.080981612404997</c:v>
                </c:pt>
                <c:pt idx="53">
                  <c:v>58.681370370859533</c:v>
                </c:pt>
                <c:pt idx="54">
                  <c:v>58.966980582044179</c:v>
                </c:pt>
                <c:pt idx="55">
                  <c:v>59.776713000799255</c:v>
                </c:pt>
                <c:pt idx="56">
                  <c:v>60.005465696111166</c:v>
                </c:pt>
                <c:pt idx="57">
                  <c:v>60.563518496946159</c:v>
                </c:pt>
                <c:pt idx="58">
                  <c:v>61.308708048061717</c:v>
                </c:pt>
                <c:pt idx="59">
                  <c:v>62.00314062475266</c:v>
                </c:pt>
                <c:pt idx="60">
                  <c:v>62.693057470313008</c:v>
                </c:pt>
                <c:pt idx="61">
                  <c:v>63.052406362097543</c:v>
                </c:pt>
                <c:pt idx="62">
                  <c:v>63.361060889247987</c:v>
                </c:pt>
                <c:pt idx="63">
                  <c:v>63.490972291137197</c:v>
                </c:pt>
                <c:pt idx="64">
                  <c:v>63.61888800595883</c:v>
                </c:pt>
                <c:pt idx="65">
                  <c:v>63.744800207489455</c:v>
                </c:pt>
                <c:pt idx="66">
                  <c:v>63.869256731393634</c:v>
                </c:pt>
                <c:pt idx="67">
                  <c:v>63.992421928372686</c:v>
                </c:pt>
                <c:pt idx="68">
                  <c:v>64.114381886886235</c:v>
                </c:pt>
                <c:pt idx="69">
                  <c:v>64.235246174068521</c:v>
                </c:pt>
                <c:pt idx="70">
                  <c:v>64.355093052157983</c:v>
                </c:pt>
                <c:pt idx="71">
                  <c:v>64.474568184616572</c:v>
                </c:pt>
                <c:pt idx="72">
                  <c:v>64.595005942602015</c:v>
                </c:pt>
                <c:pt idx="73">
                  <c:v>64.71596414446951</c:v>
                </c:pt>
                <c:pt idx="74">
                  <c:v>64.837098436372941</c:v>
                </c:pt>
                <c:pt idx="75">
                  <c:v>64.958177944710329</c:v>
                </c:pt>
                <c:pt idx="76">
                  <c:v>65.078733096052289</c:v>
                </c:pt>
                <c:pt idx="77">
                  <c:v>65.198548669245923</c:v>
                </c:pt>
                <c:pt idx="78">
                  <c:v>65.317679447858339</c:v>
                </c:pt>
                <c:pt idx="79">
                  <c:v>65.435683250243684</c:v>
                </c:pt>
                <c:pt idx="80">
                  <c:v>65.552309637240981</c:v>
                </c:pt>
                <c:pt idx="81">
                  <c:v>65.668028182277453</c:v>
                </c:pt>
                <c:pt idx="82">
                  <c:v>65.78301888850126</c:v>
                </c:pt>
                <c:pt idx="83">
                  <c:v>65.897297408360274</c:v>
                </c:pt>
                <c:pt idx="84">
                  <c:v>66.010777653391614</c:v>
                </c:pt>
                <c:pt idx="85">
                  <c:v>66.123295272896101</c:v>
                </c:pt>
                <c:pt idx="86">
                  <c:v>66.234842440650354</c:v>
                </c:pt>
                <c:pt idx="87">
                  <c:v>66.345442635325696</c:v>
                </c:pt>
                <c:pt idx="88">
                  <c:v>66.454845417760012</c:v>
                </c:pt>
                <c:pt idx="89">
                  <c:v>66.563152528863071</c:v>
                </c:pt>
                <c:pt idx="90">
                  <c:v>66.670543971781925</c:v>
                </c:pt>
                <c:pt idx="91">
                  <c:v>66.777129313649652</c:v>
                </c:pt>
                <c:pt idx="92">
                  <c:v>66.882947685585506</c:v>
                </c:pt>
                <c:pt idx="93">
                  <c:v>66.988022566260767</c:v>
                </c:pt>
                <c:pt idx="94">
                  <c:v>67.092361781899967</c:v>
                </c:pt>
                <c:pt idx="95">
                  <c:v>67.195973158725366</c:v>
                </c:pt>
                <c:pt idx="96">
                  <c:v>67.300085413873802</c:v>
                </c:pt>
                <c:pt idx="97">
                  <c:v>67.404487239302398</c:v>
                </c:pt>
                <c:pt idx="98">
                  <c:v>67.508889064732102</c:v>
                </c:pt>
                <c:pt idx="99">
                  <c:v>67.613095234565776</c:v>
                </c:pt>
                <c:pt idx="100">
                  <c:v>67.716980529224543</c:v>
                </c:pt>
                <c:pt idx="101">
                  <c:v>67.820427555350804</c:v>
                </c:pt>
                <c:pt idx="102">
                  <c:v>67.923365876929566</c:v>
                </c:pt>
                <c:pt idx="103">
                  <c:v>68.025732884172456</c:v>
                </c:pt>
                <c:pt idx="104">
                  <c:v>68.127403357496306</c:v>
                </c:pt>
                <c:pt idx="105">
                  <c:v>68.227978159489965</c:v>
                </c:pt>
                <c:pt idx="106">
                  <c:v>68.327332070571316</c:v>
                </c:pt>
                <c:pt idx="107">
                  <c:v>68.425605962768216</c:v>
                </c:pt>
                <c:pt idx="108">
                  <c:v>68.5229172294394</c:v>
                </c:pt>
                <c:pt idx="109">
                  <c:v>68.619359785267861</c:v>
                </c:pt>
                <c:pt idx="110">
                  <c:v>68.714972761375009</c:v>
                </c:pt>
                <c:pt idx="111">
                  <c:v>68.809803115102355</c:v>
                </c:pt>
                <c:pt idx="112">
                  <c:v>68.903874325121237</c:v>
                </c:pt>
                <c:pt idx="113">
                  <c:v>68.99719421765721</c:v>
                </c:pt>
                <c:pt idx="114">
                  <c:v>69.08977061893151</c:v>
                </c:pt>
                <c:pt idx="115">
                  <c:v>69.181634833839951</c:v>
                </c:pt>
                <c:pt idx="116">
                  <c:v>69.272747731264374</c:v>
                </c:pt>
                <c:pt idx="117">
                  <c:v>69.363078006310133</c:v>
                </c:pt>
                <c:pt idx="118">
                  <c:v>69.452641311422894</c:v>
                </c:pt>
                <c:pt idx="119">
                  <c:v>69.541328079470674</c:v>
                </c:pt>
                <c:pt idx="120">
                  <c:v>69.629177441572594</c:v>
                </c:pt>
                <c:pt idx="121">
                  <c:v>69.716306791086367</c:v>
                </c:pt>
                <c:pt idx="122">
                  <c:v>69.802786564023677</c:v>
                </c:pt>
                <c:pt idx="123">
                  <c:v>69.888640239058049</c:v>
                </c:pt>
                <c:pt idx="124">
                  <c:v>69.973883468636231</c:v>
                </c:pt>
                <c:pt idx="125">
                  <c:v>70.058539731429576</c:v>
                </c:pt>
                <c:pt idx="126">
                  <c:v>70.142616853662616</c:v>
                </c:pt>
                <c:pt idx="127">
                  <c:v>70.226130487782086</c:v>
                </c:pt>
                <c:pt idx="128">
                  <c:v>70.309753689034693</c:v>
                </c:pt>
                <c:pt idx="129">
                  <c:v>70.393478631195933</c:v>
                </c:pt>
                <c:pt idx="130">
                  <c:v>70.477172268463548</c:v>
                </c:pt>
                <c:pt idx="131">
                  <c:v>70.560771991044874</c:v>
                </c:pt>
                <c:pt idx="132">
                  <c:v>70.644105622016212</c:v>
                </c:pt>
                <c:pt idx="133">
                  <c:v>70.727149682708472</c:v>
                </c:pt>
                <c:pt idx="134">
                  <c:v>70.809896346896053</c:v>
                </c:pt>
                <c:pt idx="135">
                  <c:v>70.892322135907662</c:v>
                </c:pt>
                <c:pt idx="136">
                  <c:v>70.974403571072031</c:v>
                </c:pt>
                <c:pt idx="137">
                  <c:v>71.056109347495436</c:v>
                </c:pt>
                <c:pt idx="138">
                  <c:v>71.137142068671096</c:v>
                </c:pt>
                <c:pt idx="139">
                  <c:v>71.217478255929905</c:v>
                </c:pt>
                <c:pt idx="140">
                  <c:v>71.297337043536984</c:v>
                </c:pt>
                <c:pt idx="141">
                  <c:v>71.376781041282882</c:v>
                </c:pt>
                <c:pt idx="142">
                  <c:v>71.455833727838893</c:v>
                </c:pt>
                <c:pt idx="143">
                  <c:v>72.750032878193664</c:v>
                </c:pt>
                <c:pt idx="144">
                  <c:v>75.690728643046256</c:v>
                </c:pt>
                <c:pt idx="145">
                  <c:v>77.539000959434318</c:v>
                </c:pt>
                <c:pt idx="146">
                  <c:v>78.8608971158</c:v>
                </c:pt>
                <c:pt idx="147">
                  <c:v>82.537837057970947</c:v>
                </c:pt>
                <c:pt idx="148">
                  <c:v>86.698813289431399</c:v>
                </c:pt>
                <c:pt idx="149">
                  <c:v>91.229320329833754</c:v>
                </c:pt>
                <c:pt idx="150">
                  <c:v>95.389083496605309</c:v>
                </c:pt>
                <c:pt idx="151">
                  <c:v>98.126086134738429</c:v>
                </c:pt>
                <c:pt idx="152">
                  <c:v>100.38893700423479</c:v>
                </c:pt>
                <c:pt idx="153">
                  <c:v>100.7514320379842</c:v>
                </c:pt>
                <c:pt idx="154">
                  <c:v>101.7457381187275</c:v>
                </c:pt>
                <c:pt idx="155">
                  <c:v>102.13865368436919</c:v>
                </c:pt>
                <c:pt idx="156">
                  <c:v>102.26762202629172</c:v>
                </c:pt>
                <c:pt idx="157">
                  <c:v>102.31407849074081</c:v>
                </c:pt>
                <c:pt idx="158">
                  <c:v>102.39197289617499</c:v>
                </c:pt>
                <c:pt idx="159">
                  <c:v>102.4078366518082</c:v>
                </c:pt>
                <c:pt idx="160">
                  <c:v>102.42694829031601</c:v>
                </c:pt>
                <c:pt idx="161">
                  <c:v>102.43360058054201</c:v>
                </c:pt>
                <c:pt idx="162">
                  <c:v>102.4208360095322</c:v>
                </c:pt>
                <c:pt idx="163">
                  <c:v>102.40551226334122</c:v>
                </c:pt>
                <c:pt idx="164">
                  <c:v>102.3951503430357</c:v>
                </c:pt>
                <c:pt idx="165">
                  <c:v>102.36404892967336</c:v>
                </c:pt>
                <c:pt idx="166">
                  <c:v>102.35079913278842</c:v>
                </c:pt>
                <c:pt idx="167">
                  <c:v>102.32414301454168</c:v>
                </c:pt>
                <c:pt idx="168">
                  <c:v>102.28225706478919</c:v>
                </c:pt>
                <c:pt idx="169">
                  <c:v>102.24181114021528</c:v>
                </c:pt>
                <c:pt idx="170">
                  <c:v>102.21367586567078</c:v>
                </c:pt>
                <c:pt idx="171">
                  <c:v>102.19787471982811</c:v>
                </c:pt>
                <c:pt idx="172">
                  <c:v>102.15493222986356</c:v>
                </c:pt>
                <c:pt idx="173">
                  <c:v>102.13998414241462</c:v>
                </c:pt>
                <c:pt idx="174">
                  <c:v>102.11029144933501</c:v>
                </c:pt>
                <c:pt idx="175">
                  <c:v>102.06767766076987</c:v>
                </c:pt>
                <c:pt idx="176">
                  <c:v>101.99745295465456</c:v>
                </c:pt>
                <c:pt idx="177">
                  <c:v>101.92906741113109</c:v>
                </c:pt>
                <c:pt idx="178">
                  <c:v>101.86290451516595</c:v>
                </c:pt>
                <c:pt idx="179">
                  <c:v>101.81893678988406</c:v>
                </c:pt>
                <c:pt idx="180">
                  <c:v>101.80786268321377</c:v>
                </c:pt>
                <c:pt idx="181">
                  <c:v>101.74544072222284</c:v>
                </c:pt>
                <c:pt idx="182">
                  <c:v>101.68477183536199</c:v>
                </c:pt>
                <c:pt idx="183">
                  <c:v>101.62576210794592</c:v>
                </c:pt>
                <c:pt idx="184">
                  <c:v>101.59998252676418</c:v>
                </c:pt>
                <c:pt idx="185">
                  <c:v>101.57967347601542</c:v>
                </c:pt>
                <c:pt idx="186">
                  <c:v>101.52330118601775</c:v>
                </c:pt>
                <c:pt idx="187">
                  <c:v>101.46861936035965</c:v>
                </c:pt>
                <c:pt idx="188">
                  <c:v>101.41504103225734</c:v>
                </c:pt>
                <c:pt idx="189">
                  <c:v>101.36259750660547</c:v>
                </c:pt>
                <c:pt idx="190">
                  <c:v>101.31117139004647</c:v>
                </c:pt>
                <c:pt idx="191">
                  <c:v>101.26072355146219</c:v>
                </c:pt>
                <c:pt idx="192">
                  <c:v>101.21383664470508</c:v>
                </c:pt>
                <c:pt idx="193">
                  <c:v>101.16479752640355</c:v>
                </c:pt>
                <c:pt idx="194">
                  <c:v>101.11648624691469</c:v>
                </c:pt>
                <c:pt idx="195">
                  <c:v>101.06888715379284</c:v>
                </c:pt>
                <c:pt idx="196">
                  <c:v>101.02192981102071</c:v>
                </c:pt>
              </c:numCache>
            </c:numRef>
          </c:yVal>
          <c:smooth val="1"/>
          <c:extLst>
            <c:ext xmlns:c16="http://schemas.microsoft.com/office/drawing/2014/chart" uri="{C3380CC4-5D6E-409C-BE32-E72D297353CC}">
              <c16:uniqueId val="{00000001-411F-4FF6-B062-28AE4F155DB6}"/>
            </c:ext>
          </c:extLst>
        </c:ser>
        <c:ser>
          <c:idx val="2"/>
          <c:order val="2"/>
          <c:tx>
            <c:v>Case C</c:v>
          </c:tx>
          <c:spPr>
            <a:ln w="12700">
              <a:solidFill>
                <a:schemeClr val="tx1">
                  <a:lumMod val="95000"/>
                  <a:lumOff val="5000"/>
                </a:schemeClr>
              </a:solidFill>
              <a:prstDash val="sysDot"/>
            </a:ln>
          </c:spPr>
          <c:marker>
            <c:symbol val="none"/>
          </c:marker>
          <c:xVal>
            <c:numRef>
              <c:f>'radon Case A B C'!$N$108:$N$305</c:f>
              <c:numCache>
                <c:formatCode>General</c:formatCode>
                <c:ptCount val="198"/>
                <c:pt idx="0">
                  <c:v>-0.51332423090000001</c:v>
                </c:pt>
                <c:pt idx="1">
                  <c:v>-0.50825467710000005</c:v>
                </c:pt>
                <c:pt idx="2">
                  <c:v>-0.50280618669999999</c:v>
                </c:pt>
                <c:pt idx="3">
                  <c:v>-0.5</c:v>
                </c:pt>
                <c:pt idx="4">
                  <c:v>-0.49827587600000001</c:v>
                </c:pt>
                <c:pt idx="5">
                  <c:v>-0.49224960799999995</c:v>
                </c:pt>
                <c:pt idx="6">
                  <c:v>-0.48551428320000001</c:v>
                </c:pt>
                <c:pt idx="7">
                  <c:v>-0.47819095850000004</c:v>
                </c:pt>
                <c:pt idx="8">
                  <c:v>-0.47020447249999997</c:v>
                </c:pt>
                <c:pt idx="9">
                  <c:v>-0.46146124600000005</c:v>
                </c:pt>
                <c:pt idx="10">
                  <c:v>-0.45185029509999997</c:v>
                </c:pt>
                <c:pt idx="11">
                  <c:v>-0.44123774770000002</c:v>
                </c:pt>
                <c:pt idx="12">
                  <c:v>-0.4294614792</c:v>
                </c:pt>
                <c:pt idx="13">
                  <c:v>-0.41632527109999995</c:v>
                </c:pt>
                <c:pt idx="14">
                  <c:v>-0.40158534050000005</c:v>
                </c:pt>
                <c:pt idx="15">
                  <c:v>-0.39999997620000005</c:v>
                </c:pt>
                <c:pt idx="16">
                  <c:v>-0.38860237600000003</c:v>
                </c:pt>
                <c:pt idx="17">
                  <c:v>-0.37027460339999996</c:v>
                </c:pt>
                <c:pt idx="18">
                  <c:v>-0.34921693799999998</c:v>
                </c:pt>
                <c:pt idx="19">
                  <c:v>-0.32492595909999999</c:v>
                </c:pt>
                <c:pt idx="20">
                  <c:v>-0.30000001190000003</c:v>
                </c:pt>
                <c:pt idx="21">
                  <c:v>-0.27207303049999998</c:v>
                </c:pt>
                <c:pt idx="22">
                  <c:v>-0.23424613480000001</c:v>
                </c:pt>
                <c:pt idx="23">
                  <c:v>-0.19999998809999997</c:v>
                </c:pt>
                <c:pt idx="24">
                  <c:v>-0.1909594536</c:v>
                </c:pt>
                <c:pt idx="25">
                  <c:v>-0.13638955350000004</c:v>
                </c:pt>
                <c:pt idx="26">
                  <c:v>-0.10000002379999995</c:v>
                </c:pt>
                <c:pt idx="27">
                  <c:v>-7.313603160000004E-2</c:v>
                </c:pt>
                <c:pt idx="28">
                  <c:v>0</c:v>
                </c:pt>
                <c:pt idx="29">
                  <c:v>2.3126599999989672E-4</c:v>
                </c:pt>
                <c:pt idx="30">
                  <c:v>1.1414290000000271E-3</c:v>
                </c:pt>
                <c:pt idx="31">
                  <c:v>3.0705929999998993E-3</c:v>
                </c:pt>
                <c:pt idx="32">
                  <c:v>6.8620440000000116E-3</c:v>
                </c:pt>
                <c:pt idx="33">
                  <c:v>1.3186573999999895E-2</c:v>
                </c:pt>
                <c:pt idx="34">
                  <c:v>2.1734595000000079E-2</c:v>
                </c:pt>
                <c:pt idx="35">
                  <c:v>3.2201528999999951E-2</c:v>
                </c:pt>
                <c:pt idx="36">
                  <c:v>4.5248151000000014E-2</c:v>
                </c:pt>
                <c:pt idx="37">
                  <c:v>6.1863422000000057E-2</c:v>
                </c:pt>
                <c:pt idx="38">
                  <c:v>8.3498478000000098E-2</c:v>
                </c:pt>
                <c:pt idx="39">
                  <c:v>0.10000002400000008</c:v>
                </c:pt>
                <c:pt idx="40">
                  <c:v>0.11269974699999996</c:v>
                </c:pt>
                <c:pt idx="41">
                  <c:v>0.15045177899999995</c:v>
                </c:pt>
                <c:pt idx="42">
                  <c:v>0.20000004799999993</c:v>
                </c:pt>
                <c:pt idx="43">
                  <c:v>0.26466822599999995</c:v>
                </c:pt>
                <c:pt idx="44">
                  <c:v>0.29999995200000007</c:v>
                </c:pt>
                <c:pt idx="45">
                  <c:v>0.32652556899999996</c:v>
                </c:pt>
                <c:pt idx="46">
                  <c:v>0.39999997599999992</c:v>
                </c:pt>
                <c:pt idx="47">
                  <c:v>0.42104411100000005</c:v>
                </c:pt>
                <c:pt idx="48">
                  <c:v>0.5</c:v>
                </c:pt>
                <c:pt idx="49">
                  <c:v>0.51819038399999995</c:v>
                </c:pt>
                <c:pt idx="50">
                  <c:v>0.60000002400000008</c:v>
                </c:pt>
                <c:pt idx="51">
                  <c:v>0.62816321800000008</c:v>
                </c:pt>
                <c:pt idx="52">
                  <c:v>0.70000004799999993</c:v>
                </c:pt>
                <c:pt idx="53">
                  <c:v>0.7664853330000001</c:v>
                </c:pt>
                <c:pt idx="54">
                  <c:v>0.79999995200000007</c:v>
                </c:pt>
                <c:pt idx="55">
                  <c:v>0.89999997599999992</c:v>
                </c:pt>
                <c:pt idx="56">
                  <c:v>0.9286822079999999</c:v>
                </c:pt>
                <c:pt idx="57">
                  <c:v>1</c:v>
                </c:pt>
                <c:pt idx="58">
                  <c:v>1.0999999049999998</c:v>
                </c:pt>
                <c:pt idx="59">
                  <c:v>1.2000000480000002</c:v>
                </c:pt>
                <c:pt idx="60">
                  <c:v>1.2999999519999998</c:v>
                </c:pt>
                <c:pt idx="61">
                  <c:v>1.3532593249999998</c:v>
                </c:pt>
                <c:pt idx="62">
                  <c:v>1.4000000950000002</c:v>
                </c:pt>
                <c:pt idx="63">
                  <c:v>1.420000076</c:v>
                </c:pt>
                <c:pt idx="64">
                  <c:v>1.4400000569999998</c:v>
                </c:pt>
                <c:pt idx="65">
                  <c:v>1.460000038</c:v>
                </c:pt>
                <c:pt idx="66">
                  <c:v>1.4800000190000002</c:v>
                </c:pt>
                <c:pt idx="67">
                  <c:v>1.5</c:v>
                </c:pt>
                <c:pt idx="68">
                  <c:v>1.5199999809999998</c:v>
                </c:pt>
                <c:pt idx="69">
                  <c:v>1.539999962</c:v>
                </c:pt>
                <c:pt idx="70">
                  <c:v>1.5599999430000002</c:v>
                </c:pt>
                <c:pt idx="71">
                  <c:v>1.579999924</c:v>
                </c:pt>
                <c:pt idx="72">
                  <c:v>1.5999999049999998</c:v>
                </c:pt>
                <c:pt idx="73">
                  <c:v>1.619999886</c:v>
                </c:pt>
                <c:pt idx="74">
                  <c:v>1.6400001049999999</c:v>
                </c:pt>
                <c:pt idx="75">
                  <c:v>1.6600000860000002</c:v>
                </c:pt>
                <c:pt idx="76">
                  <c:v>1.6800000669999999</c:v>
                </c:pt>
                <c:pt idx="77">
                  <c:v>1.7000000480000002</c:v>
                </c:pt>
                <c:pt idx="78">
                  <c:v>1.7200000289999999</c:v>
                </c:pt>
                <c:pt idx="79">
                  <c:v>1.7400000100000002</c:v>
                </c:pt>
                <c:pt idx="80">
                  <c:v>1.7599999899999998</c:v>
                </c:pt>
                <c:pt idx="81">
                  <c:v>1.7799999710000001</c:v>
                </c:pt>
                <c:pt idx="82">
                  <c:v>1.7999999519999998</c:v>
                </c:pt>
                <c:pt idx="83">
                  <c:v>1.8199999330000001</c:v>
                </c:pt>
                <c:pt idx="84">
                  <c:v>1.8399999139999998</c:v>
                </c:pt>
                <c:pt idx="85">
                  <c:v>1.8599998950000001</c:v>
                </c:pt>
                <c:pt idx="86">
                  <c:v>1.880000114</c:v>
                </c:pt>
                <c:pt idx="87">
                  <c:v>1.9000000950000002</c:v>
                </c:pt>
                <c:pt idx="88">
                  <c:v>1.920000076</c:v>
                </c:pt>
                <c:pt idx="89">
                  <c:v>1.9400000569999998</c:v>
                </c:pt>
                <c:pt idx="90">
                  <c:v>1.960000038</c:v>
                </c:pt>
                <c:pt idx="91">
                  <c:v>1.9800000190000002</c:v>
                </c:pt>
                <c:pt idx="92">
                  <c:v>2</c:v>
                </c:pt>
                <c:pt idx="93">
                  <c:v>2.0199999809999998</c:v>
                </c:pt>
                <c:pt idx="94">
                  <c:v>2.039999962</c:v>
                </c:pt>
                <c:pt idx="95">
                  <c:v>2.0599999430000002</c:v>
                </c:pt>
                <c:pt idx="96">
                  <c:v>2.079999924</c:v>
                </c:pt>
                <c:pt idx="97">
                  <c:v>2.0999999049999998</c:v>
                </c:pt>
                <c:pt idx="98">
                  <c:v>2.119999886</c:v>
                </c:pt>
                <c:pt idx="99">
                  <c:v>2.1400001049999999</c:v>
                </c:pt>
                <c:pt idx="100">
                  <c:v>2.1600000860000002</c:v>
                </c:pt>
                <c:pt idx="101">
                  <c:v>2.1800000669999999</c:v>
                </c:pt>
                <c:pt idx="102">
                  <c:v>2.2000000480000002</c:v>
                </c:pt>
                <c:pt idx="103">
                  <c:v>2.2200000289999999</c:v>
                </c:pt>
                <c:pt idx="104">
                  <c:v>2.2400000100000002</c:v>
                </c:pt>
                <c:pt idx="105">
                  <c:v>2.2599999899999998</c:v>
                </c:pt>
                <c:pt idx="106">
                  <c:v>2.2799999710000001</c:v>
                </c:pt>
                <c:pt idx="107">
                  <c:v>2.2999999519999998</c:v>
                </c:pt>
                <c:pt idx="108">
                  <c:v>2.3199999330000001</c:v>
                </c:pt>
                <c:pt idx="109">
                  <c:v>2.3399999139999998</c:v>
                </c:pt>
                <c:pt idx="110">
                  <c:v>2.3599998950000001</c:v>
                </c:pt>
                <c:pt idx="111">
                  <c:v>2.380000114</c:v>
                </c:pt>
                <c:pt idx="112">
                  <c:v>2.4000000950000002</c:v>
                </c:pt>
                <c:pt idx="113">
                  <c:v>2.420000076</c:v>
                </c:pt>
                <c:pt idx="114">
                  <c:v>2.4400000569999998</c:v>
                </c:pt>
                <c:pt idx="115">
                  <c:v>2.460000038</c:v>
                </c:pt>
                <c:pt idx="116">
                  <c:v>2.4800000190000002</c:v>
                </c:pt>
                <c:pt idx="117">
                  <c:v>2.5</c:v>
                </c:pt>
                <c:pt idx="118">
                  <c:v>2.5199999809999998</c:v>
                </c:pt>
                <c:pt idx="119">
                  <c:v>2.539999962</c:v>
                </c:pt>
                <c:pt idx="120">
                  <c:v>2.5599999430000002</c:v>
                </c:pt>
                <c:pt idx="121">
                  <c:v>2.579999924</c:v>
                </c:pt>
                <c:pt idx="122">
                  <c:v>2.5999999049999998</c:v>
                </c:pt>
                <c:pt idx="123">
                  <c:v>2.619999886</c:v>
                </c:pt>
                <c:pt idx="124">
                  <c:v>2.6400001049999999</c:v>
                </c:pt>
                <c:pt idx="125">
                  <c:v>2.6600000860000002</c:v>
                </c:pt>
                <c:pt idx="126">
                  <c:v>2.6800000669999999</c:v>
                </c:pt>
                <c:pt idx="127">
                  <c:v>2.7000000480000002</c:v>
                </c:pt>
                <c:pt idx="128">
                  <c:v>2.7200000289999999</c:v>
                </c:pt>
                <c:pt idx="129">
                  <c:v>2.7400000100000002</c:v>
                </c:pt>
                <c:pt idx="130">
                  <c:v>2.7599999899999998</c:v>
                </c:pt>
                <c:pt idx="131">
                  <c:v>2.7799999710000001</c:v>
                </c:pt>
                <c:pt idx="132">
                  <c:v>2.7999999519999998</c:v>
                </c:pt>
                <c:pt idx="133">
                  <c:v>2.8199999330000001</c:v>
                </c:pt>
                <c:pt idx="134">
                  <c:v>2.8399999139999998</c:v>
                </c:pt>
                <c:pt idx="135">
                  <c:v>2.8599998950000001</c:v>
                </c:pt>
                <c:pt idx="136">
                  <c:v>2.880000114</c:v>
                </c:pt>
                <c:pt idx="137">
                  <c:v>2.9000000950000002</c:v>
                </c:pt>
                <c:pt idx="138">
                  <c:v>2.920000076</c:v>
                </c:pt>
                <c:pt idx="139">
                  <c:v>2.9400000569999998</c:v>
                </c:pt>
                <c:pt idx="140">
                  <c:v>2.960000038</c:v>
                </c:pt>
                <c:pt idx="141">
                  <c:v>2.9800000190000002</c:v>
                </c:pt>
                <c:pt idx="142">
                  <c:v>3</c:v>
                </c:pt>
                <c:pt idx="143">
                  <c:v>3.3489823339999996</c:v>
                </c:pt>
                <c:pt idx="144">
                  <c:v>4.2850761410000002</c:v>
                </c:pt>
                <c:pt idx="145">
                  <c:v>5</c:v>
                </c:pt>
                <c:pt idx="146">
                  <c:v>5.5667572019999998</c:v>
                </c:pt>
                <c:pt idx="147">
                  <c:v>7.5079793929999994</c:v>
                </c:pt>
                <c:pt idx="148">
                  <c:v>10.59002209</c:v>
                </c:pt>
                <c:pt idx="149">
                  <c:v>15.80957794</c:v>
                </c:pt>
                <c:pt idx="150">
                  <c:v>24.546739580000001</c:v>
                </c:pt>
                <c:pt idx="151">
                  <c:v>36</c:v>
                </c:pt>
                <c:pt idx="152">
                  <c:v>57.641506200000002</c:v>
                </c:pt>
                <c:pt idx="153">
                  <c:v>64</c:v>
                </c:pt>
                <c:pt idx="154">
                  <c:v>95</c:v>
                </c:pt>
                <c:pt idx="155">
                  <c:v>125</c:v>
                </c:pt>
                <c:pt idx="156">
                  <c:v>145</c:v>
                </c:pt>
                <c:pt idx="157">
                  <c:v>156</c:v>
                </c:pt>
                <c:pt idx="158">
                  <c:v>186</c:v>
                </c:pt>
                <c:pt idx="159">
                  <c:v>196</c:v>
                </c:pt>
                <c:pt idx="160">
                  <c:v>217</c:v>
                </c:pt>
                <c:pt idx="161">
                  <c:v>248</c:v>
                </c:pt>
                <c:pt idx="162">
                  <c:v>278</c:v>
                </c:pt>
                <c:pt idx="163">
                  <c:v>298</c:v>
                </c:pt>
                <c:pt idx="164">
                  <c:v>309</c:v>
                </c:pt>
                <c:pt idx="165">
                  <c:v>339</c:v>
                </c:pt>
                <c:pt idx="166">
                  <c:v>349</c:v>
                </c:pt>
                <c:pt idx="167">
                  <c:v>370</c:v>
                </c:pt>
                <c:pt idx="168">
                  <c:v>401</c:v>
                </c:pt>
                <c:pt idx="169">
                  <c:v>430</c:v>
                </c:pt>
                <c:pt idx="170">
                  <c:v>450</c:v>
                </c:pt>
                <c:pt idx="171">
                  <c:v>461</c:v>
                </c:pt>
                <c:pt idx="172">
                  <c:v>491</c:v>
                </c:pt>
                <c:pt idx="173">
                  <c:v>501</c:v>
                </c:pt>
                <c:pt idx="174">
                  <c:v>522</c:v>
                </c:pt>
                <c:pt idx="175">
                  <c:v>552</c:v>
                </c:pt>
                <c:pt idx="176">
                  <c:v>602</c:v>
                </c:pt>
                <c:pt idx="177">
                  <c:v>652</c:v>
                </c:pt>
                <c:pt idx="178">
                  <c:v>702</c:v>
                </c:pt>
                <c:pt idx="179">
                  <c:v>736</c:v>
                </c:pt>
                <c:pt idx="180">
                  <c:v>744.84277340000006</c:v>
                </c:pt>
                <c:pt idx="181">
                  <c:v>794.84277340000006</c:v>
                </c:pt>
                <c:pt idx="182">
                  <c:v>844.84277340000006</c:v>
                </c:pt>
                <c:pt idx="183">
                  <c:v>894.84277340000006</c:v>
                </c:pt>
                <c:pt idx="184">
                  <c:v>917</c:v>
                </c:pt>
                <c:pt idx="185">
                  <c:v>934.84277340000006</c:v>
                </c:pt>
                <c:pt idx="186">
                  <c:v>984.84277340000006</c:v>
                </c:pt>
                <c:pt idx="187">
                  <c:v>1034.8427730000001</c:v>
                </c:pt>
                <c:pt idx="188">
                  <c:v>1084.8427730000001</c:v>
                </c:pt>
                <c:pt idx="189">
                  <c:v>1134.8427730000001</c:v>
                </c:pt>
                <c:pt idx="190">
                  <c:v>1184.8427730000001</c:v>
                </c:pt>
                <c:pt idx="191">
                  <c:v>1234.8427730000001</c:v>
                </c:pt>
                <c:pt idx="192">
                  <c:v>1282</c:v>
                </c:pt>
                <c:pt idx="193">
                  <c:v>1332</c:v>
                </c:pt>
                <c:pt idx="194">
                  <c:v>1382</c:v>
                </c:pt>
                <c:pt idx="195">
                  <c:v>1432</c:v>
                </c:pt>
                <c:pt idx="196">
                  <c:v>1482</c:v>
                </c:pt>
                <c:pt idx="197">
                  <c:v>1532</c:v>
                </c:pt>
              </c:numCache>
            </c:numRef>
          </c:xVal>
          <c:yVal>
            <c:numRef>
              <c:f>'radon Case A B C'!$Q$108:$Q$305</c:f>
              <c:numCache>
                <c:formatCode>0.00E+00</c:formatCode>
                <c:ptCount val="19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35.398753717313561</c:v>
                </c:pt>
                <c:pt idx="30">
                  <c:v>35.589654881240733</c:v>
                </c:pt>
                <c:pt idx="31">
                  <c:v>36.050091192676497</c:v>
                </c:pt>
                <c:pt idx="32">
                  <c:v>36.79614945463257</c:v>
                </c:pt>
                <c:pt idx="33">
                  <c:v>37.737311562693826</c:v>
                </c:pt>
                <c:pt idx="34">
                  <c:v>38.762640794561072</c:v>
                </c:pt>
                <c:pt idx="35">
                  <c:v>39.840577902780431</c:v>
                </c:pt>
                <c:pt idx="36">
                  <c:v>41.012414044095017</c:v>
                </c:pt>
                <c:pt idx="37">
                  <c:v>42.308444530817148</c:v>
                </c:pt>
                <c:pt idx="38">
                  <c:v>43.765812621079064</c:v>
                </c:pt>
                <c:pt idx="39">
                  <c:v>44.732175169760609</c:v>
                </c:pt>
                <c:pt idx="40">
                  <c:v>45.401035560200448</c:v>
                </c:pt>
                <c:pt idx="41">
                  <c:v>47.084440646117379</c:v>
                </c:pt>
                <c:pt idx="42">
                  <c:v>48.762316504924215</c:v>
                </c:pt>
                <c:pt idx="43">
                  <c:v>50.368206757260097</c:v>
                </c:pt>
                <c:pt idx="44">
                  <c:v>51.077262633112881</c:v>
                </c:pt>
                <c:pt idx="45">
                  <c:v>51.551480924652438</c:v>
                </c:pt>
                <c:pt idx="46">
                  <c:v>52.671108327029323</c:v>
                </c:pt>
                <c:pt idx="47">
                  <c:v>52.955063291881409</c:v>
                </c:pt>
                <c:pt idx="48">
                  <c:v>53.934749986574069</c:v>
                </c:pt>
                <c:pt idx="49">
                  <c:v>54.139077037422076</c:v>
                </c:pt>
                <c:pt idx="50">
                  <c:v>54.974315119525521</c:v>
                </c:pt>
                <c:pt idx="51">
                  <c:v>55.239815848668577</c:v>
                </c:pt>
                <c:pt idx="52">
                  <c:v>55.909451035263693</c:v>
                </c:pt>
                <c:pt idx="53">
                  <c:v>56.486752433523172</c:v>
                </c:pt>
                <c:pt idx="54">
                  <c:v>56.761394192058376</c:v>
                </c:pt>
                <c:pt idx="55">
                  <c:v>57.539911717205747</c:v>
                </c:pt>
                <c:pt idx="56">
                  <c:v>57.759867736972787</c:v>
                </c:pt>
                <c:pt idx="57">
                  <c:v>58.296363204363168</c:v>
                </c:pt>
                <c:pt idx="58">
                  <c:v>59.012740512575299</c:v>
                </c:pt>
                <c:pt idx="59">
                  <c:v>59.680262618746312</c:v>
                </c:pt>
                <c:pt idx="60">
                  <c:v>60.343433344486932</c:v>
                </c:pt>
                <c:pt idx="61">
                  <c:v>60.688824166131788</c:v>
                </c:pt>
                <c:pt idx="62">
                  <c:v>60.985508483987857</c:v>
                </c:pt>
                <c:pt idx="63">
                  <c:v>61.110371971529823</c:v>
                </c:pt>
                <c:pt idx="64">
                  <c:v>61.233314121129283</c:v>
                </c:pt>
                <c:pt idx="65">
                  <c:v>61.35433101967616</c:v>
                </c:pt>
                <c:pt idx="66">
                  <c:v>61.473943111051433</c:v>
                </c:pt>
                <c:pt idx="67">
                  <c:v>61.592310832843111</c:v>
                </c:pt>
                <c:pt idx="68">
                  <c:v>61.709520273513014</c:v>
                </c:pt>
                <c:pt idx="69">
                  <c:v>61.825673173970841</c:v>
                </c:pt>
                <c:pt idx="70">
                  <c:v>61.940847796453951</c:v>
                </c:pt>
                <c:pt idx="71">
                  <c:v>62.055670238866362</c:v>
                </c:pt>
                <c:pt idx="72">
                  <c:v>62.171412262574137</c:v>
                </c:pt>
                <c:pt idx="73">
                  <c:v>62.287655164606036</c:v>
                </c:pt>
                <c:pt idx="74">
                  <c:v>62.404074156672742</c:v>
                </c:pt>
                <c:pt idx="75">
                  <c:v>62.520430538948936</c:v>
                </c:pt>
                <c:pt idx="76">
                  <c:v>62.636286042902086</c:v>
                </c:pt>
                <c:pt idx="77">
                  <c:v>62.751433273602743</c:v>
                </c:pt>
                <c:pt idx="78">
                  <c:v>62.86591918839126</c:v>
                </c:pt>
                <c:pt idx="79">
                  <c:v>62.979321171185269</c:v>
                </c:pt>
                <c:pt idx="80">
                  <c:v>63.091392695933855</c:v>
                </c:pt>
                <c:pt idx="81">
                  <c:v>63.202599422953085</c:v>
                </c:pt>
                <c:pt idx="82">
                  <c:v>63.313093963606434</c:v>
                </c:pt>
                <c:pt idx="83">
                  <c:v>63.422915449013125</c:v>
                </c:pt>
                <c:pt idx="84">
                  <c:v>63.53195822515336</c:v>
                </c:pt>
                <c:pt idx="85">
                  <c:v>63.640077506884857</c:v>
                </c:pt>
                <c:pt idx="86">
                  <c:v>63.747265467985358</c:v>
                </c:pt>
                <c:pt idx="87">
                  <c:v>63.853537760901624</c:v>
                </c:pt>
                <c:pt idx="88">
                  <c:v>63.958663512031755</c:v>
                </c:pt>
                <c:pt idx="89">
                  <c:v>64.062724896725328</c:v>
                </c:pt>
                <c:pt idx="90">
                  <c:v>64.165917570578358</c:v>
                </c:pt>
                <c:pt idx="91">
                  <c:v>64.268327622050549</c:v>
                </c:pt>
                <c:pt idx="92">
                  <c:v>64.370002008487745</c:v>
                </c:pt>
                <c:pt idx="93">
                  <c:v>64.470956382334535</c:v>
                </c:pt>
                <c:pt idx="94">
                  <c:v>64.571206396039969</c:v>
                </c:pt>
                <c:pt idx="95">
                  <c:v>64.670755962716271</c:v>
                </c:pt>
                <c:pt idx="96">
                  <c:v>64.770782929044316</c:v>
                </c:pt>
                <c:pt idx="97">
                  <c:v>64.871091639428002</c:v>
                </c:pt>
                <c:pt idx="98">
                  <c:v>64.971404262923954</c:v>
                </c:pt>
                <c:pt idx="99">
                  <c:v>65.071525143937222</c:v>
                </c:pt>
                <c:pt idx="100">
                  <c:v>65.171332975997899</c:v>
                </c:pt>
                <c:pt idx="101">
                  <c:v>65.270726018198488</c:v>
                </c:pt>
                <c:pt idx="102">
                  <c:v>65.369626008299434</c:v>
                </c:pt>
                <c:pt idx="103">
                  <c:v>65.467978162734752</c:v>
                </c:pt>
                <c:pt idx="104">
                  <c:v>65.565657261923391</c:v>
                </c:pt>
                <c:pt idx="105">
                  <c:v>65.662283734012235</c:v>
                </c:pt>
                <c:pt idx="106">
                  <c:v>65.757732359419151</c:v>
                </c:pt>
                <c:pt idx="107">
                  <c:v>65.852147923285315</c:v>
                </c:pt>
                <c:pt idx="108">
                  <c:v>65.94563216652044</c:v>
                </c:pt>
                <c:pt idx="109">
                  <c:v>66.038279003808654</c:v>
                </c:pt>
                <c:pt idx="110">
                  <c:v>66.130135392493699</c:v>
                </c:pt>
                <c:pt idx="111">
                  <c:v>66.221232637470223</c:v>
                </c:pt>
                <c:pt idx="112">
                  <c:v>66.311602043635204</c:v>
                </c:pt>
                <c:pt idx="113">
                  <c:v>66.40124361098637</c:v>
                </c:pt>
                <c:pt idx="114">
                  <c:v>66.490180818195071</c:v>
                </c:pt>
                <c:pt idx="115">
                  <c:v>66.57841366526354</c:v>
                </c:pt>
                <c:pt idx="116">
                  <c:v>66.665942152189487</c:v>
                </c:pt>
                <c:pt idx="117">
                  <c:v>66.752703669184669</c:v>
                </c:pt>
                <c:pt idx="118">
                  <c:v>66.838737347366063</c:v>
                </c:pt>
                <c:pt idx="119">
                  <c:v>66.923917967153756</c:v>
                </c:pt>
                <c:pt idx="120">
                  <c:v>67.008308138338236</c:v>
                </c:pt>
                <c:pt idx="121">
                  <c:v>67.09199394938139</c:v>
                </c:pt>
                <c:pt idx="122">
                  <c:v>67.17505366252044</c:v>
                </c:pt>
                <c:pt idx="123">
                  <c:v>67.257518582651258</c:v>
                </c:pt>
                <c:pt idx="124">
                  <c:v>67.339396535997238</c:v>
                </c:pt>
                <c:pt idx="125">
                  <c:v>67.420695348782871</c:v>
                </c:pt>
                <c:pt idx="126">
                  <c:v>67.501446325902876</c:v>
                </c:pt>
                <c:pt idx="127">
                  <c:v>67.581657293580676</c:v>
                </c:pt>
                <c:pt idx="128">
                  <c:v>67.661977828391585</c:v>
                </c:pt>
                <c:pt idx="129">
                  <c:v>67.742384451664279</c:v>
                </c:pt>
                <c:pt idx="130">
                  <c:v>67.822775422489087</c:v>
                </c:pt>
                <c:pt idx="131">
                  <c:v>67.903064652405277</c:v>
                </c:pt>
                <c:pt idx="132">
                  <c:v>67.983095616936012</c:v>
                </c:pt>
                <c:pt idx="133">
                  <c:v>68.062860489856789</c:v>
                </c:pt>
                <c:pt idx="134">
                  <c:v>68.142327966273967</c:v>
                </c:pt>
                <c:pt idx="135">
                  <c:v>68.221490219964167</c:v>
                </c:pt>
                <c:pt idx="136">
                  <c:v>68.300323772253904</c:v>
                </c:pt>
                <c:pt idx="137">
                  <c:v>68.378805144472949</c:v>
                </c:pt>
                <c:pt idx="138">
                  <c:v>68.456621287668739</c:v>
                </c:pt>
                <c:pt idx="139">
                  <c:v>68.533780028066857</c:v>
                </c:pt>
                <c:pt idx="140">
                  <c:v>68.610469195036657</c:v>
                </c:pt>
                <c:pt idx="141">
                  <c:v>68.68676705081657</c:v>
                </c:pt>
                <c:pt idx="142">
                  <c:v>68.7626814216311</c:v>
                </c:pt>
                <c:pt idx="143">
                  <c:v>70.005462281650267</c:v>
                </c:pt>
                <c:pt idx="144">
                  <c:v>72.828655122440537</c:v>
                </c:pt>
                <c:pt idx="145">
                  <c:v>74.6026252701174</c:v>
                </c:pt>
                <c:pt idx="146">
                  <c:v>75.871295278450319</c:v>
                </c:pt>
                <c:pt idx="147">
                  <c:v>79.399826538790464</c:v>
                </c:pt>
                <c:pt idx="148">
                  <c:v>83.393102446766378</c:v>
                </c:pt>
                <c:pt idx="149">
                  <c:v>87.742675019244984</c:v>
                </c:pt>
                <c:pt idx="150">
                  <c:v>91.738737062891687</c:v>
                </c:pt>
                <c:pt idx="151">
                  <c:v>94.369428276989339</c:v>
                </c:pt>
                <c:pt idx="152">
                  <c:v>96.544954141378085</c:v>
                </c:pt>
                <c:pt idx="153">
                  <c:v>96.893471539429854</c:v>
                </c:pt>
                <c:pt idx="154">
                  <c:v>97.849436949798871</c:v>
                </c:pt>
                <c:pt idx="155">
                  <c:v>98.227169641278522</c:v>
                </c:pt>
                <c:pt idx="156">
                  <c:v>98.351152678643246</c:v>
                </c:pt>
                <c:pt idx="157">
                  <c:v>98.39580911161859</c:v>
                </c:pt>
                <c:pt idx="158">
                  <c:v>98.470674768444454</c:v>
                </c:pt>
                <c:pt idx="159">
                  <c:v>98.485912426174693</c:v>
                </c:pt>
                <c:pt idx="160">
                  <c:v>98.504264920973966</c:v>
                </c:pt>
                <c:pt idx="161">
                  <c:v>98.510627640919836</c:v>
                </c:pt>
                <c:pt idx="162">
                  <c:v>98.498324817113826</c:v>
                </c:pt>
                <c:pt idx="163">
                  <c:v>98.483564559035315</c:v>
                </c:pt>
                <c:pt idx="164">
                  <c:v>98.473593949920783</c:v>
                </c:pt>
                <c:pt idx="165">
                  <c:v>98.443650817680208</c:v>
                </c:pt>
                <c:pt idx="166">
                  <c:v>98.430901899117188</c:v>
                </c:pt>
                <c:pt idx="167">
                  <c:v>98.405247537516502</c:v>
                </c:pt>
                <c:pt idx="168">
                  <c:v>98.364942484970427</c:v>
                </c:pt>
                <c:pt idx="169">
                  <c:v>98.326014847812402</c:v>
                </c:pt>
                <c:pt idx="170">
                  <c:v>98.298951765928933</c:v>
                </c:pt>
                <c:pt idx="171">
                  <c:v>98.283737586871098</c:v>
                </c:pt>
                <c:pt idx="172">
                  <c:v>98.24242295145558</c:v>
                </c:pt>
                <c:pt idx="173">
                  <c:v>98.228038352120151</c:v>
                </c:pt>
                <c:pt idx="174">
                  <c:v>98.199472635266545</c:v>
                </c:pt>
                <c:pt idx="175">
                  <c:v>98.158471048803563</c:v>
                </c:pt>
                <c:pt idx="176">
                  <c:v>98.090899432554622</c:v>
                </c:pt>
                <c:pt idx="177">
                  <c:v>98.025104369108107</c:v>
                </c:pt>
                <c:pt idx="178">
                  <c:v>97.961445864756968</c:v>
                </c:pt>
                <c:pt idx="179">
                  <c:v>97.919145125143302</c:v>
                </c:pt>
                <c:pt idx="180">
                  <c:v>97.908485808334177</c:v>
                </c:pt>
                <c:pt idx="181">
                  <c:v>97.848435193153946</c:v>
                </c:pt>
                <c:pt idx="182">
                  <c:v>97.79006721608873</c:v>
                </c:pt>
                <c:pt idx="183">
                  <c:v>97.733295788676713</c:v>
                </c:pt>
                <c:pt idx="184">
                  <c:v>97.708486659246333</c:v>
                </c:pt>
                <c:pt idx="185">
                  <c:v>97.688952404652838</c:v>
                </c:pt>
                <c:pt idx="186">
                  <c:v>97.63471667375174</c:v>
                </c:pt>
                <c:pt idx="187">
                  <c:v>97.582108797399641</c:v>
                </c:pt>
                <c:pt idx="188">
                  <c:v>97.53056528748408</c:v>
                </c:pt>
                <c:pt idx="189">
                  <c:v>97.480109622676423</c:v>
                </c:pt>
                <c:pt idx="190">
                  <c:v>97.430640062065791</c:v>
                </c:pt>
                <c:pt idx="191">
                  <c:v>97.382109648311754</c:v>
                </c:pt>
                <c:pt idx="192">
                  <c:v>97.336999294356033</c:v>
                </c:pt>
                <c:pt idx="193">
                  <c:v>97.289822817317656</c:v>
                </c:pt>
                <c:pt idx="194">
                  <c:v>97.243342874197239</c:v>
                </c:pt>
                <c:pt idx="195">
                  <c:v>97.197551638771415</c:v>
                </c:pt>
                <c:pt idx="196">
                  <c:v>97.152370848800615</c:v>
                </c:pt>
                <c:pt idx="197">
                  <c:v>97.1117840521989</c:v>
                </c:pt>
              </c:numCache>
            </c:numRef>
          </c:yVal>
          <c:smooth val="1"/>
          <c:extLst>
            <c:ext xmlns:c16="http://schemas.microsoft.com/office/drawing/2014/chart" uri="{C3380CC4-5D6E-409C-BE32-E72D297353CC}">
              <c16:uniqueId val="{00000002-411F-4FF6-B062-28AE4F155DB6}"/>
            </c:ext>
          </c:extLst>
        </c:ser>
        <c:dLbls>
          <c:showLegendKey val="0"/>
          <c:showVal val="0"/>
          <c:showCatName val="0"/>
          <c:showSerName val="0"/>
          <c:showPercent val="0"/>
          <c:showBubbleSize val="0"/>
        </c:dLbls>
        <c:axId val="177854336"/>
        <c:axId val="177864704"/>
      </c:scatterChart>
      <c:valAx>
        <c:axId val="177854336"/>
        <c:scaling>
          <c:logBase val="10"/>
          <c:orientation val="minMax"/>
          <c:min val="1.0000000000000002E-2"/>
        </c:scaling>
        <c:delete val="0"/>
        <c:axPos val="b"/>
        <c:title>
          <c:tx>
            <c:rich>
              <a:bodyPr/>
              <a:lstStyle/>
              <a:p>
                <a:pPr>
                  <a:defRPr sz="1200" b="0"/>
                </a:pPr>
                <a:r>
                  <a:rPr lang="en-US" sz="1200" b="0"/>
                  <a:t>Production Time, days</a:t>
                </a:r>
              </a:p>
            </c:rich>
          </c:tx>
          <c:overlay val="0"/>
        </c:title>
        <c:numFmt formatCode="General" sourceLinked="1"/>
        <c:majorTickMark val="out"/>
        <c:minorTickMark val="none"/>
        <c:tickLblPos val="nextTo"/>
        <c:spPr>
          <a:ln/>
        </c:spPr>
        <c:txPr>
          <a:bodyPr/>
          <a:lstStyle/>
          <a:p>
            <a:pPr>
              <a:defRPr sz="1200"/>
            </a:pPr>
            <a:endParaRPr lang="en-US"/>
          </a:p>
        </c:txPr>
        <c:crossAx val="177864704"/>
        <c:crossesAt val="0.1"/>
        <c:crossBetween val="midCat"/>
      </c:valAx>
      <c:valAx>
        <c:axId val="177864704"/>
        <c:scaling>
          <c:orientation val="minMax"/>
          <c:min val="20"/>
        </c:scaling>
        <c:delete val="0"/>
        <c:axPos val="l"/>
        <c:title>
          <c:tx>
            <c:rich>
              <a:bodyPr/>
              <a:lstStyle/>
              <a:p>
                <a:pPr>
                  <a:defRPr sz="1200" b="0"/>
                </a:pPr>
                <a:r>
                  <a:rPr lang="en-US" sz="1200" b="0"/>
                  <a:t>Radon  Concentration PCi/L</a:t>
                </a:r>
              </a:p>
            </c:rich>
          </c:tx>
          <c:overlay val="0"/>
        </c:title>
        <c:numFmt formatCode="#,##0.0" sourceLinked="0"/>
        <c:majorTickMark val="out"/>
        <c:minorTickMark val="none"/>
        <c:tickLblPos val="nextTo"/>
        <c:spPr>
          <a:ln/>
        </c:spPr>
        <c:txPr>
          <a:bodyPr/>
          <a:lstStyle/>
          <a:p>
            <a:pPr>
              <a:defRPr sz="1200"/>
            </a:pPr>
            <a:endParaRPr lang="en-US"/>
          </a:p>
        </c:txPr>
        <c:crossAx val="177854336"/>
        <c:crossesAt val="1.0000000000000003E-4"/>
        <c:crossBetween val="midCat"/>
      </c:valAx>
      <c:spPr>
        <a:noFill/>
        <a:ln w="12700">
          <a:solidFill>
            <a:schemeClr val="tx1"/>
          </a:solidFill>
        </a:ln>
      </c:spPr>
    </c:plotArea>
    <c:legend>
      <c:legendPos val="r"/>
      <c:layout>
        <c:manualLayout>
          <c:xMode val="edge"/>
          <c:yMode val="edge"/>
          <c:x val="0.6629326888904683"/>
          <c:y val="0.43703995065132989"/>
          <c:w val="0.25236869270841511"/>
          <c:h val="0.34904911549733414"/>
        </c:manualLayout>
      </c:layout>
      <c:overlay val="0"/>
      <c:txPr>
        <a:bodyPr/>
        <a:lstStyle/>
        <a:p>
          <a:pPr>
            <a:defRPr sz="1200"/>
          </a:pPr>
          <a:endParaRPr lang="en-US"/>
        </a:p>
      </c:txPr>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116993354554084"/>
          <c:y val="0.16931102362204725"/>
          <c:w val="0.66435184963581684"/>
          <c:h val="0.79673835909400215"/>
        </c:manualLayout>
      </c:layout>
      <c:barChart>
        <c:barDir val="bar"/>
        <c:grouping val="clustered"/>
        <c:varyColors val="0"/>
        <c:ser>
          <c:idx val="2"/>
          <c:order val="0"/>
          <c:spPr>
            <a:solidFill>
              <a:schemeClr val="bg1">
                <a:lumMod val="75000"/>
              </a:schemeClr>
            </a:solidFill>
            <a:ln>
              <a:solidFill>
                <a:srgbClr val="000000"/>
              </a:solidFill>
            </a:ln>
          </c:spPr>
          <c:invertIfNegative val="0"/>
          <c:cat>
            <c:strRef>
              <c:f>'Tornado Chart'!$O$22:$O$29</c:f>
              <c:strCache>
                <c:ptCount val="8"/>
                <c:pt idx="0">
                  <c:v>Bottom-Hole Pressure</c:v>
                </c:pt>
                <c:pt idx="1">
                  <c:v>Matrix Permeability</c:v>
                </c:pt>
                <c:pt idx="2">
                  <c:v>Hydraulic Fracture Half Length</c:v>
                </c:pt>
                <c:pt idx="3">
                  <c:v>Relative Permeability</c:v>
                </c:pt>
                <c:pt idx="4">
                  <c:v>Hydraulic Fracture Permeability</c:v>
                </c:pt>
                <c:pt idx="5">
                  <c:v>Radon Diffusion</c:v>
                </c:pt>
                <c:pt idx="6">
                  <c:v>Shut in Time</c:v>
                </c:pt>
                <c:pt idx="7">
                  <c:v>Radium Concentration in Water</c:v>
                </c:pt>
              </c:strCache>
            </c:strRef>
          </c:cat>
          <c:val>
            <c:numRef>
              <c:f>'Tornado Chart'!$P$22:$P$29</c:f>
              <c:numCache>
                <c:formatCode>General</c:formatCode>
                <c:ptCount val="8"/>
                <c:pt idx="0">
                  <c:v>88.87</c:v>
                </c:pt>
                <c:pt idx="1">
                  <c:v>76</c:v>
                </c:pt>
                <c:pt idx="2">
                  <c:v>80.41</c:v>
                </c:pt>
                <c:pt idx="3">
                  <c:v>75.42</c:v>
                </c:pt>
                <c:pt idx="4">
                  <c:v>75.680000000000007</c:v>
                </c:pt>
                <c:pt idx="5">
                  <c:v>76.930000000000007</c:v>
                </c:pt>
                <c:pt idx="6">
                  <c:v>77.83</c:v>
                </c:pt>
                <c:pt idx="7">
                  <c:v>77.599999999999994</c:v>
                </c:pt>
              </c:numCache>
            </c:numRef>
          </c:val>
          <c:extLst>
            <c:ext xmlns:c16="http://schemas.microsoft.com/office/drawing/2014/chart" uri="{C3380CC4-5D6E-409C-BE32-E72D297353CC}">
              <c16:uniqueId val="{00000000-02CC-4D18-BCDD-1921FCA519C0}"/>
            </c:ext>
          </c:extLst>
        </c:ser>
        <c:ser>
          <c:idx val="3"/>
          <c:order val="1"/>
          <c:spPr>
            <a:solidFill>
              <a:srgbClr val="000000"/>
            </a:solidFill>
          </c:spPr>
          <c:invertIfNegative val="0"/>
          <c:cat>
            <c:strRef>
              <c:f>'Tornado Chart'!$O$22:$O$29</c:f>
              <c:strCache>
                <c:ptCount val="8"/>
                <c:pt idx="0">
                  <c:v>Bottom-Hole Pressure</c:v>
                </c:pt>
                <c:pt idx="1">
                  <c:v>Matrix Permeability</c:v>
                </c:pt>
                <c:pt idx="2">
                  <c:v>Hydraulic Fracture Half Length</c:v>
                </c:pt>
                <c:pt idx="3">
                  <c:v>Relative Permeability</c:v>
                </c:pt>
                <c:pt idx="4">
                  <c:v>Hydraulic Fracture Permeability</c:v>
                </c:pt>
                <c:pt idx="5">
                  <c:v>Radon Diffusion</c:v>
                </c:pt>
                <c:pt idx="6">
                  <c:v>Shut in Time</c:v>
                </c:pt>
                <c:pt idx="7">
                  <c:v>Radium Concentration in Water</c:v>
                </c:pt>
              </c:strCache>
            </c:strRef>
          </c:cat>
          <c:val>
            <c:numRef>
              <c:f>'Tornado Chart'!$Q$22:$Q$29</c:f>
              <c:numCache>
                <c:formatCode>General</c:formatCode>
                <c:ptCount val="8"/>
                <c:pt idx="0">
                  <c:v>69.13</c:v>
                </c:pt>
                <c:pt idx="1">
                  <c:v>95.6</c:v>
                </c:pt>
                <c:pt idx="2">
                  <c:v>75.180000000000007</c:v>
                </c:pt>
                <c:pt idx="3">
                  <c:v>78.849999999999994</c:v>
                </c:pt>
                <c:pt idx="4">
                  <c:v>79.08</c:v>
                </c:pt>
                <c:pt idx="5">
                  <c:v>78.239999999999995</c:v>
                </c:pt>
                <c:pt idx="6">
                  <c:v>77.209999999999994</c:v>
                </c:pt>
                <c:pt idx="7">
                  <c:v>77.67</c:v>
                </c:pt>
              </c:numCache>
            </c:numRef>
          </c:val>
          <c:extLst>
            <c:ext xmlns:c16="http://schemas.microsoft.com/office/drawing/2014/chart" uri="{C3380CC4-5D6E-409C-BE32-E72D297353CC}">
              <c16:uniqueId val="{00000001-02CC-4D18-BCDD-1921FCA519C0}"/>
            </c:ext>
          </c:extLst>
        </c:ser>
        <c:dLbls>
          <c:showLegendKey val="0"/>
          <c:showVal val="0"/>
          <c:showCatName val="0"/>
          <c:showSerName val="0"/>
          <c:showPercent val="0"/>
          <c:showBubbleSize val="0"/>
        </c:dLbls>
        <c:gapWidth val="18"/>
        <c:overlap val="100"/>
        <c:axId val="177886336"/>
        <c:axId val="177887872"/>
      </c:barChart>
      <c:catAx>
        <c:axId val="177886336"/>
        <c:scaling>
          <c:orientation val="maxMin"/>
        </c:scaling>
        <c:delete val="0"/>
        <c:axPos val="l"/>
        <c:numFmt formatCode="General" sourceLinked="0"/>
        <c:majorTickMark val="none"/>
        <c:minorTickMark val="none"/>
        <c:tickLblPos val="low"/>
        <c:txPr>
          <a:bodyPr/>
          <a:lstStyle/>
          <a:p>
            <a:pPr>
              <a:defRPr sz="1200"/>
            </a:pPr>
            <a:endParaRPr lang="en-US"/>
          </a:p>
        </c:txPr>
        <c:crossAx val="177887872"/>
        <c:crossesAt val="77.599999999999994"/>
        <c:auto val="1"/>
        <c:lblAlgn val="ctr"/>
        <c:lblOffset val="100"/>
        <c:noMultiLvlLbl val="0"/>
      </c:catAx>
      <c:valAx>
        <c:axId val="177887872"/>
        <c:scaling>
          <c:orientation val="minMax"/>
          <c:max val="96"/>
          <c:min val="68"/>
        </c:scaling>
        <c:delete val="0"/>
        <c:axPos val="t"/>
        <c:title>
          <c:tx>
            <c:rich>
              <a:bodyPr/>
              <a:lstStyle/>
              <a:p>
                <a:pPr>
                  <a:defRPr sz="1400" b="0"/>
                </a:pPr>
                <a:r>
                  <a:rPr lang="en-US" sz="1400" b="0"/>
                  <a:t>Radon Wellhead Concentration, pCi/L</a:t>
                </a:r>
              </a:p>
            </c:rich>
          </c:tx>
          <c:layout>
            <c:manualLayout>
              <c:xMode val="edge"/>
              <c:yMode val="edge"/>
              <c:x val="0.18520003143168484"/>
              <c:y val="5.8730680895627838E-4"/>
            </c:manualLayout>
          </c:layout>
          <c:overlay val="0"/>
        </c:title>
        <c:numFmt formatCode="General" sourceLinked="1"/>
        <c:majorTickMark val="none"/>
        <c:minorTickMark val="none"/>
        <c:tickLblPos val="nextTo"/>
        <c:txPr>
          <a:bodyPr/>
          <a:lstStyle/>
          <a:p>
            <a:pPr>
              <a:defRPr sz="1200"/>
            </a:pPr>
            <a:endParaRPr lang="en-US"/>
          </a:p>
        </c:txPr>
        <c:crossAx val="177886336"/>
        <c:crosses val="autoZero"/>
        <c:crossBetween val="between"/>
      </c:valAx>
    </c:plotArea>
    <c:plotVisOnly val="1"/>
    <c:dispBlanksAs val="gap"/>
    <c:showDLblsOverMax val="0"/>
  </c:chart>
  <c:spPr>
    <a:ln>
      <a:noFill/>
    </a:ln>
  </c:sp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116993354554084"/>
          <c:y val="0.16931102362204725"/>
          <c:w val="0.65798385603259446"/>
          <c:h val="0.79673835909400215"/>
        </c:manualLayout>
      </c:layout>
      <c:barChart>
        <c:barDir val="bar"/>
        <c:grouping val="clustered"/>
        <c:varyColors val="0"/>
        <c:ser>
          <c:idx val="2"/>
          <c:order val="2"/>
          <c:spPr>
            <a:solidFill>
              <a:schemeClr val="bg1">
                <a:lumMod val="75000"/>
              </a:schemeClr>
            </a:solidFill>
            <a:ln>
              <a:solidFill>
                <a:srgbClr val="000000"/>
              </a:solidFill>
            </a:ln>
          </c:spPr>
          <c:invertIfNegative val="0"/>
          <c:cat>
            <c:strRef>
              <c:f>'Tornado Chart'!$H$22:$H$29</c:f>
              <c:strCache>
                <c:ptCount val="8"/>
                <c:pt idx="0">
                  <c:v>Bottom-Hole Pressure</c:v>
                </c:pt>
                <c:pt idx="1">
                  <c:v>Matrix Permeability</c:v>
                </c:pt>
                <c:pt idx="2">
                  <c:v>Shut in Time</c:v>
                </c:pt>
                <c:pt idx="3">
                  <c:v>Relative Permeability</c:v>
                </c:pt>
                <c:pt idx="4">
                  <c:v>Hydraulic Fracture Half Length</c:v>
                </c:pt>
                <c:pt idx="5">
                  <c:v>Radon Diffusion</c:v>
                </c:pt>
                <c:pt idx="6">
                  <c:v>Hydraulic Fracture Permeability</c:v>
                </c:pt>
                <c:pt idx="7">
                  <c:v>Radium Concentration in Water</c:v>
                </c:pt>
              </c:strCache>
            </c:strRef>
          </c:cat>
          <c:val>
            <c:numRef>
              <c:f>'Tornado Chart'!$I$22:$I$29</c:f>
              <c:numCache>
                <c:formatCode>General</c:formatCode>
                <c:ptCount val="8"/>
                <c:pt idx="0">
                  <c:v>129.44999999999999</c:v>
                </c:pt>
                <c:pt idx="1">
                  <c:v>102.05</c:v>
                </c:pt>
                <c:pt idx="2">
                  <c:v>98.23</c:v>
                </c:pt>
                <c:pt idx="3">
                  <c:v>100.71</c:v>
                </c:pt>
                <c:pt idx="4">
                  <c:v>100.67</c:v>
                </c:pt>
                <c:pt idx="5">
                  <c:v>100.03</c:v>
                </c:pt>
                <c:pt idx="6">
                  <c:v>100.12</c:v>
                </c:pt>
                <c:pt idx="7">
                  <c:v>100.21</c:v>
                </c:pt>
              </c:numCache>
            </c:numRef>
          </c:val>
          <c:extLst>
            <c:ext xmlns:c16="http://schemas.microsoft.com/office/drawing/2014/chart" uri="{C3380CC4-5D6E-409C-BE32-E72D297353CC}">
              <c16:uniqueId val="{00000000-C82C-4562-B17D-5E6E62B85E0D}"/>
            </c:ext>
          </c:extLst>
        </c:ser>
        <c:ser>
          <c:idx val="3"/>
          <c:order val="3"/>
          <c:spPr>
            <a:solidFill>
              <a:srgbClr val="000000"/>
            </a:solidFill>
          </c:spPr>
          <c:invertIfNegative val="0"/>
          <c:cat>
            <c:strRef>
              <c:f>'Tornado Chart'!$H$22:$H$29</c:f>
              <c:strCache>
                <c:ptCount val="8"/>
                <c:pt idx="0">
                  <c:v>Bottom-Hole Pressure</c:v>
                </c:pt>
                <c:pt idx="1">
                  <c:v>Matrix Permeability</c:v>
                </c:pt>
                <c:pt idx="2">
                  <c:v>Shut in Time</c:v>
                </c:pt>
                <c:pt idx="3">
                  <c:v>Relative Permeability</c:v>
                </c:pt>
                <c:pt idx="4">
                  <c:v>Hydraulic Fracture Half Length</c:v>
                </c:pt>
                <c:pt idx="5">
                  <c:v>Radon Diffusion</c:v>
                </c:pt>
                <c:pt idx="6">
                  <c:v>Hydraulic Fracture Permeability</c:v>
                </c:pt>
                <c:pt idx="7">
                  <c:v>Radium Concentration in Water</c:v>
                </c:pt>
              </c:strCache>
            </c:strRef>
          </c:cat>
          <c:val>
            <c:numRef>
              <c:f>'Tornado Chart'!$J$22:$J$29</c:f>
              <c:numCache>
                <c:formatCode>General</c:formatCode>
                <c:ptCount val="8"/>
                <c:pt idx="0">
                  <c:v>82.46</c:v>
                </c:pt>
                <c:pt idx="1">
                  <c:v>95.6</c:v>
                </c:pt>
                <c:pt idx="2">
                  <c:v>100.29</c:v>
                </c:pt>
                <c:pt idx="3">
                  <c:v>99.79</c:v>
                </c:pt>
                <c:pt idx="4">
                  <c:v>99.96</c:v>
                </c:pt>
                <c:pt idx="5">
                  <c:v>100.48</c:v>
                </c:pt>
                <c:pt idx="6">
                  <c:v>100.35</c:v>
                </c:pt>
                <c:pt idx="7">
                  <c:v>100.31</c:v>
                </c:pt>
              </c:numCache>
            </c:numRef>
          </c:val>
          <c:extLst>
            <c:ext xmlns:c16="http://schemas.microsoft.com/office/drawing/2014/chart" uri="{C3380CC4-5D6E-409C-BE32-E72D297353CC}">
              <c16:uniqueId val="{00000001-C82C-4562-B17D-5E6E62B85E0D}"/>
            </c:ext>
          </c:extLst>
        </c:ser>
        <c:ser>
          <c:idx val="0"/>
          <c:order val="0"/>
          <c:spPr>
            <a:solidFill>
              <a:schemeClr val="bg1">
                <a:lumMod val="75000"/>
              </a:schemeClr>
            </a:solidFill>
            <a:ln>
              <a:solidFill>
                <a:srgbClr val="000000"/>
              </a:solidFill>
            </a:ln>
          </c:spPr>
          <c:invertIfNegative val="0"/>
          <c:cat>
            <c:strRef>
              <c:f>'Tornado Chart'!$H$22:$H$29</c:f>
              <c:strCache>
                <c:ptCount val="8"/>
                <c:pt idx="0">
                  <c:v>Bottom-Hole Pressure</c:v>
                </c:pt>
                <c:pt idx="1">
                  <c:v>Matrix Permeability</c:v>
                </c:pt>
                <c:pt idx="2">
                  <c:v>Shut in Time</c:v>
                </c:pt>
                <c:pt idx="3">
                  <c:v>Relative Permeability</c:v>
                </c:pt>
                <c:pt idx="4">
                  <c:v>Hydraulic Fracture Half Length</c:v>
                </c:pt>
                <c:pt idx="5">
                  <c:v>Radon Diffusion</c:v>
                </c:pt>
                <c:pt idx="6">
                  <c:v>Hydraulic Fracture Permeability</c:v>
                </c:pt>
                <c:pt idx="7">
                  <c:v>Radium Concentration in Water</c:v>
                </c:pt>
              </c:strCache>
            </c:strRef>
          </c:cat>
          <c:val>
            <c:numRef>
              <c:f>'Tornado Chart'!$I$22:$I$29</c:f>
              <c:numCache>
                <c:formatCode>General</c:formatCode>
                <c:ptCount val="8"/>
                <c:pt idx="0">
                  <c:v>129.44999999999999</c:v>
                </c:pt>
                <c:pt idx="1">
                  <c:v>102.05</c:v>
                </c:pt>
                <c:pt idx="2">
                  <c:v>98.23</c:v>
                </c:pt>
                <c:pt idx="3">
                  <c:v>100.71</c:v>
                </c:pt>
                <c:pt idx="4">
                  <c:v>100.67</c:v>
                </c:pt>
                <c:pt idx="5">
                  <c:v>100.03</c:v>
                </c:pt>
                <c:pt idx="6">
                  <c:v>100.12</c:v>
                </c:pt>
                <c:pt idx="7">
                  <c:v>100.21</c:v>
                </c:pt>
              </c:numCache>
            </c:numRef>
          </c:val>
          <c:extLst>
            <c:ext xmlns:c16="http://schemas.microsoft.com/office/drawing/2014/chart" uri="{C3380CC4-5D6E-409C-BE32-E72D297353CC}">
              <c16:uniqueId val="{00000002-C82C-4562-B17D-5E6E62B85E0D}"/>
            </c:ext>
          </c:extLst>
        </c:ser>
        <c:ser>
          <c:idx val="1"/>
          <c:order val="1"/>
          <c:spPr>
            <a:solidFill>
              <a:srgbClr val="000000"/>
            </a:solidFill>
          </c:spPr>
          <c:invertIfNegative val="0"/>
          <c:cat>
            <c:strRef>
              <c:f>'Tornado Chart'!$H$22:$H$29</c:f>
              <c:strCache>
                <c:ptCount val="8"/>
                <c:pt idx="0">
                  <c:v>Bottom-Hole Pressure</c:v>
                </c:pt>
                <c:pt idx="1">
                  <c:v>Matrix Permeability</c:v>
                </c:pt>
                <c:pt idx="2">
                  <c:v>Shut in Time</c:v>
                </c:pt>
                <c:pt idx="3">
                  <c:v>Relative Permeability</c:v>
                </c:pt>
                <c:pt idx="4">
                  <c:v>Hydraulic Fracture Half Length</c:v>
                </c:pt>
                <c:pt idx="5">
                  <c:v>Radon Diffusion</c:v>
                </c:pt>
                <c:pt idx="6">
                  <c:v>Hydraulic Fracture Permeability</c:v>
                </c:pt>
                <c:pt idx="7">
                  <c:v>Radium Concentration in Water</c:v>
                </c:pt>
              </c:strCache>
            </c:strRef>
          </c:cat>
          <c:val>
            <c:numRef>
              <c:f>'Tornado Chart'!$J$22:$J$29</c:f>
              <c:numCache>
                <c:formatCode>General</c:formatCode>
                <c:ptCount val="8"/>
                <c:pt idx="0">
                  <c:v>82.46</c:v>
                </c:pt>
                <c:pt idx="1">
                  <c:v>95.6</c:v>
                </c:pt>
                <c:pt idx="2">
                  <c:v>100.29</c:v>
                </c:pt>
                <c:pt idx="3">
                  <c:v>99.79</c:v>
                </c:pt>
                <c:pt idx="4">
                  <c:v>99.96</c:v>
                </c:pt>
                <c:pt idx="5">
                  <c:v>100.48</c:v>
                </c:pt>
                <c:pt idx="6">
                  <c:v>100.35</c:v>
                </c:pt>
                <c:pt idx="7">
                  <c:v>100.31</c:v>
                </c:pt>
              </c:numCache>
            </c:numRef>
          </c:val>
          <c:extLst>
            <c:ext xmlns:c16="http://schemas.microsoft.com/office/drawing/2014/chart" uri="{C3380CC4-5D6E-409C-BE32-E72D297353CC}">
              <c16:uniqueId val="{00000003-C82C-4562-B17D-5E6E62B85E0D}"/>
            </c:ext>
          </c:extLst>
        </c:ser>
        <c:dLbls>
          <c:showLegendKey val="0"/>
          <c:showVal val="0"/>
          <c:showCatName val="0"/>
          <c:showSerName val="0"/>
          <c:showPercent val="0"/>
          <c:showBubbleSize val="0"/>
        </c:dLbls>
        <c:gapWidth val="18"/>
        <c:overlap val="100"/>
        <c:axId val="177917952"/>
        <c:axId val="177919488"/>
      </c:barChart>
      <c:catAx>
        <c:axId val="177917952"/>
        <c:scaling>
          <c:orientation val="maxMin"/>
        </c:scaling>
        <c:delete val="0"/>
        <c:axPos val="l"/>
        <c:numFmt formatCode="General" sourceLinked="0"/>
        <c:majorTickMark val="none"/>
        <c:minorTickMark val="none"/>
        <c:tickLblPos val="low"/>
        <c:txPr>
          <a:bodyPr/>
          <a:lstStyle/>
          <a:p>
            <a:pPr>
              <a:defRPr sz="1200"/>
            </a:pPr>
            <a:endParaRPr lang="en-US"/>
          </a:p>
        </c:txPr>
        <c:crossAx val="177919488"/>
        <c:crossesAt val="100.2"/>
        <c:auto val="1"/>
        <c:lblAlgn val="ctr"/>
        <c:lblOffset val="100"/>
        <c:noMultiLvlLbl val="0"/>
      </c:catAx>
      <c:valAx>
        <c:axId val="177919488"/>
        <c:scaling>
          <c:orientation val="minMax"/>
          <c:max val="130"/>
          <c:min val="80"/>
        </c:scaling>
        <c:delete val="0"/>
        <c:axPos val="t"/>
        <c:title>
          <c:tx>
            <c:rich>
              <a:bodyPr/>
              <a:lstStyle/>
              <a:p>
                <a:pPr>
                  <a:defRPr sz="1400" b="0"/>
                </a:pPr>
                <a:r>
                  <a:rPr lang="en-US" sz="1400" b="0"/>
                  <a:t>Radon Wellhead Concentration, pCi/L</a:t>
                </a:r>
              </a:p>
            </c:rich>
          </c:tx>
          <c:layout>
            <c:manualLayout>
              <c:xMode val="edge"/>
              <c:yMode val="edge"/>
              <c:x val="0.22431536554527609"/>
              <c:y val="3.2107135256741557E-3"/>
            </c:manualLayout>
          </c:layout>
          <c:overlay val="0"/>
        </c:title>
        <c:numFmt formatCode="General" sourceLinked="1"/>
        <c:majorTickMark val="none"/>
        <c:minorTickMark val="none"/>
        <c:tickLblPos val="nextTo"/>
        <c:txPr>
          <a:bodyPr/>
          <a:lstStyle/>
          <a:p>
            <a:pPr>
              <a:defRPr sz="1200"/>
            </a:pPr>
            <a:endParaRPr lang="en-US"/>
          </a:p>
        </c:txPr>
        <c:crossAx val="177917952"/>
        <c:crosses val="autoZero"/>
        <c:crossBetween val="between"/>
      </c:valAx>
    </c:plotArea>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40492855059783"/>
          <c:y val="6.2040417593540703E-2"/>
          <c:w val="0.70969852726742488"/>
          <c:h val="0.8030225039686516"/>
        </c:manualLayout>
      </c:layout>
      <c:scatterChart>
        <c:scatterStyle val="lineMarker"/>
        <c:varyColors val="0"/>
        <c:ser>
          <c:idx val="0"/>
          <c:order val="0"/>
          <c:tx>
            <c:v>Alcohol, Water</c:v>
          </c:tx>
          <c:spPr>
            <a:ln w="12700">
              <a:solidFill>
                <a:schemeClr val="tx1"/>
              </a:solidFill>
              <a:prstDash val="dash"/>
            </a:ln>
          </c:spPr>
          <c:marker>
            <c:symbol val="none"/>
          </c:marker>
          <c:xVal>
            <c:numRef>
              <c:f>'Figure 8'!$A$18:$A$52</c:f>
              <c:numCache>
                <c:formatCode>General</c:formatCode>
                <c:ptCount val="35"/>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numCache>
            </c:numRef>
          </c:xVal>
          <c:yVal>
            <c:numRef>
              <c:f>'Figure 8'!$C$18:$C$52</c:f>
              <c:numCache>
                <c:formatCode>0.00E+00</c:formatCode>
                <c:ptCount val="35"/>
                <c:pt idx="0">
                  <c:v>7.6302870272000004E-12</c:v>
                </c:pt>
                <c:pt idx="1">
                  <c:v>1.2025593605000001E-6</c:v>
                </c:pt>
                <c:pt idx="2" formatCode="General">
                  <c:v>1.3242136629000001E-4</c:v>
                </c:pt>
                <c:pt idx="3" formatCode="General">
                  <c:v>1.0034122970000001E-3</c:v>
                </c:pt>
                <c:pt idx="4" formatCode="General">
                  <c:v>1.7651031958E-3</c:v>
                </c:pt>
                <c:pt idx="5" formatCode="General">
                  <c:v>1.3288564514000001E-3</c:v>
                </c:pt>
                <c:pt idx="6" formatCode="General">
                  <c:v>7.0858292747000002E-4</c:v>
                </c:pt>
                <c:pt idx="7" formatCode="General">
                  <c:v>4.3503215420000001E-4</c:v>
                </c:pt>
                <c:pt idx="8" formatCode="General">
                  <c:v>3.2527034637000002E-4</c:v>
                </c:pt>
                <c:pt idx="9" formatCode="General">
                  <c:v>2.5768211343999998E-4</c:v>
                </c:pt>
                <c:pt idx="10" formatCode="General">
                  <c:v>2.1596519218000001E-4</c:v>
                </c:pt>
                <c:pt idx="11" formatCode="General">
                  <c:v>1.7606125039E-4</c:v>
                </c:pt>
                <c:pt idx="12" formatCode="General">
                  <c:v>1.3679891708000001E-4</c:v>
                </c:pt>
                <c:pt idx="13" formatCode="General">
                  <c:v>1.0640623077E-4</c:v>
                </c:pt>
                <c:pt idx="14">
                  <c:v>8.5035739176000005E-5</c:v>
                </c:pt>
                <c:pt idx="15">
                  <c:v>7.0225862146000004E-5</c:v>
                </c:pt>
                <c:pt idx="16">
                  <c:v>5.9774025430999999E-5</c:v>
                </c:pt>
                <c:pt idx="17">
                  <c:v>5.2161249186999998E-5</c:v>
                </c:pt>
                <c:pt idx="18">
                  <c:v>4.6386343456000002E-5</c:v>
                </c:pt>
                <c:pt idx="19">
                  <c:v>4.1774863348000001E-5</c:v>
                </c:pt>
                <c:pt idx="20">
                  <c:v>3.7870926462000001E-5</c:v>
                </c:pt>
                <c:pt idx="21">
                  <c:v>3.4390945075000003E-5</c:v>
                </c:pt>
                <c:pt idx="22">
                  <c:v>3.1188701541000002E-5</c:v>
                </c:pt>
                <c:pt idx="23">
                  <c:v>2.8206433853000001E-5</c:v>
                </c:pt>
                <c:pt idx="24">
                  <c:v>2.5429659217000001E-5</c:v>
                </c:pt>
                <c:pt idx="25">
                  <c:v>2.2862772311999999E-5</c:v>
                </c:pt>
                <c:pt idx="26">
                  <c:v>2.0514153220999999E-5</c:v>
                </c:pt>
                <c:pt idx="27">
                  <c:v>1.8390619516000001E-5</c:v>
                </c:pt>
                <c:pt idx="28">
                  <c:v>1.6492869689999999E-5</c:v>
                </c:pt>
                <c:pt idx="29">
                  <c:v>1.481372783E-5</c:v>
                </c:pt>
                <c:pt idx="30">
                  <c:v>1.3339176803000001E-5</c:v>
                </c:pt>
                <c:pt idx="31">
                  <c:v>1.2050738405E-5</c:v>
                </c:pt>
                <c:pt idx="32">
                  <c:v>1.0927877156000001E-5</c:v>
                </c:pt>
                <c:pt idx="33">
                  <c:v>9.9498247436999995E-6</c:v>
                </c:pt>
                <c:pt idx="34">
                  <c:v>9.0967378128000006E-6</c:v>
                </c:pt>
              </c:numCache>
            </c:numRef>
          </c:yVal>
          <c:smooth val="0"/>
          <c:extLst>
            <c:ext xmlns:c16="http://schemas.microsoft.com/office/drawing/2014/chart" uri="{C3380CC4-5D6E-409C-BE32-E72D297353CC}">
              <c16:uniqueId val="{00000000-1DE2-4280-8668-7DDEF0555266}"/>
            </c:ext>
          </c:extLst>
        </c:ser>
        <c:ser>
          <c:idx val="1"/>
          <c:order val="1"/>
          <c:tx>
            <c:v>Ester, Oil</c:v>
          </c:tx>
          <c:spPr>
            <a:ln w="12700">
              <a:solidFill>
                <a:schemeClr val="tx1"/>
              </a:solidFill>
              <a:prstDash val="solid"/>
            </a:ln>
          </c:spPr>
          <c:marker>
            <c:symbol val="none"/>
          </c:marker>
          <c:xVal>
            <c:numRef>
              <c:f>'Figure 8'!$A$18:$A$52</c:f>
              <c:numCache>
                <c:formatCode>General</c:formatCode>
                <c:ptCount val="35"/>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numCache>
            </c:numRef>
          </c:xVal>
          <c:yVal>
            <c:numRef>
              <c:f>'Figure 8'!$D$18:$D$52</c:f>
              <c:numCache>
                <c:formatCode>0.00E+00</c:formatCode>
                <c:ptCount val="35"/>
                <c:pt idx="0" formatCode="General">
                  <c:v>0</c:v>
                </c:pt>
                <c:pt idx="1">
                  <c:v>4.6505077567000002E-11</c:v>
                </c:pt>
                <c:pt idx="2">
                  <c:v>4.6139462029000001E-8</c:v>
                </c:pt>
                <c:pt idx="3">
                  <c:v>3.0772257560000002E-6</c:v>
                </c:pt>
                <c:pt idx="4">
                  <c:v>4.7784833441E-5</c:v>
                </c:pt>
                <c:pt idx="5" formatCode="General">
                  <c:v>2.9157928657000002E-4</c:v>
                </c:pt>
                <c:pt idx="6" formatCode="General">
                  <c:v>9.3544722768000002E-4</c:v>
                </c:pt>
                <c:pt idx="7" formatCode="General">
                  <c:v>1.8970959354E-3</c:v>
                </c:pt>
                <c:pt idx="8" formatCode="General">
                  <c:v>2.7427291497999998E-3</c:v>
                </c:pt>
                <c:pt idx="9" formatCode="General">
                  <c:v>3.0549694784E-3</c:v>
                </c:pt>
                <c:pt idx="10" formatCode="General">
                  <c:v>2.5979848579E-3</c:v>
                </c:pt>
                <c:pt idx="11" formatCode="General">
                  <c:v>1.6685185255E-3</c:v>
                </c:pt>
                <c:pt idx="12" formatCode="General">
                  <c:v>8.6754496441999996E-4</c:v>
                </c:pt>
                <c:pt idx="13" formatCode="General">
                  <c:v>3.8309104275E-4</c:v>
                </c:pt>
                <c:pt idx="14" formatCode="General">
                  <c:v>1.4776916941999999E-4</c:v>
                </c:pt>
                <c:pt idx="15">
                  <c:v>5.0817488955000002E-5</c:v>
                </c:pt>
                <c:pt idx="16">
                  <c:v>1.5829400581000002E-5</c:v>
                </c:pt>
                <c:pt idx="17">
                  <c:v>4.5238862184999999E-6</c:v>
                </c:pt>
                <c:pt idx="18">
                  <c:v>1.1991324982E-6</c:v>
                </c:pt>
                <c:pt idx="19">
                  <c:v>2.9766061971000001E-7</c:v>
                </c:pt>
                <c:pt idx="20">
                  <c:v>6.9825183857000004E-8</c:v>
                </c:pt>
                <c:pt idx="21">
                  <c:v>1.5611908211000002E-8</c:v>
                </c:pt>
                <c:pt idx="22">
                  <c:v>3.3513665176E-9</c:v>
                </c:pt>
                <c:pt idx="23">
                  <c:v>6.9394345825000004E-10</c:v>
                </c:pt>
                <c:pt idx="24">
                  <c:v>1.3824108524999999E-10</c:v>
                </c:pt>
                <c:pt idx="25">
                  <c:v>2.5350081409E-11</c:v>
                </c:pt>
                <c:pt idx="26">
                  <c:v>2.5040614113000002E-12</c:v>
                </c:pt>
                <c:pt idx="27" formatCode="General">
                  <c:v>0</c:v>
                </c:pt>
                <c:pt idx="28" formatCode="General">
                  <c:v>0</c:v>
                </c:pt>
                <c:pt idx="29" formatCode="General">
                  <c:v>0</c:v>
                </c:pt>
                <c:pt idx="30" formatCode="General">
                  <c:v>0</c:v>
                </c:pt>
                <c:pt idx="31" formatCode="General">
                  <c:v>0</c:v>
                </c:pt>
                <c:pt idx="32" formatCode="General">
                  <c:v>0</c:v>
                </c:pt>
                <c:pt idx="33" formatCode="General">
                  <c:v>0</c:v>
                </c:pt>
                <c:pt idx="34" formatCode="General">
                  <c:v>0</c:v>
                </c:pt>
              </c:numCache>
            </c:numRef>
          </c:yVal>
          <c:smooth val="0"/>
          <c:extLst>
            <c:ext xmlns:c16="http://schemas.microsoft.com/office/drawing/2014/chart" uri="{C3380CC4-5D6E-409C-BE32-E72D297353CC}">
              <c16:uniqueId val="{00000001-1DE2-4280-8668-7DDEF0555266}"/>
            </c:ext>
          </c:extLst>
        </c:ser>
        <c:ser>
          <c:idx val="2"/>
          <c:order val="2"/>
          <c:tx>
            <c:v>Ester, Water</c:v>
          </c:tx>
          <c:spPr>
            <a:ln w="12700">
              <a:solidFill>
                <a:schemeClr val="tx1"/>
              </a:solidFill>
              <a:prstDash val="sysDot"/>
            </a:ln>
          </c:spPr>
          <c:marker>
            <c:symbol val="none"/>
          </c:marker>
          <c:xVal>
            <c:numRef>
              <c:f>'Figure 8'!$A$18:$A$52</c:f>
              <c:numCache>
                <c:formatCode>General</c:formatCode>
                <c:ptCount val="35"/>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numCache>
            </c:numRef>
          </c:xVal>
          <c:yVal>
            <c:numRef>
              <c:f>'Figure 8'!$E$18:$E$52</c:f>
              <c:numCache>
                <c:formatCode>0.00E+00</c:formatCode>
                <c:ptCount val="35"/>
                <c:pt idx="0" formatCode="General">
                  <c:v>0</c:v>
                </c:pt>
                <c:pt idx="1">
                  <c:v>3.0188088139999998E-11</c:v>
                </c:pt>
                <c:pt idx="2">
                  <c:v>2.9948356683E-8</c:v>
                </c:pt>
                <c:pt idx="3">
                  <c:v>1.9962924397999998E-6</c:v>
                </c:pt>
                <c:pt idx="4">
                  <c:v>3.0979375879E-5</c:v>
                </c:pt>
                <c:pt idx="5" formatCode="General">
                  <c:v>1.8888544581999999E-4</c:v>
                </c:pt>
                <c:pt idx="6" formatCode="General">
                  <c:v>6.0444301926000003E-4</c:v>
                </c:pt>
                <c:pt idx="7" formatCode="General">
                  <c:v>1.2203070801000001E-3</c:v>
                </c:pt>
                <c:pt idx="8" formatCode="General">
                  <c:v>1.75656192E-3</c:v>
                </c:pt>
                <c:pt idx="9" formatCode="General">
                  <c:v>1.9530168501999999E-3</c:v>
                </c:pt>
                <c:pt idx="10" formatCode="General">
                  <c:v>1.6636714571999999E-3</c:v>
                </c:pt>
                <c:pt idx="11" formatCode="General">
                  <c:v>1.0725045577000001E-3</c:v>
                </c:pt>
                <c:pt idx="12" formatCode="General">
                  <c:v>5.5954203707999999E-4</c:v>
                </c:pt>
                <c:pt idx="13" formatCode="General">
                  <c:v>2.4762633257E-4</c:v>
                </c:pt>
                <c:pt idx="14">
                  <c:v>9.5632756710999995E-5</c:v>
                </c:pt>
                <c:pt idx="15">
                  <c:v>3.2909138099000002E-5</c:v>
                </c:pt>
                <c:pt idx="16">
                  <c:v>1.0254808331E-5</c:v>
                </c:pt>
                <c:pt idx="17">
                  <c:v>2.9314278435999999E-6</c:v>
                </c:pt>
                <c:pt idx="18">
                  <c:v>7.7716458691000002E-7</c:v>
                </c:pt>
                <c:pt idx="19">
                  <c:v>1.9294434138999999E-7</c:v>
                </c:pt>
                <c:pt idx="20">
                  <c:v>4.5266901338000003E-8</c:v>
                </c:pt>
                <c:pt idx="21">
                  <c:v>1.0122302107999999E-8</c:v>
                </c:pt>
                <c:pt idx="22">
                  <c:v>2.1731927368999999E-9</c:v>
                </c:pt>
                <c:pt idx="23">
                  <c:v>4.5004130977000002E-10</c:v>
                </c:pt>
                <c:pt idx="24">
                  <c:v>8.9663602931000002E-11</c:v>
                </c:pt>
                <c:pt idx="25">
                  <c:v>1.644400241E-11</c:v>
                </c:pt>
                <c:pt idx="26">
                  <c:v>1.6245014231000001E-12</c:v>
                </c:pt>
                <c:pt idx="27" formatCode="General">
                  <c:v>0</c:v>
                </c:pt>
                <c:pt idx="28" formatCode="General">
                  <c:v>0</c:v>
                </c:pt>
                <c:pt idx="29" formatCode="General">
                  <c:v>0</c:v>
                </c:pt>
                <c:pt idx="30" formatCode="General">
                  <c:v>0</c:v>
                </c:pt>
                <c:pt idx="31" formatCode="General">
                  <c:v>0</c:v>
                </c:pt>
                <c:pt idx="32" formatCode="General">
                  <c:v>0</c:v>
                </c:pt>
                <c:pt idx="33" formatCode="General">
                  <c:v>0</c:v>
                </c:pt>
                <c:pt idx="34" formatCode="General">
                  <c:v>0</c:v>
                </c:pt>
              </c:numCache>
            </c:numRef>
          </c:yVal>
          <c:smooth val="0"/>
          <c:extLst>
            <c:ext xmlns:c16="http://schemas.microsoft.com/office/drawing/2014/chart" uri="{C3380CC4-5D6E-409C-BE32-E72D297353CC}">
              <c16:uniqueId val="{00000002-1DE2-4280-8668-7DDEF0555266}"/>
            </c:ext>
          </c:extLst>
        </c:ser>
        <c:dLbls>
          <c:showLegendKey val="0"/>
          <c:showVal val="0"/>
          <c:showCatName val="0"/>
          <c:showSerName val="0"/>
          <c:showPercent val="0"/>
          <c:showBubbleSize val="0"/>
        </c:dLbls>
        <c:axId val="176893312"/>
        <c:axId val="176924160"/>
      </c:scatterChart>
      <c:scatterChart>
        <c:scatterStyle val="lineMarker"/>
        <c:varyColors val="0"/>
        <c:ser>
          <c:idx val="3"/>
          <c:order val="3"/>
          <c:tx>
            <c:v>Water Production Rate</c:v>
          </c:tx>
          <c:spPr>
            <a:ln w="12700">
              <a:solidFill>
                <a:schemeClr val="tx1"/>
              </a:solidFill>
              <a:prstDash val="lgDashDot"/>
            </a:ln>
          </c:spPr>
          <c:marker>
            <c:symbol val="none"/>
          </c:marker>
          <c:xVal>
            <c:numRef>
              <c:f>'Figure 8'!$A$18:$A$52</c:f>
              <c:numCache>
                <c:formatCode>General</c:formatCode>
                <c:ptCount val="35"/>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numCache>
            </c:numRef>
          </c:xVal>
          <c:yVal>
            <c:numRef>
              <c:f>'Figure 8'!$F$18:$F$52</c:f>
              <c:numCache>
                <c:formatCode>General</c:formatCode>
                <c:ptCount val="35"/>
                <c:pt idx="0">
                  <c:v>819.99060058999999</c:v>
                </c:pt>
                <c:pt idx="1">
                  <c:v>819.98748779000005</c:v>
                </c:pt>
                <c:pt idx="2">
                  <c:v>819.98370361000002</c:v>
                </c:pt>
                <c:pt idx="3">
                  <c:v>819.97851562999995</c:v>
                </c:pt>
                <c:pt idx="4">
                  <c:v>819.96820068</c:v>
                </c:pt>
                <c:pt idx="5">
                  <c:v>819.94665526999995</c:v>
                </c:pt>
                <c:pt idx="6">
                  <c:v>819.90863036999997</c:v>
                </c:pt>
                <c:pt idx="7">
                  <c:v>819.85687256000006</c:v>
                </c:pt>
                <c:pt idx="8">
                  <c:v>819.63586425999995</c:v>
                </c:pt>
                <c:pt idx="9">
                  <c:v>474.36599731000001</c:v>
                </c:pt>
                <c:pt idx="10">
                  <c:v>300.75704955999998</c:v>
                </c:pt>
                <c:pt idx="11">
                  <c:v>256.79800415</c:v>
                </c:pt>
                <c:pt idx="12">
                  <c:v>237.87524414000001</c:v>
                </c:pt>
                <c:pt idx="13">
                  <c:v>208.77960204999999</c:v>
                </c:pt>
                <c:pt idx="14">
                  <c:v>178.07048035</c:v>
                </c:pt>
                <c:pt idx="15">
                  <c:v>149.26420593</c:v>
                </c:pt>
                <c:pt idx="16">
                  <c:v>124.00489044</c:v>
                </c:pt>
                <c:pt idx="17">
                  <c:v>103.25128936999999</c:v>
                </c:pt>
                <c:pt idx="18">
                  <c:v>87.629272460999999</c:v>
                </c:pt>
                <c:pt idx="19">
                  <c:v>77.295051575000002</c:v>
                </c:pt>
                <c:pt idx="20">
                  <c:v>71.618049622000001</c:v>
                </c:pt>
                <c:pt idx="21">
                  <c:v>69.199119568</c:v>
                </c:pt>
                <c:pt idx="22">
                  <c:v>68.471839904999996</c:v>
                </c:pt>
                <c:pt idx="23">
                  <c:v>68.347816467000001</c:v>
                </c:pt>
                <c:pt idx="24">
                  <c:v>68.219665527000004</c:v>
                </c:pt>
                <c:pt idx="25">
                  <c:v>67.758979796999995</c:v>
                </c:pt>
                <c:pt idx="26">
                  <c:v>66.776138306000007</c:v>
                </c:pt>
                <c:pt idx="27">
                  <c:v>65.166320800999998</c:v>
                </c:pt>
                <c:pt idx="28">
                  <c:v>62.947288512999997</c:v>
                </c:pt>
                <c:pt idx="29">
                  <c:v>60.231952667000002</c:v>
                </c:pt>
                <c:pt idx="30">
                  <c:v>57.175849915000001</c:v>
                </c:pt>
                <c:pt idx="31">
                  <c:v>53.935508728000002</c:v>
                </c:pt>
                <c:pt idx="32">
                  <c:v>50.647697448999999</c:v>
                </c:pt>
                <c:pt idx="33">
                  <c:v>47.424049377000003</c:v>
                </c:pt>
                <c:pt idx="34">
                  <c:v>44.352935791</c:v>
                </c:pt>
              </c:numCache>
            </c:numRef>
          </c:yVal>
          <c:smooth val="0"/>
          <c:extLst>
            <c:ext xmlns:c16="http://schemas.microsoft.com/office/drawing/2014/chart" uri="{C3380CC4-5D6E-409C-BE32-E72D297353CC}">
              <c16:uniqueId val="{00000003-1DE2-4280-8668-7DDEF0555266}"/>
            </c:ext>
          </c:extLst>
        </c:ser>
        <c:dLbls>
          <c:showLegendKey val="0"/>
          <c:showVal val="0"/>
          <c:showCatName val="0"/>
          <c:showSerName val="0"/>
          <c:showPercent val="0"/>
          <c:showBubbleSize val="0"/>
        </c:dLbls>
        <c:axId val="176944640"/>
        <c:axId val="176926080"/>
      </c:scatterChart>
      <c:valAx>
        <c:axId val="176893312"/>
        <c:scaling>
          <c:orientation val="minMax"/>
        </c:scaling>
        <c:delete val="0"/>
        <c:axPos val="b"/>
        <c:title>
          <c:tx>
            <c:rich>
              <a:bodyPr/>
              <a:lstStyle/>
              <a:p>
                <a:pPr>
                  <a:defRPr sz="1200">
                    <a:latin typeface="+mn-lt"/>
                  </a:defRPr>
                </a:pPr>
                <a:r>
                  <a:rPr lang="en-US" sz="1200">
                    <a:latin typeface="+mn-lt"/>
                  </a:rPr>
                  <a:t>Time, days</a:t>
                </a:r>
              </a:p>
            </c:rich>
          </c:tx>
          <c:overlay val="0"/>
        </c:title>
        <c:numFmt formatCode="General" sourceLinked="1"/>
        <c:majorTickMark val="out"/>
        <c:minorTickMark val="none"/>
        <c:tickLblPos val="nextTo"/>
        <c:spPr>
          <a:ln w="9525">
            <a:solidFill>
              <a:schemeClr val="tx1"/>
            </a:solidFill>
          </a:ln>
        </c:spPr>
        <c:txPr>
          <a:bodyPr rot="0" vert="horz"/>
          <a:lstStyle/>
          <a:p>
            <a:pPr>
              <a:defRPr sz="1100" b="0" i="0" u="none" strike="noStrike" baseline="0">
                <a:solidFill>
                  <a:srgbClr val="000000"/>
                </a:solidFill>
                <a:latin typeface="Calibri"/>
                <a:ea typeface="Calibri"/>
                <a:cs typeface="Calibri"/>
              </a:defRPr>
            </a:pPr>
            <a:endParaRPr lang="en-US"/>
          </a:p>
        </c:txPr>
        <c:crossAx val="176924160"/>
        <c:crosses val="autoZero"/>
        <c:crossBetween val="midCat"/>
      </c:valAx>
      <c:valAx>
        <c:axId val="176924160"/>
        <c:scaling>
          <c:orientation val="minMax"/>
        </c:scaling>
        <c:delete val="0"/>
        <c:axPos val="l"/>
        <c:title>
          <c:tx>
            <c:rich>
              <a:bodyPr/>
              <a:lstStyle/>
              <a:p>
                <a:pPr>
                  <a:defRPr sz="1200">
                    <a:latin typeface="+mn-lt"/>
                  </a:defRPr>
                </a:pPr>
                <a:r>
                  <a:rPr lang="en-US" sz="1200">
                    <a:latin typeface="+mn-lt"/>
                  </a:rPr>
                  <a:t>Tracer concentration, mole fraction</a:t>
                </a:r>
              </a:p>
            </c:rich>
          </c:tx>
          <c:overlay val="0"/>
        </c:title>
        <c:numFmt formatCode="General" sourceLinked="0"/>
        <c:majorTickMark val="out"/>
        <c:minorTickMark val="none"/>
        <c:tickLblPos val="nextTo"/>
        <c:spPr>
          <a:ln w="9525">
            <a:solidFill>
              <a:schemeClr val="tx1"/>
            </a:solidFill>
          </a:ln>
        </c:spPr>
        <c:txPr>
          <a:bodyPr rot="0" vert="horz"/>
          <a:lstStyle/>
          <a:p>
            <a:pPr>
              <a:defRPr sz="1100" b="0" i="0" u="none" strike="noStrike" baseline="0">
                <a:solidFill>
                  <a:srgbClr val="000000"/>
                </a:solidFill>
                <a:latin typeface="Calibri"/>
                <a:ea typeface="Calibri"/>
                <a:cs typeface="Calibri"/>
              </a:defRPr>
            </a:pPr>
            <a:endParaRPr lang="en-US"/>
          </a:p>
        </c:txPr>
        <c:crossAx val="176893312"/>
        <c:crosses val="autoZero"/>
        <c:crossBetween val="midCat"/>
      </c:valAx>
      <c:valAx>
        <c:axId val="176926080"/>
        <c:scaling>
          <c:orientation val="minMax"/>
        </c:scaling>
        <c:delete val="0"/>
        <c:axPos val="r"/>
        <c:title>
          <c:tx>
            <c:rich>
              <a:bodyPr rot="-5400000" vert="horz"/>
              <a:lstStyle/>
              <a:p>
                <a:pPr>
                  <a:defRPr sz="1200">
                    <a:latin typeface="+mn-lt"/>
                  </a:defRPr>
                </a:pPr>
                <a:r>
                  <a:rPr lang="en-US" sz="1200">
                    <a:latin typeface="+mn-lt"/>
                  </a:rPr>
                  <a:t>Production</a:t>
                </a:r>
                <a:r>
                  <a:rPr lang="en-US" sz="1200" baseline="0">
                    <a:latin typeface="+mn-lt"/>
                  </a:rPr>
                  <a:t> rate, bbl/day</a:t>
                </a:r>
                <a:endParaRPr lang="en-US" sz="1200">
                  <a:latin typeface="+mn-lt"/>
                </a:endParaRPr>
              </a:p>
            </c:rich>
          </c:tx>
          <c:layout>
            <c:manualLayout>
              <c:xMode val="edge"/>
              <c:yMode val="edge"/>
              <c:x val="0.9611047249230833"/>
              <c:y val="0.24586820145239693"/>
            </c:manualLayout>
          </c:layout>
          <c:overlay val="0"/>
        </c:title>
        <c:numFmt formatCode="General" sourceLinked="1"/>
        <c:majorTickMark val="out"/>
        <c:minorTickMark val="none"/>
        <c:tickLblPos val="nextTo"/>
        <c:spPr>
          <a:ln w="9525">
            <a:solidFill>
              <a:schemeClr val="tx1"/>
            </a:solidFill>
          </a:ln>
        </c:spPr>
        <c:txPr>
          <a:bodyPr/>
          <a:lstStyle/>
          <a:p>
            <a:pPr>
              <a:defRPr sz="1050"/>
            </a:pPr>
            <a:endParaRPr lang="en-US"/>
          </a:p>
        </c:txPr>
        <c:crossAx val="176944640"/>
        <c:crosses val="max"/>
        <c:crossBetween val="midCat"/>
      </c:valAx>
      <c:valAx>
        <c:axId val="176944640"/>
        <c:scaling>
          <c:orientation val="minMax"/>
        </c:scaling>
        <c:delete val="1"/>
        <c:axPos val="b"/>
        <c:numFmt formatCode="General" sourceLinked="1"/>
        <c:majorTickMark val="out"/>
        <c:minorTickMark val="none"/>
        <c:tickLblPos val="nextTo"/>
        <c:crossAx val="176926080"/>
        <c:crosses val="autoZero"/>
        <c:crossBetween val="midCat"/>
      </c:valAx>
      <c:spPr>
        <a:noFill/>
        <a:ln w="9525">
          <a:solidFill>
            <a:schemeClr val="tx1"/>
          </a:solidFill>
        </a:ln>
      </c:spPr>
    </c:plotArea>
    <c:legend>
      <c:legendPos val="r"/>
      <c:layout>
        <c:manualLayout>
          <c:xMode val="edge"/>
          <c:yMode val="edge"/>
          <c:x val="0.55502768773754496"/>
          <c:y val="8.7464839142226303E-2"/>
          <c:w val="0.32137412510936131"/>
          <c:h val="0.32093475983663478"/>
        </c:manualLayout>
      </c:layout>
      <c:overlay val="0"/>
      <c:txPr>
        <a:bodyPr/>
        <a:lstStyle/>
        <a:p>
          <a:pPr>
            <a:defRPr sz="1100" b="0" i="0" u="none" strike="noStrike" baseline="0">
              <a:solidFill>
                <a:srgbClr val="000000"/>
              </a:solidFill>
              <a:latin typeface="Calibri"/>
              <a:ea typeface="Calibri"/>
              <a:cs typeface="Calibri"/>
            </a:defRPr>
          </a:pPr>
          <a:endParaRPr lang="en-US"/>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77529892096821"/>
          <c:y val="6.2040417593540703E-2"/>
          <c:w val="0.70432815689705464"/>
          <c:h val="0.80322339899205886"/>
        </c:manualLayout>
      </c:layout>
      <c:scatterChart>
        <c:scatterStyle val="lineMarker"/>
        <c:varyColors val="0"/>
        <c:ser>
          <c:idx val="0"/>
          <c:order val="0"/>
          <c:tx>
            <c:v>Alcohol, Water</c:v>
          </c:tx>
          <c:spPr>
            <a:ln w="12700">
              <a:solidFill>
                <a:schemeClr val="tx1"/>
              </a:solidFill>
              <a:prstDash val="dash"/>
            </a:ln>
          </c:spPr>
          <c:marker>
            <c:symbol val="none"/>
          </c:marker>
          <c:xVal>
            <c:numRef>
              <c:f>'Figure 9'!$A$18:$A$52</c:f>
              <c:numCache>
                <c:formatCode>General</c:formatCode>
                <c:ptCount val="35"/>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numCache>
            </c:numRef>
          </c:xVal>
          <c:yVal>
            <c:numRef>
              <c:f>'Figure 9'!$C$18:$C$52</c:f>
              <c:numCache>
                <c:formatCode>0.00E+00</c:formatCode>
                <c:ptCount val="35"/>
                <c:pt idx="0">
                  <c:v>3.8456060557999999E-10</c:v>
                </c:pt>
                <c:pt idx="1">
                  <c:v>6.9712418735000002E-6</c:v>
                </c:pt>
                <c:pt idx="2" formatCode="General">
                  <c:v>2.9478568466999999E-4</c:v>
                </c:pt>
                <c:pt idx="3" formatCode="General">
                  <c:v>1.4056059299E-3</c:v>
                </c:pt>
                <c:pt idx="4" formatCode="General">
                  <c:v>2.1886695176E-3</c:v>
                </c:pt>
                <c:pt idx="5" formatCode="General">
                  <c:v>1.8322833348000001E-3</c:v>
                </c:pt>
                <c:pt idx="6" formatCode="General">
                  <c:v>1.1153258383000001E-3</c:v>
                </c:pt>
                <c:pt idx="7" formatCode="General">
                  <c:v>5.9535901527999998E-4</c:v>
                </c:pt>
                <c:pt idx="8" formatCode="General">
                  <c:v>3.0075333780000001E-4</c:v>
                </c:pt>
                <c:pt idx="9" formatCode="General">
                  <c:v>1.4340135385000001E-4</c:v>
                </c:pt>
                <c:pt idx="10">
                  <c:v>6.3271822000000007E-5</c:v>
                </c:pt>
                <c:pt idx="11">
                  <c:v>2.5649673261999998E-5</c:v>
                </c:pt>
                <c:pt idx="12">
                  <c:v>9.5970017355E-6</c:v>
                </c:pt>
                <c:pt idx="13">
                  <c:v>3.3456633446E-6</c:v>
                </c:pt>
                <c:pt idx="14">
                  <c:v>1.0981542572999999E-6</c:v>
                </c:pt>
                <c:pt idx="15">
                  <c:v>3.4273980986999999E-7</c:v>
                </c:pt>
                <c:pt idx="16">
                  <c:v>1.0260793459000001E-7</c:v>
                </c:pt>
                <c:pt idx="17">
                  <c:v>2.9684773750000001E-8</c:v>
                </c:pt>
                <c:pt idx="18">
                  <c:v>8.3479676504999994E-9</c:v>
                </c:pt>
                <c:pt idx="19">
                  <c:v>2.2901911478000001E-9</c:v>
                </c:pt>
                <c:pt idx="20">
                  <c:v>6.1130439599000004E-10</c:v>
                </c:pt>
                <c:pt idx="21">
                  <c:v>1.5423980148999999E-10</c:v>
                </c:pt>
                <c:pt idx="22">
                  <c:v>3.2184071379999998E-11</c:v>
                </c:pt>
                <c:pt idx="23" formatCode="General">
                  <c:v>0</c:v>
                </c:pt>
                <c:pt idx="24" formatCode="General">
                  <c:v>0</c:v>
                </c:pt>
                <c:pt idx="25" formatCode="General">
                  <c:v>0</c:v>
                </c:pt>
                <c:pt idx="26" formatCode="General">
                  <c:v>0</c:v>
                </c:pt>
                <c:pt idx="27" formatCode="General">
                  <c:v>0</c:v>
                </c:pt>
                <c:pt idx="28" formatCode="General">
                  <c:v>0</c:v>
                </c:pt>
                <c:pt idx="29" formatCode="General">
                  <c:v>0</c:v>
                </c:pt>
                <c:pt idx="30" formatCode="General">
                  <c:v>0</c:v>
                </c:pt>
                <c:pt idx="31" formatCode="General">
                  <c:v>0</c:v>
                </c:pt>
                <c:pt idx="32" formatCode="General">
                  <c:v>0</c:v>
                </c:pt>
                <c:pt idx="33" formatCode="General">
                  <c:v>0</c:v>
                </c:pt>
                <c:pt idx="34" formatCode="General">
                  <c:v>0</c:v>
                </c:pt>
              </c:numCache>
            </c:numRef>
          </c:yVal>
          <c:smooth val="0"/>
          <c:extLst>
            <c:ext xmlns:c16="http://schemas.microsoft.com/office/drawing/2014/chart" uri="{C3380CC4-5D6E-409C-BE32-E72D297353CC}">
              <c16:uniqueId val="{00000000-9811-4C23-B21C-4A9D1834DD9D}"/>
            </c:ext>
          </c:extLst>
        </c:ser>
        <c:ser>
          <c:idx val="1"/>
          <c:order val="1"/>
          <c:tx>
            <c:v>Ester, Oil</c:v>
          </c:tx>
          <c:spPr>
            <a:ln w="12700">
              <a:solidFill>
                <a:schemeClr val="tx1"/>
              </a:solidFill>
              <a:prstDash val="solid"/>
            </a:ln>
          </c:spPr>
          <c:marker>
            <c:symbol val="none"/>
          </c:marker>
          <c:xVal>
            <c:numRef>
              <c:f>'Figure 9'!$A$18:$A$52</c:f>
              <c:numCache>
                <c:formatCode>General</c:formatCode>
                <c:ptCount val="35"/>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numCache>
            </c:numRef>
          </c:xVal>
          <c:yVal>
            <c:numRef>
              <c:f>'Figure 9'!$D$18:$D$52</c:f>
              <c:numCache>
                <c:formatCode>0.00E+00</c:formatCode>
                <c:ptCount val="35"/>
                <c:pt idx="0" formatCode="General">
                  <c:v>0</c:v>
                </c:pt>
                <c:pt idx="1">
                  <c:v>2.7097902587999999E-8</c:v>
                </c:pt>
                <c:pt idx="2">
                  <c:v>5.6726667025999996E-6</c:v>
                </c:pt>
                <c:pt idx="3" formatCode="General">
                  <c:v>1.2192076974E-4</c:v>
                </c:pt>
                <c:pt idx="4" formatCode="General">
                  <c:v>7.4636680073999996E-4</c:v>
                </c:pt>
                <c:pt idx="5" formatCode="General">
                  <c:v>2.0712774713000002E-3</c:v>
                </c:pt>
                <c:pt idx="6" formatCode="General">
                  <c:v>3.3655168954000001E-3</c:v>
                </c:pt>
                <c:pt idx="7" formatCode="General">
                  <c:v>3.7302365527E-3</c:v>
                </c:pt>
                <c:pt idx="8" formatCode="General">
                  <c:v>3.1082523055E-3</c:v>
                </c:pt>
                <c:pt idx="9" formatCode="General">
                  <c:v>2.0818454212999998E-3</c:v>
                </c:pt>
                <c:pt idx="10" formatCode="General">
                  <c:v>1.1766817187999999E-3</c:v>
                </c:pt>
                <c:pt idx="11" formatCode="General">
                  <c:v>5.8170710690000002E-4</c:v>
                </c:pt>
                <c:pt idx="12" formatCode="General">
                  <c:v>2.5822091266000001E-4</c:v>
                </c:pt>
                <c:pt idx="13" formatCode="General">
                  <c:v>1.0493954323E-4</c:v>
                </c:pt>
                <c:pt idx="14">
                  <c:v>3.9620397729E-5</c:v>
                </c:pt>
                <c:pt idx="15">
                  <c:v>1.4057958651000001E-5</c:v>
                </c:pt>
                <c:pt idx="16">
                  <c:v>4.7314129005999999E-6</c:v>
                </c:pt>
                <c:pt idx="17">
                  <c:v>1.522222874E-6</c:v>
                </c:pt>
                <c:pt idx="18">
                  <c:v>4.7120724389000002E-7</c:v>
                </c:pt>
                <c:pt idx="19">
                  <c:v>1.4112289648E-7</c:v>
                </c:pt>
                <c:pt idx="20">
                  <c:v>4.1085201019000003E-8</c:v>
                </c:pt>
                <c:pt idx="21">
                  <c:v>1.1673503052999999E-8</c:v>
                </c:pt>
                <c:pt idx="22">
                  <c:v>3.2470683919000001E-9</c:v>
                </c:pt>
                <c:pt idx="23">
                  <c:v>8.8544782617000004E-10</c:v>
                </c:pt>
                <c:pt idx="24">
                  <c:v>2.3570206897000002E-10</c:v>
                </c:pt>
                <c:pt idx="25">
                  <c:v>5.9419330566999999E-11</c:v>
                </c:pt>
                <c:pt idx="26">
                  <c:v>1.1538955554999999E-11</c:v>
                </c:pt>
                <c:pt idx="27" formatCode="General">
                  <c:v>0</c:v>
                </c:pt>
                <c:pt idx="28" formatCode="General">
                  <c:v>0</c:v>
                </c:pt>
                <c:pt idx="29" formatCode="General">
                  <c:v>0</c:v>
                </c:pt>
                <c:pt idx="30" formatCode="General">
                  <c:v>0</c:v>
                </c:pt>
                <c:pt idx="31" formatCode="General">
                  <c:v>0</c:v>
                </c:pt>
                <c:pt idx="32" formatCode="General">
                  <c:v>0</c:v>
                </c:pt>
                <c:pt idx="33" formatCode="General">
                  <c:v>0</c:v>
                </c:pt>
                <c:pt idx="34" formatCode="General">
                  <c:v>0</c:v>
                </c:pt>
              </c:numCache>
            </c:numRef>
          </c:yVal>
          <c:smooth val="0"/>
          <c:extLst>
            <c:ext xmlns:c16="http://schemas.microsoft.com/office/drawing/2014/chart" uri="{C3380CC4-5D6E-409C-BE32-E72D297353CC}">
              <c16:uniqueId val="{00000001-9811-4C23-B21C-4A9D1834DD9D}"/>
            </c:ext>
          </c:extLst>
        </c:ser>
        <c:ser>
          <c:idx val="2"/>
          <c:order val="2"/>
          <c:tx>
            <c:v>Ester, Water</c:v>
          </c:tx>
          <c:spPr>
            <a:ln w="12700">
              <a:solidFill>
                <a:schemeClr val="tx1"/>
              </a:solidFill>
              <a:prstDash val="sysDot"/>
            </a:ln>
          </c:spPr>
          <c:marker>
            <c:symbol val="none"/>
          </c:marker>
          <c:xVal>
            <c:numRef>
              <c:f>'Figure 9'!$A$18:$A$52</c:f>
              <c:numCache>
                <c:formatCode>General</c:formatCode>
                <c:ptCount val="35"/>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numCache>
            </c:numRef>
          </c:xVal>
          <c:yVal>
            <c:numRef>
              <c:f>'Figure 9'!$E$18:$E$52</c:f>
              <c:numCache>
                <c:formatCode>0.00E+00</c:formatCode>
                <c:ptCount val="35"/>
                <c:pt idx="0" formatCode="General">
                  <c:v>0</c:v>
                </c:pt>
                <c:pt idx="1">
                  <c:v>1.7575388256E-8</c:v>
                </c:pt>
                <c:pt idx="2">
                  <c:v>3.6784811073000002E-6</c:v>
                </c:pt>
                <c:pt idx="3">
                  <c:v>7.8959630628000003E-5</c:v>
                </c:pt>
                <c:pt idx="4" formatCode="General">
                  <c:v>4.8150855582000001E-4</c:v>
                </c:pt>
                <c:pt idx="5" formatCode="General">
                  <c:v>1.3266522437000001E-3</c:v>
                </c:pt>
                <c:pt idx="6" formatCode="General">
                  <c:v>2.1407254971999999E-3</c:v>
                </c:pt>
                <c:pt idx="7" formatCode="General">
                  <c:v>2.3688348010000001E-3</c:v>
                </c:pt>
                <c:pt idx="8" formatCode="General">
                  <c:v>1.9818677101000001E-3</c:v>
                </c:pt>
                <c:pt idx="9" formatCode="General">
                  <c:v>1.3358352007000001E-3</c:v>
                </c:pt>
                <c:pt idx="10" formatCode="General">
                  <c:v>7.5916748027999995E-4</c:v>
                </c:pt>
                <c:pt idx="11" formatCode="General">
                  <c:v>3.7662830437000002E-4</c:v>
                </c:pt>
                <c:pt idx="12" formatCode="General">
                  <c:v>1.6749899078000001E-4</c:v>
                </c:pt>
                <c:pt idx="13">
                  <c:v>6.8129367718999996E-5</c:v>
                </c:pt>
                <c:pt idx="14">
                  <c:v>2.5731722417000002E-5</c:v>
                </c:pt>
                <c:pt idx="15">
                  <c:v>9.1312658697000006E-6</c:v>
                </c:pt>
                <c:pt idx="16">
                  <c:v>3.0734092888000001E-6</c:v>
                </c:pt>
                <c:pt idx="17">
                  <c:v>9.8881423581999993E-7</c:v>
                </c:pt>
                <c:pt idx="18">
                  <c:v>3.0609106715999999E-7</c:v>
                </c:pt>
                <c:pt idx="19">
                  <c:v>9.1672035296000001E-8</c:v>
                </c:pt>
                <c:pt idx="20">
                  <c:v>2.6688550037000001E-8</c:v>
                </c:pt>
                <c:pt idx="21">
                  <c:v>7.5829964529999993E-9</c:v>
                </c:pt>
                <c:pt idx="22">
                  <c:v>2.1092647629E-9</c:v>
                </c:pt>
                <c:pt idx="23">
                  <c:v>5.7517846041999996E-10</c:v>
                </c:pt>
                <c:pt idx="24">
                  <c:v>1.5310983037E-10</c:v>
                </c:pt>
                <c:pt idx="25">
                  <c:v>3.8598232248999997E-11</c:v>
                </c:pt>
                <c:pt idx="26">
                  <c:v>7.4955952903000005E-12</c:v>
                </c:pt>
                <c:pt idx="27" formatCode="General">
                  <c:v>0</c:v>
                </c:pt>
                <c:pt idx="28" formatCode="General">
                  <c:v>0</c:v>
                </c:pt>
                <c:pt idx="29" formatCode="General">
                  <c:v>0</c:v>
                </c:pt>
                <c:pt idx="30" formatCode="General">
                  <c:v>0</c:v>
                </c:pt>
                <c:pt idx="31" formatCode="General">
                  <c:v>0</c:v>
                </c:pt>
                <c:pt idx="32" formatCode="General">
                  <c:v>0</c:v>
                </c:pt>
                <c:pt idx="33" formatCode="General">
                  <c:v>0</c:v>
                </c:pt>
                <c:pt idx="34" formatCode="General">
                  <c:v>0</c:v>
                </c:pt>
              </c:numCache>
            </c:numRef>
          </c:yVal>
          <c:smooth val="0"/>
          <c:extLst>
            <c:ext xmlns:c16="http://schemas.microsoft.com/office/drawing/2014/chart" uri="{C3380CC4-5D6E-409C-BE32-E72D297353CC}">
              <c16:uniqueId val="{00000002-9811-4C23-B21C-4A9D1834DD9D}"/>
            </c:ext>
          </c:extLst>
        </c:ser>
        <c:dLbls>
          <c:showLegendKey val="0"/>
          <c:showVal val="0"/>
          <c:showCatName val="0"/>
          <c:showSerName val="0"/>
          <c:showPercent val="0"/>
          <c:showBubbleSize val="0"/>
        </c:dLbls>
        <c:axId val="177379584"/>
        <c:axId val="177385856"/>
      </c:scatterChart>
      <c:scatterChart>
        <c:scatterStyle val="lineMarker"/>
        <c:varyColors val="0"/>
        <c:ser>
          <c:idx val="3"/>
          <c:order val="3"/>
          <c:tx>
            <c:v>Liquid Production Rate</c:v>
          </c:tx>
          <c:spPr>
            <a:ln w="12700">
              <a:solidFill>
                <a:schemeClr val="tx1"/>
              </a:solidFill>
              <a:prstDash val="lgDashDot"/>
            </a:ln>
          </c:spPr>
          <c:marker>
            <c:symbol val="none"/>
          </c:marker>
          <c:xVal>
            <c:numRef>
              <c:f>'Figure 9'!$A$18:$A$52</c:f>
              <c:numCache>
                <c:formatCode>General</c:formatCode>
                <c:ptCount val="35"/>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numCache>
            </c:numRef>
          </c:xVal>
          <c:yVal>
            <c:numRef>
              <c:f>'Figure 9'!$F$18:$F$52</c:f>
              <c:numCache>
                <c:formatCode>General</c:formatCode>
                <c:ptCount val="35"/>
                <c:pt idx="0">
                  <c:v>1264.4593505859</c:v>
                </c:pt>
                <c:pt idx="1">
                  <c:v>1151.6920166016</c:v>
                </c:pt>
                <c:pt idx="2">
                  <c:v>1111.5960693359</c:v>
                </c:pt>
                <c:pt idx="3">
                  <c:v>1087.8100585938</c:v>
                </c:pt>
                <c:pt idx="4">
                  <c:v>1071.8055419922</c:v>
                </c:pt>
                <c:pt idx="5">
                  <c:v>1060.2250976563</c:v>
                </c:pt>
                <c:pt idx="6">
                  <c:v>1050.52734375</c:v>
                </c:pt>
                <c:pt idx="7">
                  <c:v>1041.271484375</c:v>
                </c:pt>
                <c:pt idx="8">
                  <c:v>1032.3642578125</c:v>
                </c:pt>
                <c:pt idx="9">
                  <c:v>1024.2681884766</c:v>
                </c:pt>
                <c:pt idx="10">
                  <c:v>1017.2582397461</c:v>
                </c:pt>
                <c:pt idx="11">
                  <c:v>1011.2734985352</c:v>
                </c:pt>
                <c:pt idx="12">
                  <c:v>1006.0946044922</c:v>
                </c:pt>
                <c:pt idx="13">
                  <c:v>1001.5054931641</c:v>
                </c:pt>
                <c:pt idx="14">
                  <c:v>997.35186767578</c:v>
                </c:pt>
                <c:pt idx="15">
                  <c:v>993.53662109375</c:v>
                </c:pt>
                <c:pt idx="16">
                  <c:v>989.99896240234</c:v>
                </c:pt>
                <c:pt idx="17">
                  <c:v>986.69885253906</c:v>
                </c:pt>
                <c:pt idx="18">
                  <c:v>983.60656738281</c:v>
                </c:pt>
                <c:pt idx="19">
                  <c:v>980.69879150391</c:v>
                </c:pt>
                <c:pt idx="20">
                  <c:v>977.95611572266</c:v>
                </c:pt>
                <c:pt idx="21">
                  <c:v>975.36181640625</c:v>
                </c:pt>
                <c:pt idx="22">
                  <c:v>972.90161132813</c:v>
                </c:pt>
                <c:pt idx="23">
                  <c:v>970.56298828125</c:v>
                </c:pt>
                <c:pt idx="24">
                  <c:v>968.33502197266</c:v>
                </c:pt>
                <c:pt idx="25">
                  <c:v>966.20812988281</c:v>
                </c:pt>
                <c:pt idx="26">
                  <c:v>964.17395019531</c:v>
                </c:pt>
                <c:pt idx="27">
                  <c:v>962.22479248047</c:v>
                </c:pt>
                <c:pt idx="28">
                  <c:v>960.35406494141</c:v>
                </c:pt>
                <c:pt idx="29">
                  <c:v>958.55596923828</c:v>
                </c:pt>
                <c:pt idx="30">
                  <c:v>956.82513427734</c:v>
                </c:pt>
                <c:pt idx="31">
                  <c:v>955.15679931641</c:v>
                </c:pt>
                <c:pt idx="32">
                  <c:v>953.54675292969</c:v>
                </c:pt>
                <c:pt idx="33">
                  <c:v>951.99096679688</c:v>
                </c:pt>
                <c:pt idx="34">
                  <c:v>950.48620605469</c:v>
                </c:pt>
              </c:numCache>
            </c:numRef>
          </c:yVal>
          <c:smooth val="0"/>
          <c:extLst>
            <c:ext xmlns:c16="http://schemas.microsoft.com/office/drawing/2014/chart" uri="{C3380CC4-5D6E-409C-BE32-E72D297353CC}">
              <c16:uniqueId val="{00000003-9811-4C23-B21C-4A9D1834DD9D}"/>
            </c:ext>
          </c:extLst>
        </c:ser>
        <c:dLbls>
          <c:showLegendKey val="0"/>
          <c:showVal val="0"/>
          <c:showCatName val="0"/>
          <c:showSerName val="0"/>
          <c:showPercent val="0"/>
          <c:showBubbleSize val="0"/>
        </c:dLbls>
        <c:axId val="177402240"/>
        <c:axId val="177387776"/>
      </c:scatterChart>
      <c:valAx>
        <c:axId val="177379584"/>
        <c:scaling>
          <c:orientation val="minMax"/>
        </c:scaling>
        <c:delete val="0"/>
        <c:axPos val="b"/>
        <c:title>
          <c:tx>
            <c:rich>
              <a:bodyPr/>
              <a:lstStyle/>
              <a:p>
                <a:pPr>
                  <a:defRPr sz="1400"/>
                </a:pPr>
                <a:r>
                  <a:rPr lang="en-US" sz="1400"/>
                  <a:t>Time, days</a:t>
                </a:r>
              </a:p>
            </c:rich>
          </c:tx>
          <c:overlay val="0"/>
        </c:title>
        <c:numFmt formatCode="General" sourceLinked="1"/>
        <c:majorTickMark val="out"/>
        <c:minorTickMark val="none"/>
        <c:tickLblPos val="nextTo"/>
        <c:spPr>
          <a:ln w="9525">
            <a:solidFill>
              <a:schemeClr val="tx1"/>
            </a:solidFill>
          </a:ln>
        </c:spPr>
        <c:txPr>
          <a:bodyPr rot="0" vert="horz"/>
          <a:lstStyle/>
          <a:p>
            <a:pPr>
              <a:defRPr sz="1200" b="0" i="0" u="none" strike="noStrike" baseline="0">
                <a:solidFill>
                  <a:srgbClr val="000000"/>
                </a:solidFill>
                <a:latin typeface="+mn-lt"/>
                <a:ea typeface="Calibri"/>
                <a:cs typeface="Calibri"/>
              </a:defRPr>
            </a:pPr>
            <a:endParaRPr lang="en-US"/>
          </a:p>
        </c:txPr>
        <c:crossAx val="177385856"/>
        <c:crosses val="autoZero"/>
        <c:crossBetween val="midCat"/>
      </c:valAx>
      <c:valAx>
        <c:axId val="177385856"/>
        <c:scaling>
          <c:orientation val="minMax"/>
        </c:scaling>
        <c:delete val="0"/>
        <c:axPos val="l"/>
        <c:title>
          <c:tx>
            <c:rich>
              <a:bodyPr/>
              <a:lstStyle/>
              <a:p>
                <a:pPr>
                  <a:defRPr sz="1200">
                    <a:latin typeface="+mn-lt"/>
                  </a:defRPr>
                </a:pPr>
                <a:r>
                  <a:rPr lang="en-US" sz="1200">
                    <a:latin typeface="+mn-lt"/>
                  </a:rPr>
                  <a:t>Tracer concentration, mole fraction</a:t>
                </a:r>
              </a:p>
            </c:rich>
          </c:tx>
          <c:overlay val="0"/>
        </c:title>
        <c:numFmt formatCode="General" sourceLinked="0"/>
        <c:majorTickMark val="out"/>
        <c:minorTickMark val="none"/>
        <c:tickLblPos val="nextTo"/>
        <c:spPr>
          <a:ln w="9525">
            <a:solidFill>
              <a:schemeClr val="tx1"/>
            </a:solidFill>
          </a:ln>
        </c:spPr>
        <c:txPr>
          <a:bodyPr rot="0" vert="horz"/>
          <a:lstStyle/>
          <a:p>
            <a:pPr>
              <a:defRPr sz="1100" b="0" i="0" u="none" strike="noStrike" baseline="0">
                <a:solidFill>
                  <a:srgbClr val="000000"/>
                </a:solidFill>
                <a:latin typeface="Calibri"/>
                <a:ea typeface="Calibri"/>
                <a:cs typeface="Calibri"/>
              </a:defRPr>
            </a:pPr>
            <a:endParaRPr lang="en-US"/>
          </a:p>
        </c:txPr>
        <c:crossAx val="177379584"/>
        <c:crosses val="autoZero"/>
        <c:crossBetween val="midCat"/>
      </c:valAx>
      <c:valAx>
        <c:axId val="177387776"/>
        <c:scaling>
          <c:orientation val="minMax"/>
        </c:scaling>
        <c:delete val="0"/>
        <c:axPos val="r"/>
        <c:title>
          <c:tx>
            <c:rich>
              <a:bodyPr rot="-5400000" vert="horz"/>
              <a:lstStyle/>
              <a:p>
                <a:pPr>
                  <a:defRPr sz="1200">
                    <a:latin typeface="+mn-lt"/>
                  </a:defRPr>
                </a:pPr>
                <a:r>
                  <a:rPr lang="en-US" sz="1200">
                    <a:latin typeface="+mn-lt"/>
                  </a:rPr>
                  <a:t>Production</a:t>
                </a:r>
                <a:r>
                  <a:rPr lang="en-US" sz="1200" baseline="0">
                    <a:latin typeface="+mn-lt"/>
                  </a:rPr>
                  <a:t> rate, bbl/day</a:t>
                </a:r>
                <a:endParaRPr lang="en-US" sz="1200">
                  <a:latin typeface="+mn-lt"/>
                </a:endParaRPr>
              </a:p>
            </c:rich>
          </c:tx>
          <c:layout>
            <c:manualLayout>
              <c:xMode val="edge"/>
              <c:yMode val="edge"/>
              <c:x val="0.9611047249230833"/>
              <c:y val="0.24586820145239693"/>
            </c:manualLayout>
          </c:layout>
          <c:overlay val="0"/>
        </c:title>
        <c:numFmt formatCode="General" sourceLinked="1"/>
        <c:majorTickMark val="out"/>
        <c:minorTickMark val="none"/>
        <c:tickLblPos val="nextTo"/>
        <c:spPr>
          <a:ln w="9525">
            <a:solidFill>
              <a:schemeClr val="tx1"/>
            </a:solidFill>
          </a:ln>
        </c:spPr>
        <c:txPr>
          <a:bodyPr/>
          <a:lstStyle/>
          <a:p>
            <a:pPr>
              <a:defRPr sz="1050"/>
            </a:pPr>
            <a:endParaRPr lang="en-US"/>
          </a:p>
        </c:txPr>
        <c:crossAx val="177402240"/>
        <c:crosses val="max"/>
        <c:crossBetween val="midCat"/>
      </c:valAx>
      <c:valAx>
        <c:axId val="177402240"/>
        <c:scaling>
          <c:orientation val="minMax"/>
        </c:scaling>
        <c:delete val="1"/>
        <c:axPos val="b"/>
        <c:numFmt formatCode="General" sourceLinked="1"/>
        <c:majorTickMark val="out"/>
        <c:minorTickMark val="none"/>
        <c:tickLblPos val="nextTo"/>
        <c:crossAx val="177387776"/>
        <c:crosses val="autoZero"/>
        <c:crossBetween val="midCat"/>
      </c:valAx>
      <c:spPr>
        <a:noFill/>
        <a:ln w="9525">
          <a:solidFill>
            <a:schemeClr val="tx1"/>
          </a:solidFill>
        </a:ln>
      </c:spPr>
    </c:plotArea>
    <c:legend>
      <c:legendPos val="r"/>
      <c:layout>
        <c:manualLayout>
          <c:xMode val="edge"/>
          <c:yMode val="edge"/>
          <c:x val="0.55856463254593181"/>
          <c:y val="0.42869554982757202"/>
          <c:w val="0.30980005103528724"/>
          <c:h val="0.38127412776715602"/>
        </c:manualLayout>
      </c:layout>
      <c:overlay val="0"/>
      <c:txPr>
        <a:bodyPr/>
        <a:lstStyle/>
        <a:p>
          <a:pPr>
            <a:defRPr sz="1100" b="0" i="0" u="none" strike="noStrike" baseline="0">
              <a:solidFill>
                <a:srgbClr val="000000"/>
              </a:solidFill>
              <a:latin typeface="Calibri"/>
              <a:ea typeface="Calibri"/>
              <a:cs typeface="Calibri"/>
            </a:defRPr>
          </a:pPr>
          <a:endParaRPr lang="en-US"/>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90110090405367"/>
          <c:y val="6.2041906741105712E-2"/>
          <c:w val="0.74509769612131815"/>
          <c:h val="0.79967350493744349"/>
        </c:manualLayout>
      </c:layout>
      <c:scatterChart>
        <c:scatterStyle val="lineMarker"/>
        <c:varyColors val="0"/>
        <c:ser>
          <c:idx val="0"/>
          <c:order val="0"/>
          <c:tx>
            <c:v>Alcohol, Water</c:v>
          </c:tx>
          <c:spPr>
            <a:ln w="12700">
              <a:solidFill>
                <a:schemeClr val="tx1"/>
              </a:solidFill>
              <a:prstDash val="dash"/>
            </a:ln>
          </c:spPr>
          <c:marker>
            <c:symbol val="none"/>
          </c:marker>
          <c:xVal>
            <c:numRef>
              <c:f>'Figure 12'!$A$18:$A$52</c:f>
              <c:numCache>
                <c:formatCode>General</c:formatCode>
                <c:ptCount val="35"/>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numCache>
            </c:numRef>
          </c:xVal>
          <c:yVal>
            <c:numRef>
              <c:f>'Figure 12'!$C$18:$C$52</c:f>
              <c:numCache>
                <c:formatCode>0.00E+00</c:formatCode>
                <c:ptCount val="35"/>
                <c:pt idx="0" formatCode="General">
                  <c:v>0</c:v>
                </c:pt>
                <c:pt idx="1">
                  <c:v>4.2958976820000003E-8</c:v>
                </c:pt>
                <c:pt idx="2">
                  <c:v>1.1395491128E-5</c:v>
                </c:pt>
                <c:pt idx="3" formatCode="General">
                  <c:v>2.1926918998000001E-4</c:v>
                </c:pt>
                <c:pt idx="4" formatCode="General">
                  <c:v>1.0217817035E-3</c:v>
                </c:pt>
                <c:pt idx="5" formatCode="General">
                  <c:v>2.0150525960999999E-3</c:v>
                </c:pt>
                <c:pt idx="6" formatCode="General">
                  <c:v>2.2923748475000001E-3</c:v>
                </c:pt>
                <c:pt idx="7" formatCode="General">
                  <c:v>1.8444234738000001E-3</c:v>
                </c:pt>
                <c:pt idx="8" formatCode="General">
                  <c:v>1.2195560848E-3</c:v>
                </c:pt>
                <c:pt idx="9" formatCode="General">
                  <c:v>7.3509104550000003E-4</c:v>
                </c:pt>
                <c:pt idx="10" formatCode="General">
                  <c:v>4.2290260898999999E-4</c:v>
                </c:pt>
                <c:pt idx="11" formatCode="General">
                  <c:v>2.3158082331000001E-4</c:v>
                </c:pt>
                <c:pt idx="12" formatCode="General">
                  <c:v>1.1864332919E-4</c:v>
                </c:pt>
                <c:pt idx="13">
                  <c:v>5.6407174269999998E-5</c:v>
                </c:pt>
                <c:pt idx="14">
                  <c:v>2.4941484297999999E-5</c:v>
                </c:pt>
                <c:pt idx="15">
                  <c:v>1.0327344171E-5</c:v>
                </c:pt>
                <c:pt idx="16">
                  <c:v>4.0408713175999998E-6</c:v>
                </c:pt>
                <c:pt idx="17">
                  <c:v>1.5105707689000001E-6</c:v>
                </c:pt>
                <c:pt idx="18">
                  <c:v>5.4567362895000004E-7</c:v>
                </c:pt>
                <c:pt idx="19">
                  <c:v>1.922400088E-7</c:v>
                </c:pt>
                <c:pt idx="20">
                  <c:v>6.6381232955E-8</c:v>
                </c:pt>
                <c:pt idx="21">
                  <c:v>2.2473356509000001E-8</c:v>
                </c:pt>
                <c:pt idx="22">
                  <c:v>7.4415482664999996E-9</c:v>
                </c:pt>
                <c:pt idx="23">
                  <c:v>2.4032600353999998E-9</c:v>
                </c:pt>
                <c:pt idx="24">
                  <c:v>7.5354505967999997E-10</c:v>
                </c:pt>
                <c:pt idx="25">
                  <c:v>2.2609661365E-10</c:v>
                </c:pt>
                <c:pt idx="26">
                  <c:v>6.0874187634999995E-11</c:v>
                </c:pt>
                <c:pt idx="27">
                  <c:v>1.0330027632E-11</c:v>
                </c:pt>
                <c:pt idx="28" formatCode="General">
                  <c:v>0</c:v>
                </c:pt>
                <c:pt idx="29" formatCode="General">
                  <c:v>0</c:v>
                </c:pt>
                <c:pt idx="30" formatCode="General">
                  <c:v>0</c:v>
                </c:pt>
                <c:pt idx="31" formatCode="General">
                  <c:v>0</c:v>
                </c:pt>
                <c:pt idx="32" formatCode="General">
                  <c:v>0</c:v>
                </c:pt>
                <c:pt idx="33" formatCode="General">
                  <c:v>0</c:v>
                </c:pt>
                <c:pt idx="34" formatCode="General">
                  <c:v>0</c:v>
                </c:pt>
              </c:numCache>
            </c:numRef>
          </c:yVal>
          <c:smooth val="0"/>
          <c:extLst>
            <c:ext xmlns:c16="http://schemas.microsoft.com/office/drawing/2014/chart" uri="{C3380CC4-5D6E-409C-BE32-E72D297353CC}">
              <c16:uniqueId val="{00000000-AC98-4824-BDFD-DA88AFBD42FC}"/>
            </c:ext>
          </c:extLst>
        </c:ser>
        <c:ser>
          <c:idx val="1"/>
          <c:order val="1"/>
          <c:tx>
            <c:v>Ester, Oil</c:v>
          </c:tx>
          <c:spPr>
            <a:ln w="12700">
              <a:solidFill>
                <a:schemeClr val="tx1"/>
              </a:solidFill>
              <a:prstDash val="solid"/>
            </a:ln>
          </c:spPr>
          <c:marker>
            <c:symbol val="none"/>
          </c:marker>
          <c:xVal>
            <c:numRef>
              <c:f>'Figure 12'!$A$18:$A$52</c:f>
              <c:numCache>
                <c:formatCode>General</c:formatCode>
                <c:ptCount val="35"/>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numCache>
            </c:numRef>
          </c:xVal>
          <c:yVal>
            <c:numRef>
              <c:f>'Figure 12'!$D$18:$D$52</c:f>
              <c:numCache>
                <c:formatCode>0.00E+00</c:formatCode>
                <c:ptCount val="35"/>
                <c:pt idx="0" formatCode="General">
                  <c:v>0</c:v>
                </c:pt>
                <c:pt idx="1">
                  <c:v>2.4513757343000001E-11</c:v>
                </c:pt>
                <c:pt idx="2">
                  <c:v>2.8813765596E-8</c:v>
                </c:pt>
                <c:pt idx="3">
                  <c:v>2.2026538318000002E-6</c:v>
                </c:pt>
                <c:pt idx="4">
                  <c:v>3.8485766709000001E-5</c:v>
                </c:pt>
                <c:pt idx="5" formatCode="General">
                  <c:v>2.6162719587000002E-4</c:v>
                </c:pt>
                <c:pt idx="6" formatCode="General">
                  <c:v>9.2665251576999998E-4</c:v>
                </c:pt>
                <c:pt idx="7" formatCode="General">
                  <c:v>2.0490756723999999E-3</c:v>
                </c:pt>
                <c:pt idx="8" formatCode="General">
                  <c:v>3.1861362512999999E-3</c:v>
                </c:pt>
                <c:pt idx="9" formatCode="General">
                  <c:v>3.7741037085999999E-3</c:v>
                </c:pt>
                <c:pt idx="10" formatCode="General">
                  <c:v>3.6000362596999998E-3</c:v>
                </c:pt>
                <c:pt idx="11" formatCode="General">
                  <c:v>2.8797357809000001E-3</c:v>
                </c:pt>
                <c:pt idx="12" formatCode="General">
                  <c:v>1.9927546382E-3</c:v>
                </c:pt>
                <c:pt idx="13" formatCode="General">
                  <c:v>1.222368679E-3</c:v>
                </c:pt>
                <c:pt idx="14" formatCode="General">
                  <c:v>6.7759462398999997E-4</c:v>
                </c:pt>
                <c:pt idx="15" formatCode="General">
                  <c:v>3.4468114609000002E-4</c:v>
                </c:pt>
                <c:pt idx="16" formatCode="General">
                  <c:v>1.6287559993000001E-4</c:v>
                </c:pt>
                <c:pt idx="17">
                  <c:v>7.2191025538000006E-5</c:v>
                </c:pt>
                <c:pt idx="18">
                  <c:v>3.0239556509000001E-5</c:v>
                </c:pt>
                <c:pt idx="19">
                  <c:v>1.2042763956E-5</c:v>
                </c:pt>
                <c:pt idx="20">
                  <c:v>4.5827378017000003E-6</c:v>
                </c:pt>
                <c:pt idx="21">
                  <c:v>1.6739953708000001E-6</c:v>
                </c:pt>
                <c:pt idx="22">
                  <c:v>5.8948211289999998E-7</c:v>
                </c:pt>
                <c:pt idx="23">
                  <c:v>2.0091223973000001E-7</c:v>
                </c:pt>
                <c:pt idx="24">
                  <c:v>6.6516861351999998E-8</c:v>
                </c:pt>
                <c:pt idx="25">
                  <c:v>2.1459856113999999E-8</c:v>
                </c:pt>
                <c:pt idx="26">
                  <c:v>6.7648500135000002E-9</c:v>
                </c:pt>
                <c:pt idx="27">
                  <c:v>2.0877077844E-9</c:v>
                </c:pt>
                <c:pt idx="28">
                  <c:v>6.3085353607999997E-10</c:v>
                </c:pt>
                <c:pt idx="29">
                  <c:v>1.8556373105000001E-10</c:v>
                </c:pt>
                <c:pt idx="30">
                  <c:v>5.1194402883999999E-11</c:v>
                </c:pt>
                <c:pt idx="31">
                  <c:v>1.0310553626E-11</c:v>
                </c:pt>
                <c:pt idx="32" formatCode="General">
                  <c:v>0</c:v>
                </c:pt>
                <c:pt idx="33" formatCode="General">
                  <c:v>0</c:v>
                </c:pt>
                <c:pt idx="34" formatCode="General">
                  <c:v>0</c:v>
                </c:pt>
              </c:numCache>
            </c:numRef>
          </c:yVal>
          <c:smooth val="0"/>
          <c:extLst>
            <c:ext xmlns:c16="http://schemas.microsoft.com/office/drawing/2014/chart" uri="{C3380CC4-5D6E-409C-BE32-E72D297353CC}">
              <c16:uniqueId val="{00000001-AC98-4824-BDFD-DA88AFBD42FC}"/>
            </c:ext>
          </c:extLst>
        </c:ser>
        <c:ser>
          <c:idx val="2"/>
          <c:order val="2"/>
          <c:tx>
            <c:v>Ester, Water</c:v>
          </c:tx>
          <c:spPr>
            <a:ln w="12700">
              <a:solidFill>
                <a:schemeClr val="tx1"/>
              </a:solidFill>
              <a:prstDash val="sysDot"/>
            </a:ln>
          </c:spPr>
          <c:marker>
            <c:symbol val="none"/>
          </c:marker>
          <c:xVal>
            <c:numRef>
              <c:f>'Figure 12'!$A$18:$A$52</c:f>
              <c:numCache>
                <c:formatCode>General</c:formatCode>
                <c:ptCount val="35"/>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numCache>
            </c:numRef>
          </c:xVal>
          <c:yVal>
            <c:numRef>
              <c:f>'Figure 12'!$E$18:$E$52</c:f>
              <c:numCache>
                <c:formatCode>0.00E+00</c:formatCode>
                <c:ptCount val="35"/>
                <c:pt idx="0" formatCode="General">
                  <c:v>0</c:v>
                </c:pt>
                <c:pt idx="1">
                  <c:v>1.5899410261000001E-11</c:v>
                </c:pt>
                <c:pt idx="2">
                  <c:v>1.8688226077999999E-8</c:v>
                </c:pt>
                <c:pt idx="3">
                  <c:v>1.4284167945999999E-6</c:v>
                </c:pt>
                <c:pt idx="4">
                  <c:v>2.4941255106000002E-5</c:v>
                </c:pt>
                <c:pt idx="5" formatCode="General">
                  <c:v>1.6925088130000001E-4</c:v>
                </c:pt>
                <c:pt idx="6" formatCode="General">
                  <c:v>5.9718952980000002E-4</c:v>
                </c:pt>
                <c:pt idx="7" formatCode="General">
                  <c:v>1.3125585392000001E-3</c:v>
                </c:pt>
                <c:pt idx="8" formatCode="General">
                  <c:v>2.028389601E-3</c:v>
                </c:pt>
                <c:pt idx="9" formatCode="General">
                  <c:v>2.3954370989999999E-3</c:v>
                </c:pt>
                <c:pt idx="10" formatCode="General">
                  <c:v>2.2883273195E-3</c:v>
                </c:pt>
                <c:pt idx="11" formatCode="General">
                  <c:v>1.8391385674E-3</c:v>
                </c:pt>
                <c:pt idx="12" formatCode="General">
                  <c:v>1.2797883245999999E-3</c:v>
                </c:pt>
                <c:pt idx="13" formatCode="General">
                  <c:v>7.8869925345999997E-4</c:v>
                </c:pt>
                <c:pt idx="14" formatCode="General">
                  <c:v>4.3858066783000001E-4</c:v>
                </c:pt>
                <c:pt idx="15" formatCode="General">
                  <c:v>2.2350939980000001E-4</c:v>
                </c:pt>
                <c:pt idx="16" formatCode="General">
                  <c:v>1.0571827443E-4</c:v>
                </c:pt>
                <c:pt idx="17">
                  <c:v>4.687866749E-5</c:v>
                </c:pt>
                <c:pt idx="18">
                  <c:v>1.9640619938999998E-5</c:v>
                </c:pt>
                <c:pt idx="19">
                  <c:v>7.8224466050999993E-6</c:v>
                </c:pt>
                <c:pt idx="20">
                  <c:v>2.9768434615000002E-6</c:v>
                </c:pt>
                <c:pt idx="21">
                  <c:v>1.0874036889E-6</c:v>
                </c:pt>
                <c:pt idx="22">
                  <c:v>3.8292100156999999E-7</c:v>
                </c:pt>
                <c:pt idx="23">
                  <c:v>1.3051057124000001E-7</c:v>
                </c:pt>
                <c:pt idx="24">
                  <c:v>4.3208707723000003E-8</c:v>
                </c:pt>
                <c:pt idx="25">
                  <c:v>1.3940116616999999E-8</c:v>
                </c:pt>
                <c:pt idx="26">
                  <c:v>4.3943821915000001E-9</c:v>
                </c:pt>
                <c:pt idx="27">
                  <c:v>1.3561551880999999E-9</c:v>
                </c:pt>
                <c:pt idx="28">
                  <c:v>4.0979644677999999E-10</c:v>
                </c:pt>
                <c:pt idx="29">
                  <c:v>1.2054043874E-10</c:v>
                </c:pt>
                <c:pt idx="30">
                  <c:v>3.3255398434999999E-11</c:v>
                </c:pt>
                <c:pt idx="31">
                  <c:v>6.6976372365000002E-12</c:v>
                </c:pt>
                <c:pt idx="32" formatCode="General">
                  <c:v>0</c:v>
                </c:pt>
                <c:pt idx="33" formatCode="General">
                  <c:v>0</c:v>
                </c:pt>
                <c:pt idx="34" formatCode="General">
                  <c:v>0</c:v>
                </c:pt>
              </c:numCache>
            </c:numRef>
          </c:yVal>
          <c:smooth val="0"/>
          <c:extLst>
            <c:ext xmlns:c16="http://schemas.microsoft.com/office/drawing/2014/chart" uri="{C3380CC4-5D6E-409C-BE32-E72D297353CC}">
              <c16:uniqueId val="{00000002-AC98-4824-BDFD-DA88AFBD42FC}"/>
            </c:ext>
          </c:extLst>
        </c:ser>
        <c:dLbls>
          <c:showLegendKey val="0"/>
          <c:showVal val="0"/>
          <c:showCatName val="0"/>
          <c:showSerName val="0"/>
          <c:showPercent val="0"/>
          <c:showBubbleSize val="0"/>
        </c:dLbls>
        <c:axId val="177427584"/>
        <c:axId val="177429504"/>
      </c:scatterChart>
      <c:scatterChart>
        <c:scatterStyle val="lineMarker"/>
        <c:varyColors val="0"/>
        <c:ser>
          <c:idx val="3"/>
          <c:order val="3"/>
          <c:tx>
            <c:v>Oil Production Rate</c:v>
          </c:tx>
          <c:spPr>
            <a:ln w="12700">
              <a:solidFill>
                <a:schemeClr val="tx1"/>
              </a:solidFill>
              <a:prstDash val="lgDashDot"/>
            </a:ln>
          </c:spPr>
          <c:marker>
            <c:symbol val="none"/>
          </c:marker>
          <c:xVal>
            <c:numRef>
              <c:f>'Figure 12'!$A$18:$A$52</c:f>
              <c:numCache>
                <c:formatCode>General</c:formatCode>
                <c:ptCount val="35"/>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numCache>
            </c:numRef>
          </c:xVal>
          <c:yVal>
            <c:numRef>
              <c:f>'Figure 12'!$F$18:$F$52</c:f>
              <c:numCache>
                <c:formatCode>General</c:formatCode>
                <c:ptCount val="35"/>
                <c:pt idx="0">
                  <c:v>447.41476440000002</c:v>
                </c:pt>
                <c:pt idx="1">
                  <c:v>447.26229857999999</c:v>
                </c:pt>
                <c:pt idx="2">
                  <c:v>445.96682738999999</c:v>
                </c:pt>
                <c:pt idx="3">
                  <c:v>445.94268799000002</c:v>
                </c:pt>
                <c:pt idx="4">
                  <c:v>446.77459716999999</c:v>
                </c:pt>
                <c:pt idx="5">
                  <c:v>446.93237305000002</c:v>
                </c:pt>
                <c:pt idx="6">
                  <c:v>446.79595947000001</c:v>
                </c:pt>
                <c:pt idx="7">
                  <c:v>446.37054443</c:v>
                </c:pt>
                <c:pt idx="8">
                  <c:v>444.71286011000001</c:v>
                </c:pt>
                <c:pt idx="9">
                  <c:v>440.54644775000003</c:v>
                </c:pt>
                <c:pt idx="10">
                  <c:v>433.87918091</c:v>
                </c:pt>
                <c:pt idx="11">
                  <c:v>426.40417480000002</c:v>
                </c:pt>
                <c:pt idx="12">
                  <c:v>420.00659180000002</c:v>
                </c:pt>
                <c:pt idx="13">
                  <c:v>415.27404784999999</c:v>
                </c:pt>
                <c:pt idx="14">
                  <c:v>411.53463744999999</c:v>
                </c:pt>
                <c:pt idx="15">
                  <c:v>408.01556396000001</c:v>
                </c:pt>
                <c:pt idx="16">
                  <c:v>404.70794677999999</c:v>
                </c:pt>
                <c:pt idx="17">
                  <c:v>402.28332519999998</c:v>
                </c:pt>
                <c:pt idx="18">
                  <c:v>401.37829590000001</c:v>
                </c:pt>
                <c:pt idx="19">
                  <c:v>401.98760986000002</c:v>
                </c:pt>
                <c:pt idx="20">
                  <c:v>403.59255981000001</c:v>
                </c:pt>
                <c:pt idx="21">
                  <c:v>405.48605347</c:v>
                </c:pt>
                <c:pt idx="22">
                  <c:v>407.00268555000002</c:v>
                </c:pt>
                <c:pt idx="23">
                  <c:v>407.69982909999999</c:v>
                </c:pt>
                <c:pt idx="24">
                  <c:v>407.42156982</c:v>
                </c:pt>
                <c:pt idx="25">
                  <c:v>406.30929565000002</c:v>
                </c:pt>
                <c:pt idx="26">
                  <c:v>404.77185058999999</c:v>
                </c:pt>
                <c:pt idx="27">
                  <c:v>403.26034546</c:v>
                </c:pt>
                <c:pt idx="28">
                  <c:v>401.56338500999999</c:v>
                </c:pt>
                <c:pt idx="29">
                  <c:v>399.59368896000001</c:v>
                </c:pt>
                <c:pt idx="30">
                  <c:v>399.32305908000001</c:v>
                </c:pt>
                <c:pt idx="31">
                  <c:v>399.7940979</c:v>
                </c:pt>
                <c:pt idx="32">
                  <c:v>400.85848999000001</c:v>
                </c:pt>
                <c:pt idx="33">
                  <c:v>402.37576294000002</c:v>
                </c:pt>
                <c:pt idx="34">
                  <c:v>404.21679688</c:v>
                </c:pt>
              </c:numCache>
            </c:numRef>
          </c:yVal>
          <c:smooth val="0"/>
          <c:extLst>
            <c:ext xmlns:c16="http://schemas.microsoft.com/office/drawing/2014/chart" uri="{C3380CC4-5D6E-409C-BE32-E72D297353CC}">
              <c16:uniqueId val="{00000003-AC98-4824-BDFD-DA88AFBD42FC}"/>
            </c:ext>
          </c:extLst>
        </c:ser>
        <c:dLbls>
          <c:showLegendKey val="0"/>
          <c:showVal val="0"/>
          <c:showCatName val="0"/>
          <c:showSerName val="0"/>
          <c:showPercent val="0"/>
          <c:showBubbleSize val="0"/>
        </c:dLbls>
        <c:axId val="177466368"/>
        <c:axId val="177464448"/>
      </c:scatterChart>
      <c:valAx>
        <c:axId val="177427584"/>
        <c:scaling>
          <c:orientation val="minMax"/>
        </c:scaling>
        <c:delete val="0"/>
        <c:axPos val="b"/>
        <c:title>
          <c:tx>
            <c:rich>
              <a:bodyPr/>
              <a:lstStyle/>
              <a:p>
                <a:pPr>
                  <a:defRPr sz="1200">
                    <a:latin typeface="+mn-lt"/>
                  </a:defRPr>
                </a:pPr>
                <a:r>
                  <a:rPr lang="en-US" sz="1200">
                    <a:latin typeface="+mn-lt"/>
                  </a:rPr>
                  <a:t>Time, days</a:t>
                </a:r>
              </a:p>
            </c:rich>
          </c:tx>
          <c:overlay val="0"/>
        </c:title>
        <c:numFmt formatCode="General" sourceLinked="1"/>
        <c:majorTickMark val="out"/>
        <c:minorTickMark val="none"/>
        <c:tickLblPos val="nextTo"/>
        <c:spPr>
          <a:ln w="9525">
            <a:solidFill>
              <a:schemeClr val="tx1"/>
            </a:solidFill>
          </a:ln>
        </c:spPr>
        <c:txPr>
          <a:bodyPr rot="0" vert="horz"/>
          <a:lstStyle/>
          <a:p>
            <a:pPr>
              <a:defRPr sz="1200" b="0" i="0" u="none" strike="noStrike" baseline="0">
                <a:solidFill>
                  <a:srgbClr val="000000"/>
                </a:solidFill>
                <a:latin typeface="Calibri"/>
                <a:ea typeface="Calibri"/>
                <a:cs typeface="Calibri"/>
              </a:defRPr>
            </a:pPr>
            <a:endParaRPr lang="en-US"/>
          </a:p>
        </c:txPr>
        <c:crossAx val="177429504"/>
        <c:crosses val="autoZero"/>
        <c:crossBetween val="midCat"/>
      </c:valAx>
      <c:valAx>
        <c:axId val="177429504"/>
        <c:scaling>
          <c:orientation val="minMax"/>
        </c:scaling>
        <c:delete val="0"/>
        <c:axPos val="l"/>
        <c:title>
          <c:tx>
            <c:rich>
              <a:bodyPr/>
              <a:lstStyle/>
              <a:p>
                <a:pPr>
                  <a:defRPr sz="1200">
                    <a:latin typeface="+mn-lt"/>
                  </a:defRPr>
                </a:pPr>
                <a:r>
                  <a:rPr lang="en-US" sz="1200">
                    <a:latin typeface="+mn-lt"/>
                  </a:rPr>
                  <a:t>Tracer concentration, mole fraction</a:t>
                </a:r>
              </a:p>
            </c:rich>
          </c:tx>
          <c:overlay val="0"/>
        </c:title>
        <c:numFmt formatCode="General" sourceLinked="1"/>
        <c:majorTickMark val="out"/>
        <c:minorTickMark val="none"/>
        <c:tickLblPos val="nextTo"/>
        <c:spPr>
          <a:ln w="9525">
            <a:solidFill>
              <a:schemeClr val="tx1"/>
            </a:solidFill>
          </a:ln>
        </c:spPr>
        <c:txPr>
          <a:bodyPr rot="0" vert="horz"/>
          <a:lstStyle/>
          <a:p>
            <a:pPr>
              <a:defRPr sz="1100" b="0" i="0" u="none" strike="noStrike" baseline="0">
                <a:solidFill>
                  <a:srgbClr val="000000"/>
                </a:solidFill>
                <a:latin typeface="Calibri"/>
                <a:ea typeface="Calibri"/>
                <a:cs typeface="Calibri"/>
              </a:defRPr>
            </a:pPr>
            <a:endParaRPr lang="en-US"/>
          </a:p>
        </c:txPr>
        <c:crossAx val="177427584"/>
        <c:crosses val="autoZero"/>
        <c:crossBetween val="midCat"/>
      </c:valAx>
      <c:valAx>
        <c:axId val="177464448"/>
        <c:scaling>
          <c:orientation val="minMax"/>
        </c:scaling>
        <c:delete val="0"/>
        <c:axPos val="r"/>
        <c:title>
          <c:tx>
            <c:rich>
              <a:bodyPr rot="-5400000" vert="horz"/>
              <a:lstStyle/>
              <a:p>
                <a:pPr>
                  <a:defRPr sz="1200">
                    <a:latin typeface="+mn-lt"/>
                  </a:defRPr>
                </a:pPr>
                <a:r>
                  <a:rPr lang="en-US" sz="1200">
                    <a:latin typeface="+mn-lt"/>
                  </a:rPr>
                  <a:t>Production</a:t>
                </a:r>
                <a:r>
                  <a:rPr lang="en-US" sz="1200" baseline="0">
                    <a:latin typeface="+mn-lt"/>
                  </a:rPr>
                  <a:t> rate, bbl/day</a:t>
                </a:r>
                <a:endParaRPr lang="en-US" sz="1200">
                  <a:latin typeface="+mn-lt"/>
                </a:endParaRPr>
              </a:p>
            </c:rich>
          </c:tx>
          <c:layout>
            <c:manualLayout>
              <c:xMode val="edge"/>
              <c:yMode val="edge"/>
              <c:x val="0.9611047249230833"/>
              <c:y val="0.24586820145239693"/>
            </c:manualLayout>
          </c:layout>
          <c:overlay val="0"/>
        </c:title>
        <c:numFmt formatCode="General" sourceLinked="1"/>
        <c:majorTickMark val="out"/>
        <c:minorTickMark val="none"/>
        <c:tickLblPos val="nextTo"/>
        <c:spPr>
          <a:ln w="9525">
            <a:solidFill>
              <a:schemeClr val="tx1"/>
            </a:solidFill>
          </a:ln>
        </c:spPr>
        <c:txPr>
          <a:bodyPr/>
          <a:lstStyle/>
          <a:p>
            <a:pPr>
              <a:defRPr sz="1050"/>
            </a:pPr>
            <a:endParaRPr lang="en-US"/>
          </a:p>
        </c:txPr>
        <c:crossAx val="177466368"/>
        <c:crosses val="max"/>
        <c:crossBetween val="midCat"/>
      </c:valAx>
      <c:valAx>
        <c:axId val="177466368"/>
        <c:scaling>
          <c:orientation val="minMax"/>
        </c:scaling>
        <c:delete val="1"/>
        <c:axPos val="b"/>
        <c:numFmt formatCode="General" sourceLinked="1"/>
        <c:majorTickMark val="out"/>
        <c:minorTickMark val="none"/>
        <c:tickLblPos val="nextTo"/>
        <c:crossAx val="177464448"/>
        <c:crosses val="autoZero"/>
        <c:crossBetween val="midCat"/>
      </c:valAx>
      <c:spPr>
        <a:noFill/>
        <a:ln w="9525">
          <a:solidFill>
            <a:schemeClr val="tx1"/>
          </a:solidFill>
        </a:ln>
      </c:spPr>
    </c:plotArea>
    <c:legend>
      <c:legendPos val="r"/>
      <c:layout>
        <c:manualLayout>
          <c:xMode val="edge"/>
          <c:yMode val="edge"/>
          <c:x val="0.55081838728492272"/>
          <c:y val="9.6859336606720803E-2"/>
          <c:w val="0.29503244386118405"/>
          <c:h val="0.38083379112494659"/>
        </c:manualLayout>
      </c:layout>
      <c:overlay val="0"/>
      <c:txPr>
        <a:bodyPr/>
        <a:lstStyle/>
        <a:p>
          <a:pPr>
            <a:defRPr sz="1100" b="0" i="0" u="none" strike="noStrike" baseline="0">
              <a:solidFill>
                <a:srgbClr val="000000"/>
              </a:solidFill>
              <a:latin typeface="Calibri"/>
              <a:ea typeface="Calibri"/>
              <a:cs typeface="Calibri"/>
            </a:defRPr>
          </a:pPr>
          <a:endParaRPr lang="en-US"/>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21591571886847"/>
          <c:y val="3.9222972689717292E-2"/>
          <c:w val="0.80275499416739571"/>
          <c:h val="0.82251139029754761"/>
        </c:manualLayout>
      </c:layout>
      <c:scatterChart>
        <c:scatterStyle val="lineMarker"/>
        <c:varyColors val="0"/>
        <c:ser>
          <c:idx val="0"/>
          <c:order val="0"/>
          <c:tx>
            <c:v>0.1 ft</c:v>
          </c:tx>
          <c:spPr>
            <a:ln w="12700">
              <a:solidFill>
                <a:schemeClr val="tx1"/>
              </a:solidFill>
              <a:prstDash val="solid"/>
            </a:ln>
          </c:spPr>
          <c:marker>
            <c:symbol val="none"/>
          </c:marker>
          <c:xVal>
            <c:numRef>
              <c:f>'Figure 13'!$A$18:$A$52</c:f>
              <c:numCache>
                <c:formatCode>General</c:formatCode>
                <c:ptCount val="35"/>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numCache>
            </c:numRef>
          </c:xVal>
          <c:yVal>
            <c:numRef>
              <c:f>'Figure 13'!$C$18:$C$52</c:f>
              <c:numCache>
                <c:formatCode>0.00E+00</c:formatCode>
                <c:ptCount val="35"/>
                <c:pt idx="0" formatCode="General">
                  <c:v>0</c:v>
                </c:pt>
                <c:pt idx="1">
                  <c:v>4.2566036029000003E-8</c:v>
                </c:pt>
                <c:pt idx="2">
                  <c:v>1.1305190128E-5</c:v>
                </c:pt>
                <c:pt idx="3" formatCode="General">
                  <c:v>2.1767505676999999E-4</c:v>
                </c:pt>
                <c:pt idx="4" formatCode="General">
                  <c:v>1.0167926084E-3</c:v>
                </c:pt>
                <c:pt idx="5" formatCode="General">
                  <c:v>2.0199050195999998E-3</c:v>
                </c:pt>
                <c:pt idx="6" formatCode="General">
                  <c:v>2.3318892344999999E-3</c:v>
                </c:pt>
                <c:pt idx="7" formatCode="General">
                  <c:v>1.9179137889000001E-3</c:v>
                </c:pt>
                <c:pt idx="8" formatCode="General">
                  <c:v>1.3022284256E-3</c:v>
                </c:pt>
                <c:pt idx="9" formatCode="General">
                  <c:v>8.0811697990000001E-4</c:v>
                </c:pt>
                <c:pt idx="10" formatCode="General">
                  <c:v>4.8167319619000002E-4</c:v>
                </c:pt>
                <c:pt idx="11" formatCode="General">
                  <c:v>2.7702216174999998E-4</c:v>
                </c:pt>
                <c:pt idx="12" formatCode="General">
                  <c:v>1.5157408779000001E-4</c:v>
                </c:pt>
                <c:pt idx="13">
                  <c:v>7.8007826232E-5</c:v>
                </c:pt>
                <c:pt idx="14">
                  <c:v>3.7648103898000002E-5</c:v>
                </c:pt>
                <c:pt idx="15">
                  <c:v>1.7088095774000001E-5</c:v>
                </c:pt>
                <c:pt idx="16">
                  <c:v>7.3351502579000004E-6</c:v>
                </c:pt>
                <c:pt idx="17">
                  <c:v>2.9966490729E-6</c:v>
                </c:pt>
                <c:pt idx="18">
                  <c:v>1.1723775514999999E-6</c:v>
                </c:pt>
                <c:pt idx="19">
                  <c:v>4.4176758252000002E-7</c:v>
                </c:pt>
                <c:pt idx="20">
                  <c:v>1.6115627943E-7</c:v>
                </c:pt>
                <c:pt idx="21">
                  <c:v>5.7171455126000001E-8</c:v>
                </c:pt>
                <c:pt idx="22">
                  <c:v>1.9798632067000001E-8</c:v>
                </c:pt>
                <c:pt idx="23">
                  <c:v>6.7123258062999999E-9</c:v>
                </c:pt>
                <c:pt idx="24">
                  <c:v>2.2308170865999998E-9</c:v>
                </c:pt>
                <c:pt idx="25">
                  <c:v>7.2475331291999995E-10</c:v>
                </c:pt>
                <c:pt idx="26">
                  <c:v>2.2629156881999999E-10</c:v>
                </c:pt>
                <c:pt idx="27">
                  <c:v>6.2493711594999996E-11</c:v>
                </c:pt>
                <c:pt idx="28">
                  <c:v>1.0379736133000001E-11</c:v>
                </c:pt>
                <c:pt idx="29" formatCode="General">
                  <c:v>0</c:v>
                </c:pt>
                <c:pt idx="30" formatCode="General">
                  <c:v>0</c:v>
                </c:pt>
                <c:pt idx="31" formatCode="General">
                  <c:v>0</c:v>
                </c:pt>
                <c:pt idx="32" formatCode="General">
                  <c:v>0</c:v>
                </c:pt>
                <c:pt idx="33" formatCode="General">
                  <c:v>0</c:v>
                </c:pt>
                <c:pt idx="34" formatCode="General">
                  <c:v>0</c:v>
                </c:pt>
              </c:numCache>
            </c:numRef>
          </c:yVal>
          <c:smooth val="0"/>
          <c:extLst>
            <c:ext xmlns:c16="http://schemas.microsoft.com/office/drawing/2014/chart" uri="{C3380CC4-5D6E-409C-BE32-E72D297353CC}">
              <c16:uniqueId val="{00000000-A9BB-470D-8C9A-2176D74824C8}"/>
            </c:ext>
          </c:extLst>
        </c:ser>
        <c:ser>
          <c:idx val="1"/>
          <c:order val="1"/>
          <c:tx>
            <c:v>0.5 ft</c:v>
          </c:tx>
          <c:spPr>
            <a:ln w="12700">
              <a:solidFill>
                <a:schemeClr val="tx1"/>
              </a:solidFill>
              <a:prstDash val="lgDashDot"/>
            </a:ln>
          </c:spPr>
          <c:marker>
            <c:symbol val="none"/>
          </c:marker>
          <c:xVal>
            <c:numRef>
              <c:f>'Figure 13'!$A$18:$A$52</c:f>
              <c:numCache>
                <c:formatCode>General</c:formatCode>
                <c:ptCount val="35"/>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numCache>
            </c:numRef>
          </c:xVal>
          <c:yVal>
            <c:numRef>
              <c:f>'Figure 13'!$D$18:$D$52</c:f>
              <c:numCache>
                <c:formatCode>0.00E+00</c:formatCode>
                <c:ptCount val="35"/>
                <c:pt idx="0">
                  <c:v>6.1261490325E-10</c:v>
                </c:pt>
                <c:pt idx="1">
                  <c:v>4.5871870498000004E-6</c:v>
                </c:pt>
                <c:pt idx="2" formatCode="General">
                  <c:v>1.1710445688E-4</c:v>
                </c:pt>
                <c:pt idx="3" formatCode="General">
                  <c:v>5.4043205455000002E-4</c:v>
                </c:pt>
                <c:pt idx="4" formatCode="General">
                  <c:v>1.1347496184E-3</c:v>
                </c:pt>
                <c:pt idx="5" formatCode="General">
                  <c:v>1.5537921572E-3</c:v>
                </c:pt>
                <c:pt idx="6" formatCode="General">
                  <c:v>1.6492066206000001E-3</c:v>
                </c:pt>
                <c:pt idx="7" formatCode="General">
                  <c:v>1.4915565262E-3</c:v>
                </c:pt>
                <c:pt idx="8" formatCode="General">
                  <c:v>1.2159539619000001E-3</c:v>
                </c:pt>
                <c:pt idx="9" formatCode="General">
                  <c:v>9.2533015413000003E-4</c:v>
                </c:pt>
                <c:pt idx="10" formatCode="General">
                  <c:v>6.7214824958000002E-4</c:v>
                </c:pt>
                <c:pt idx="11" formatCode="General">
                  <c:v>4.7285511390999997E-4</c:v>
                </c:pt>
                <c:pt idx="12" formatCode="General">
                  <c:v>3.2529013697000001E-4</c:v>
                </c:pt>
                <c:pt idx="13" formatCode="General">
                  <c:v>2.2024822829E-4</c:v>
                </c:pt>
                <c:pt idx="14" formatCode="General">
                  <c:v>1.4742367783999999E-4</c:v>
                </c:pt>
                <c:pt idx="15">
                  <c:v>9.7845797426999998E-5</c:v>
                </c:pt>
                <c:pt idx="16">
                  <c:v>6.4526298955999996E-5</c:v>
                </c:pt>
                <c:pt idx="17">
                  <c:v>4.2342988309000003E-5</c:v>
                </c:pt>
                <c:pt idx="18">
                  <c:v>2.7677859179999999E-5</c:v>
                </c:pt>
                <c:pt idx="19">
                  <c:v>1.8035718312999999E-5</c:v>
                </c:pt>
                <c:pt idx="20">
                  <c:v>1.1723434909000001E-5</c:v>
                </c:pt>
                <c:pt idx="21">
                  <c:v>7.6053220254999997E-6</c:v>
                </c:pt>
                <c:pt idx="22">
                  <c:v>4.9261343520000002E-6</c:v>
                </c:pt>
                <c:pt idx="23">
                  <c:v>3.1869626582000002E-6</c:v>
                </c:pt>
                <c:pt idx="24">
                  <c:v>2.0599757136000001E-6</c:v>
                </c:pt>
                <c:pt idx="25">
                  <c:v>1.3306785149E-6</c:v>
                </c:pt>
                <c:pt idx="26">
                  <c:v>8.5921794835E-7</c:v>
                </c:pt>
                <c:pt idx="27">
                  <c:v>5.5466352933000002E-7</c:v>
                </c:pt>
                <c:pt idx="28">
                  <c:v>3.5802625574999998E-7</c:v>
                </c:pt>
                <c:pt idx="29">
                  <c:v>2.3110526115E-7</c:v>
                </c:pt>
                <c:pt idx="30">
                  <c:v>1.4919521618E-7</c:v>
                </c:pt>
                <c:pt idx="31">
                  <c:v>9.6334495935999997E-8</c:v>
                </c:pt>
                <c:pt idx="32">
                  <c:v>6.2217864638000004E-8</c:v>
                </c:pt>
                <c:pt idx="33">
                  <c:v>4.0195093476000002E-8</c:v>
                </c:pt>
                <c:pt idx="34">
                  <c:v>2.5975751328E-8</c:v>
                </c:pt>
              </c:numCache>
            </c:numRef>
          </c:yVal>
          <c:smooth val="0"/>
          <c:extLst>
            <c:ext xmlns:c16="http://schemas.microsoft.com/office/drawing/2014/chart" uri="{C3380CC4-5D6E-409C-BE32-E72D297353CC}">
              <c16:uniqueId val="{00000001-A9BB-470D-8C9A-2176D74824C8}"/>
            </c:ext>
          </c:extLst>
        </c:ser>
        <c:ser>
          <c:idx val="2"/>
          <c:order val="2"/>
          <c:tx>
            <c:v>1 ft</c:v>
          </c:tx>
          <c:spPr>
            <a:ln w="12700">
              <a:solidFill>
                <a:schemeClr val="tx1"/>
              </a:solidFill>
              <a:prstDash val="sysDot"/>
            </a:ln>
          </c:spPr>
          <c:marker>
            <c:symbol val="none"/>
          </c:marker>
          <c:xVal>
            <c:numRef>
              <c:f>'Figure 13'!$A$18:$A$52</c:f>
              <c:numCache>
                <c:formatCode>General</c:formatCode>
                <c:ptCount val="35"/>
                <c:pt idx="0">
                  <c:v>7.2730329999999288E-3</c:v>
                </c:pt>
                <c:pt idx="1">
                  <c:v>2.7273013999999929E-2</c:v>
                </c:pt>
                <c:pt idx="2">
                  <c:v>4.7272994999999929E-2</c:v>
                </c:pt>
                <c:pt idx="3">
                  <c:v>6.7272975999999929E-2</c:v>
                </c:pt>
                <c:pt idx="4">
                  <c:v>8.7272956999999929E-2</c:v>
                </c:pt>
                <c:pt idx="5">
                  <c:v>0.107273057</c:v>
                </c:pt>
                <c:pt idx="6">
                  <c:v>0.127273038</c:v>
                </c:pt>
                <c:pt idx="7">
                  <c:v>0.14727301900000001</c:v>
                </c:pt>
                <c:pt idx="8">
                  <c:v>0.16727300000000001</c:v>
                </c:pt>
                <c:pt idx="9">
                  <c:v>0.18727298100000001</c:v>
                </c:pt>
                <c:pt idx="10">
                  <c:v>0.20727296200000001</c:v>
                </c:pt>
                <c:pt idx="11">
                  <c:v>0.22727294300000001</c:v>
                </c:pt>
                <c:pt idx="12">
                  <c:v>0.24727304300000008</c:v>
                </c:pt>
                <c:pt idx="13">
                  <c:v>0.26727302400000008</c:v>
                </c:pt>
                <c:pt idx="14">
                  <c:v>0.28727300500000008</c:v>
                </c:pt>
                <c:pt idx="15">
                  <c:v>0.30727298600000008</c:v>
                </c:pt>
                <c:pt idx="16">
                  <c:v>0.32727296700000008</c:v>
                </c:pt>
                <c:pt idx="17">
                  <c:v>0.34727294800000008</c:v>
                </c:pt>
                <c:pt idx="18">
                  <c:v>0.36727304799999994</c:v>
                </c:pt>
                <c:pt idx="19">
                  <c:v>0.38727302899999994</c:v>
                </c:pt>
                <c:pt idx="20">
                  <c:v>0.40727300999999994</c:v>
                </c:pt>
                <c:pt idx="21">
                  <c:v>0.42727299000000007</c:v>
                </c:pt>
                <c:pt idx="22">
                  <c:v>0.44727297100000007</c:v>
                </c:pt>
                <c:pt idx="23">
                  <c:v>0.46727295200000007</c:v>
                </c:pt>
                <c:pt idx="24">
                  <c:v>0.48727305199999993</c:v>
                </c:pt>
                <c:pt idx="25">
                  <c:v>0.50727303299999993</c:v>
                </c:pt>
                <c:pt idx="26">
                  <c:v>0.52727301399999993</c:v>
                </c:pt>
                <c:pt idx="27">
                  <c:v>0.54727299499999993</c:v>
                </c:pt>
                <c:pt idx="28">
                  <c:v>0.56727297599999993</c:v>
                </c:pt>
                <c:pt idx="29">
                  <c:v>0.58727295699999993</c:v>
                </c:pt>
                <c:pt idx="30">
                  <c:v>0.607273057</c:v>
                </c:pt>
                <c:pt idx="31">
                  <c:v>0.627273038</c:v>
                </c:pt>
                <c:pt idx="32">
                  <c:v>0.64727301900000001</c:v>
                </c:pt>
                <c:pt idx="33">
                  <c:v>0.66727300000000001</c:v>
                </c:pt>
                <c:pt idx="34">
                  <c:v>0.68727298099999978</c:v>
                </c:pt>
              </c:numCache>
            </c:numRef>
          </c:xVal>
          <c:yVal>
            <c:numRef>
              <c:f>'Figure 13'!$E$18:$E$52</c:f>
              <c:numCache>
                <c:formatCode>0.00E+00</c:formatCode>
                <c:ptCount val="35"/>
                <c:pt idx="0">
                  <c:v>3.1484026408000002E-7</c:v>
                </c:pt>
                <c:pt idx="1">
                  <c:v>7.4761715949999994E-5</c:v>
                </c:pt>
                <c:pt idx="2" formatCode="General">
                  <c:v>3.7036847789000002E-4</c:v>
                </c:pt>
                <c:pt idx="3" formatCode="General">
                  <c:v>7.5254746480000003E-4</c:v>
                </c:pt>
                <c:pt idx="4" formatCode="General">
                  <c:v>1.0479567572E-3</c:v>
                </c:pt>
                <c:pt idx="5" formatCode="General">
                  <c:v>1.1930596083E-3</c:v>
                </c:pt>
                <c:pt idx="6" formatCode="General">
                  <c:v>1.2031019431999999E-3</c:v>
                </c:pt>
                <c:pt idx="7" formatCode="General">
                  <c:v>1.1213188991E-3</c:v>
                </c:pt>
                <c:pt idx="8" formatCode="General">
                  <c:v>9.902713354699999E-4</c:v>
                </c:pt>
                <c:pt idx="9" formatCode="General">
                  <c:v>8.4172823699000003E-4</c:v>
                </c:pt>
                <c:pt idx="10" formatCode="General">
                  <c:v>6.9581920980000005E-4</c:v>
                </c:pt>
                <c:pt idx="11" formatCode="General">
                  <c:v>5.6346668861999999E-4</c:v>
                </c:pt>
                <c:pt idx="12" formatCode="General">
                  <c:v>4.493202141E-4</c:v>
                </c:pt>
                <c:pt idx="13" formatCode="General">
                  <c:v>3.5419865162E-4</c:v>
                </c:pt>
                <c:pt idx="14" formatCode="General">
                  <c:v>2.7683621737999999E-4</c:v>
                </c:pt>
                <c:pt idx="15" formatCode="General">
                  <c:v>2.1501629089E-4</c:v>
                </c:pt>
                <c:pt idx="16" formatCode="General">
                  <c:v>1.6624906857000001E-4</c:v>
                </c:pt>
                <c:pt idx="17" formatCode="General">
                  <c:v>1.2813985812999999E-4</c:v>
                </c:pt>
                <c:pt idx="18">
                  <c:v>9.8562675703000005E-5</c:v>
                </c:pt>
                <c:pt idx="19">
                  <c:v>7.5719304731999994E-5</c:v>
                </c:pt>
                <c:pt idx="20">
                  <c:v>5.8136312873000003E-5</c:v>
                </c:pt>
                <c:pt idx="21">
                  <c:v>4.4632473872999999E-5</c:v>
                </c:pt>
                <c:pt idx="22">
                  <c:v>3.427532647E-5</c:v>
                </c:pt>
                <c:pt idx="23">
                  <c:v>2.6336811061000001E-5</c:v>
                </c:pt>
                <c:pt idx="24">
                  <c:v>2.0252900867000001E-5</c:v>
                </c:pt>
                <c:pt idx="25">
                  <c:v>1.5589053874000001E-5</c:v>
                </c:pt>
                <c:pt idx="26">
                  <c:v>1.2011762919000001E-5</c:v>
                </c:pt>
                <c:pt idx="27">
                  <c:v>9.2657064670000008E-6</c:v>
                </c:pt>
                <c:pt idx="28">
                  <c:v>7.1557187766000003E-6</c:v>
                </c:pt>
                <c:pt idx="29">
                  <c:v>5.5327313930000003E-6</c:v>
                </c:pt>
                <c:pt idx="30">
                  <c:v>4.2829110497999996E-6</c:v>
                </c:pt>
                <c:pt idx="31">
                  <c:v>3.3193091439999998E-6</c:v>
                </c:pt>
                <c:pt idx="32">
                  <c:v>2.5754766284E-6</c:v>
                </c:pt>
                <c:pt idx="33">
                  <c:v>2.0005891201000002E-6</c:v>
                </c:pt>
                <c:pt idx="34">
                  <c:v>1.5557354799999999E-6</c:v>
                </c:pt>
              </c:numCache>
            </c:numRef>
          </c:yVal>
          <c:smooth val="0"/>
          <c:extLst>
            <c:ext xmlns:c16="http://schemas.microsoft.com/office/drawing/2014/chart" uri="{C3380CC4-5D6E-409C-BE32-E72D297353CC}">
              <c16:uniqueId val="{00000002-A9BB-470D-8C9A-2176D74824C8}"/>
            </c:ext>
          </c:extLst>
        </c:ser>
        <c:dLbls>
          <c:showLegendKey val="0"/>
          <c:showVal val="0"/>
          <c:showCatName val="0"/>
          <c:showSerName val="0"/>
          <c:showPercent val="0"/>
          <c:showBubbleSize val="0"/>
        </c:dLbls>
        <c:axId val="177559040"/>
        <c:axId val="177560960"/>
      </c:scatterChart>
      <c:valAx>
        <c:axId val="177559040"/>
        <c:scaling>
          <c:orientation val="minMax"/>
        </c:scaling>
        <c:delete val="0"/>
        <c:axPos val="b"/>
        <c:title>
          <c:tx>
            <c:rich>
              <a:bodyPr/>
              <a:lstStyle/>
              <a:p>
                <a:pPr>
                  <a:defRPr sz="1200">
                    <a:latin typeface="+mn-lt"/>
                  </a:defRPr>
                </a:pPr>
                <a:r>
                  <a:rPr lang="en-US" sz="1200">
                    <a:latin typeface="+mn-lt"/>
                  </a:rPr>
                  <a:t>Time, days</a:t>
                </a:r>
              </a:p>
            </c:rich>
          </c:tx>
          <c:overlay val="0"/>
        </c:title>
        <c:numFmt formatCode="General" sourceLinked="1"/>
        <c:majorTickMark val="out"/>
        <c:minorTickMark val="none"/>
        <c:tickLblPos val="nextTo"/>
        <c:spPr>
          <a:ln w="9525">
            <a:solidFill>
              <a:schemeClr val="tx1"/>
            </a:solidFill>
          </a:ln>
        </c:spPr>
        <c:txPr>
          <a:bodyPr rot="0" vert="horz"/>
          <a:lstStyle/>
          <a:p>
            <a:pPr>
              <a:defRPr sz="1200" b="0" i="0" u="none" strike="noStrike" baseline="0">
                <a:solidFill>
                  <a:srgbClr val="000000"/>
                </a:solidFill>
                <a:latin typeface="Calibri"/>
                <a:ea typeface="Calibri"/>
                <a:cs typeface="Calibri"/>
              </a:defRPr>
            </a:pPr>
            <a:endParaRPr lang="en-US"/>
          </a:p>
        </c:txPr>
        <c:crossAx val="177560960"/>
        <c:crosses val="autoZero"/>
        <c:crossBetween val="midCat"/>
      </c:valAx>
      <c:valAx>
        <c:axId val="177560960"/>
        <c:scaling>
          <c:orientation val="minMax"/>
        </c:scaling>
        <c:delete val="0"/>
        <c:axPos val="l"/>
        <c:title>
          <c:tx>
            <c:rich>
              <a:bodyPr/>
              <a:lstStyle/>
              <a:p>
                <a:pPr>
                  <a:defRPr sz="1200">
                    <a:latin typeface="+mn-lt"/>
                  </a:defRPr>
                </a:pPr>
                <a:r>
                  <a:rPr lang="en-US" sz="1200">
                    <a:latin typeface="+mn-lt"/>
                  </a:rPr>
                  <a:t>Tracer concentration, mole fraction</a:t>
                </a:r>
              </a:p>
            </c:rich>
          </c:tx>
          <c:overlay val="0"/>
        </c:title>
        <c:numFmt formatCode="General" sourceLinked="1"/>
        <c:majorTickMark val="out"/>
        <c:minorTickMark val="none"/>
        <c:tickLblPos val="nextTo"/>
        <c:spPr>
          <a:ln w="9525">
            <a:solidFill>
              <a:schemeClr val="tx1"/>
            </a:solidFill>
          </a:ln>
        </c:spPr>
        <c:txPr>
          <a:bodyPr rot="0" vert="horz"/>
          <a:lstStyle/>
          <a:p>
            <a:pPr>
              <a:defRPr sz="1100" b="0" i="0" u="none" strike="noStrike" baseline="0">
                <a:solidFill>
                  <a:srgbClr val="000000"/>
                </a:solidFill>
                <a:latin typeface="Calibri"/>
                <a:ea typeface="Calibri"/>
                <a:cs typeface="Calibri"/>
              </a:defRPr>
            </a:pPr>
            <a:endParaRPr lang="en-US"/>
          </a:p>
        </c:txPr>
        <c:crossAx val="177559040"/>
        <c:crosses val="autoZero"/>
        <c:crossBetween val="midCat"/>
      </c:valAx>
      <c:spPr>
        <a:noFill/>
        <a:ln w="9525">
          <a:solidFill>
            <a:schemeClr val="tx1"/>
          </a:solidFill>
        </a:ln>
      </c:spPr>
    </c:plotArea>
    <c:legend>
      <c:legendPos val="r"/>
      <c:layout>
        <c:manualLayout>
          <c:xMode val="edge"/>
          <c:yMode val="edge"/>
          <c:x val="0.63499434966462531"/>
          <c:y val="6.5008017751346389E-2"/>
          <c:w val="0.25496682706328377"/>
          <c:h val="0.32416910921154313"/>
        </c:manualLayout>
      </c:layout>
      <c:overlay val="0"/>
      <c:txPr>
        <a:bodyPr/>
        <a:lstStyle/>
        <a:p>
          <a:pPr>
            <a:defRPr sz="1100" b="0" i="0" u="none" strike="noStrike" baseline="0">
              <a:solidFill>
                <a:srgbClr val="000000"/>
              </a:solidFill>
              <a:latin typeface="Calibri"/>
              <a:ea typeface="Calibri"/>
              <a:cs typeface="Calibri"/>
            </a:defRPr>
          </a:pPr>
          <a:endParaRPr lang="en-US"/>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72934739089818"/>
          <c:y val="0.15925273925724046"/>
          <c:w val="0.8089552100478965"/>
          <c:h val="0.75945467662274402"/>
        </c:manualLayout>
      </c:layout>
      <c:scatterChart>
        <c:scatterStyle val="smoothMarker"/>
        <c:varyColors val="0"/>
        <c:ser>
          <c:idx val="1"/>
          <c:order val="0"/>
          <c:tx>
            <c:v>Smaller Grid in Y Direction</c:v>
          </c:tx>
          <c:spPr>
            <a:ln w="19050" cap="rnd">
              <a:solidFill>
                <a:schemeClr val="tx1"/>
              </a:solidFill>
              <a:prstDash val="lgDash"/>
              <a:round/>
            </a:ln>
            <a:effectLst/>
          </c:spPr>
          <c:marker>
            <c:symbol val="none"/>
          </c:marker>
          <c:xVal>
            <c:numRef>
              <c:f>'Output data'!$B$5:$B$233</c:f>
              <c:numCache>
                <c:formatCode>General</c:formatCode>
                <c:ptCount val="229"/>
                <c:pt idx="0">
                  <c:v>2.4000198840000002</c:v>
                </c:pt>
                <c:pt idx="1">
                  <c:v>2.4000298980000001</c:v>
                </c:pt>
                <c:pt idx="2">
                  <c:v>2.4000799659999998</c:v>
                </c:pt>
                <c:pt idx="3">
                  <c:v>2.4001300329999999</c:v>
                </c:pt>
                <c:pt idx="4">
                  <c:v>2.4001801010000001</c:v>
                </c:pt>
                <c:pt idx="5">
                  <c:v>2.4002299310000001</c:v>
                </c:pt>
                <c:pt idx="6">
                  <c:v>2.4002799989999999</c:v>
                </c:pt>
                <c:pt idx="7">
                  <c:v>2.4003300670000001</c:v>
                </c:pt>
                <c:pt idx="8">
                  <c:v>2.400379896</c:v>
                </c:pt>
                <c:pt idx="9">
                  <c:v>2.4004299640000002</c:v>
                </c:pt>
                <c:pt idx="10">
                  <c:v>2.4004800319999999</c:v>
                </c:pt>
                <c:pt idx="11">
                  <c:v>2.4005301000000001</c:v>
                </c:pt>
                <c:pt idx="12">
                  <c:v>2.4005799290000001</c:v>
                </c:pt>
                <c:pt idx="13">
                  <c:v>2.4006299969999998</c:v>
                </c:pt>
                <c:pt idx="14">
                  <c:v>2.400680065</c:v>
                </c:pt>
                <c:pt idx="15">
                  <c:v>2.400729895</c:v>
                </c:pt>
                <c:pt idx="16">
                  <c:v>2.400780439</c:v>
                </c:pt>
                <c:pt idx="17">
                  <c:v>2.4008469579999998</c:v>
                </c:pt>
                <c:pt idx="18">
                  <c:v>2.4009518619999999</c:v>
                </c:pt>
                <c:pt idx="19">
                  <c:v>2.4011216160000002</c:v>
                </c:pt>
                <c:pt idx="20">
                  <c:v>2.4013493060000002</c:v>
                </c:pt>
                <c:pt idx="21">
                  <c:v>2.4016489980000002</c:v>
                </c:pt>
                <c:pt idx="22">
                  <c:v>2.402030468</c:v>
                </c:pt>
                <c:pt idx="23">
                  <c:v>2.4025220869999999</c:v>
                </c:pt>
                <c:pt idx="24">
                  <c:v>2.403146505</c:v>
                </c:pt>
                <c:pt idx="25">
                  <c:v>2.4039461609999999</c:v>
                </c:pt>
                <c:pt idx="26">
                  <c:v>2.4049699310000001</c:v>
                </c:pt>
                <c:pt idx="27">
                  <c:v>2.4062871929999998</c:v>
                </c:pt>
                <c:pt idx="28">
                  <c:v>2.4079859259999998</c:v>
                </c:pt>
                <c:pt idx="29">
                  <c:v>2.4101905819999998</c:v>
                </c:pt>
                <c:pt idx="30">
                  <c:v>2.4130618570000002</c:v>
                </c:pt>
                <c:pt idx="31">
                  <c:v>2.4168167110000001</c:v>
                </c:pt>
                <c:pt idx="32">
                  <c:v>2.420000076</c:v>
                </c:pt>
                <c:pt idx="33">
                  <c:v>2.4207451340000001</c:v>
                </c:pt>
                <c:pt idx="34">
                  <c:v>2.426233292</c:v>
                </c:pt>
                <c:pt idx="35">
                  <c:v>2.4339308740000001</c:v>
                </c:pt>
                <c:pt idx="36">
                  <c:v>2.4400000569999998</c:v>
                </c:pt>
                <c:pt idx="37">
                  <c:v>2.4418778419999998</c:v>
                </c:pt>
                <c:pt idx="38">
                  <c:v>2.4537999629999998</c:v>
                </c:pt>
                <c:pt idx="39">
                  <c:v>2.460000038</c:v>
                </c:pt>
                <c:pt idx="40">
                  <c:v>2.464668036</c:v>
                </c:pt>
                <c:pt idx="41">
                  <c:v>2.4800000190000002</c:v>
                </c:pt>
                <c:pt idx="42">
                  <c:v>2.4953062529999999</c:v>
                </c:pt>
                <c:pt idx="43">
                  <c:v>2.5</c:v>
                </c:pt>
                <c:pt idx="44">
                  <c:v>2.5167438980000001</c:v>
                </c:pt>
                <c:pt idx="45">
                  <c:v>2.5199999809999998</c:v>
                </c:pt>
                <c:pt idx="46">
                  <c:v>2.539999962</c:v>
                </c:pt>
                <c:pt idx="47">
                  <c:v>2.5599999430000002</c:v>
                </c:pt>
                <c:pt idx="48">
                  <c:v>2.5644283290000001</c:v>
                </c:pt>
                <c:pt idx="49">
                  <c:v>2.579999924</c:v>
                </c:pt>
                <c:pt idx="50">
                  <c:v>2.5912199020000002</c:v>
                </c:pt>
                <c:pt idx="51">
                  <c:v>2.5999999049999998</c:v>
                </c:pt>
                <c:pt idx="52">
                  <c:v>2.619999886</c:v>
                </c:pt>
                <c:pt idx="53">
                  <c:v>2.6400001049999999</c:v>
                </c:pt>
                <c:pt idx="54">
                  <c:v>2.653389454</c:v>
                </c:pt>
                <c:pt idx="55">
                  <c:v>2.6600000860000002</c:v>
                </c:pt>
                <c:pt idx="56">
                  <c:v>2.6800000669999999</c:v>
                </c:pt>
                <c:pt idx="57">
                  <c:v>2.6872072220000001</c:v>
                </c:pt>
                <c:pt idx="58">
                  <c:v>2.7000000480000002</c:v>
                </c:pt>
                <c:pt idx="59">
                  <c:v>2.7200000289999999</c:v>
                </c:pt>
                <c:pt idx="60">
                  <c:v>2.7400000100000002</c:v>
                </c:pt>
                <c:pt idx="61">
                  <c:v>2.7562205789999998</c:v>
                </c:pt>
                <c:pt idx="62">
                  <c:v>2.7599999899999998</c:v>
                </c:pt>
                <c:pt idx="63">
                  <c:v>2.7799999710000001</c:v>
                </c:pt>
                <c:pt idx="64">
                  <c:v>2.787034512</c:v>
                </c:pt>
                <c:pt idx="65">
                  <c:v>2.7999999519999998</c:v>
                </c:pt>
                <c:pt idx="66">
                  <c:v>2.8199999330000001</c:v>
                </c:pt>
                <c:pt idx="67">
                  <c:v>2.8399999139999998</c:v>
                </c:pt>
                <c:pt idx="68">
                  <c:v>2.8599998950000001</c:v>
                </c:pt>
                <c:pt idx="69">
                  <c:v>2.8693568709999999</c:v>
                </c:pt>
                <c:pt idx="70">
                  <c:v>2.880000114</c:v>
                </c:pt>
                <c:pt idx="71">
                  <c:v>2.9000000950000002</c:v>
                </c:pt>
                <c:pt idx="72">
                  <c:v>2.920000076</c:v>
                </c:pt>
                <c:pt idx="73">
                  <c:v>2.9400000569999998</c:v>
                </c:pt>
                <c:pt idx="74">
                  <c:v>2.960000038</c:v>
                </c:pt>
                <c:pt idx="75">
                  <c:v>2.9719984529999999</c:v>
                </c:pt>
                <c:pt idx="76">
                  <c:v>2.9800000190000002</c:v>
                </c:pt>
                <c:pt idx="77">
                  <c:v>3</c:v>
                </c:pt>
                <c:pt idx="78">
                  <c:v>3.0199999809999998</c:v>
                </c:pt>
                <c:pt idx="79">
                  <c:v>3.039999962</c:v>
                </c:pt>
                <c:pt idx="80">
                  <c:v>3.0599999430000002</c:v>
                </c:pt>
                <c:pt idx="81">
                  <c:v>3.071759701</c:v>
                </c:pt>
                <c:pt idx="82">
                  <c:v>3.079999924</c:v>
                </c:pt>
                <c:pt idx="83">
                  <c:v>3.0999999049999998</c:v>
                </c:pt>
                <c:pt idx="84">
                  <c:v>3.119999886</c:v>
                </c:pt>
                <c:pt idx="85">
                  <c:v>3.1400001049999999</c:v>
                </c:pt>
                <c:pt idx="86">
                  <c:v>3.1600000860000002</c:v>
                </c:pt>
                <c:pt idx="87">
                  <c:v>3.172664165</c:v>
                </c:pt>
                <c:pt idx="88">
                  <c:v>3.1800000669999999</c:v>
                </c:pt>
                <c:pt idx="89">
                  <c:v>3.2000000480000002</c:v>
                </c:pt>
                <c:pt idx="90">
                  <c:v>3.2200000289999999</c:v>
                </c:pt>
                <c:pt idx="91">
                  <c:v>3.2400000100000002</c:v>
                </c:pt>
                <c:pt idx="92">
                  <c:v>3.2599999899999998</c:v>
                </c:pt>
                <c:pt idx="93">
                  <c:v>3.2719485760000002</c:v>
                </c:pt>
                <c:pt idx="94">
                  <c:v>3.2799999710000001</c:v>
                </c:pt>
                <c:pt idx="95">
                  <c:v>3.2999999519999998</c:v>
                </c:pt>
                <c:pt idx="96">
                  <c:v>3.3199999330000001</c:v>
                </c:pt>
                <c:pt idx="97">
                  <c:v>3.3399999139999998</c:v>
                </c:pt>
                <c:pt idx="98">
                  <c:v>3.3599998950000001</c:v>
                </c:pt>
                <c:pt idx="99">
                  <c:v>3.372851372</c:v>
                </c:pt>
                <c:pt idx="100">
                  <c:v>3.380000114</c:v>
                </c:pt>
                <c:pt idx="101">
                  <c:v>3.4000000950000002</c:v>
                </c:pt>
                <c:pt idx="102">
                  <c:v>3.420000076</c:v>
                </c:pt>
                <c:pt idx="103">
                  <c:v>3.4400000569999998</c:v>
                </c:pt>
                <c:pt idx="104">
                  <c:v>3.460000038</c:v>
                </c:pt>
                <c:pt idx="105">
                  <c:v>3.4729640480000001</c:v>
                </c:pt>
                <c:pt idx="106">
                  <c:v>3.4800000190000002</c:v>
                </c:pt>
                <c:pt idx="107">
                  <c:v>3.5</c:v>
                </c:pt>
                <c:pt idx="108">
                  <c:v>3.5199999809999998</c:v>
                </c:pt>
                <c:pt idx="109">
                  <c:v>3.539999962</c:v>
                </c:pt>
                <c:pt idx="110">
                  <c:v>3.5599999430000002</c:v>
                </c:pt>
                <c:pt idx="111">
                  <c:v>3.5730319019999999</c:v>
                </c:pt>
                <c:pt idx="112">
                  <c:v>3.579999924</c:v>
                </c:pt>
                <c:pt idx="113">
                  <c:v>3.5999999049999998</c:v>
                </c:pt>
                <c:pt idx="114">
                  <c:v>3.619999886</c:v>
                </c:pt>
                <c:pt idx="115">
                  <c:v>3.6400001049999999</c:v>
                </c:pt>
                <c:pt idx="116">
                  <c:v>3.6600000860000002</c:v>
                </c:pt>
                <c:pt idx="117">
                  <c:v>3.6731419559999998</c:v>
                </c:pt>
                <c:pt idx="118">
                  <c:v>3.6800000669999999</c:v>
                </c:pt>
                <c:pt idx="119">
                  <c:v>3.7000000480000002</c:v>
                </c:pt>
                <c:pt idx="120">
                  <c:v>3.7200000289999999</c:v>
                </c:pt>
                <c:pt idx="121">
                  <c:v>3.7400000100000002</c:v>
                </c:pt>
                <c:pt idx="122">
                  <c:v>3.7599999899999998</c:v>
                </c:pt>
                <c:pt idx="123">
                  <c:v>3.7732129099999998</c:v>
                </c:pt>
                <c:pt idx="124">
                  <c:v>3.7799999710000001</c:v>
                </c:pt>
                <c:pt idx="125">
                  <c:v>3.7999999519999998</c:v>
                </c:pt>
                <c:pt idx="126">
                  <c:v>3.8199999330000001</c:v>
                </c:pt>
                <c:pt idx="127">
                  <c:v>3.8399999139999998</c:v>
                </c:pt>
                <c:pt idx="128">
                  <c:v>3.8599998950000001</c:v>
                </c:pt>
                <c:pt idx="129">
                  <c:v>3.8732872010000001</c:v>
                </c:pt>
                <c:pt idx="130">
                  <c:v>3.880000114</c:v>
                </c:pt>
                <c:pt idx="131">
                  <c:v>3.9000000950000002</c:v>
                </c:pt>
                <c:pt idx="132">
                  <c:v>3.920000076</c:v>
                </c:pt>
                <c:pt idx="133">
                  <c:v>3.9400000569999998</c:v>
                </c:pt>
                <c:pt idx="134">
                  <c:v>3.960000038</c:v>
                </c:pt>
                <c:pt idx="135">
                  <c:v>3.973344564</c:v>
                </c:pt>
                <c:pt idx="136">
                  <c:v>3.9800000190000002</c:v>
                </c:pt>
                <c:pt idx="137">
                  <c:v>4</c:v>
                </c:pt>
                <c:pt idx="138">
                  <c:v>4.0371189120000004</c:v>
                </c:pt>
                <c:pt idx="139">
                  <c:v>4.3091006280000004</c:v>
                </c:pt>
                <c:pt idx="140">
                  <c:v>4.7025651929999999</c:v>
                </c:pt>
                <c:pt idx="141">
                  <c:v>5.2357239719999997</c:v>
                </c:pt>
                <c:pt idx="142">
                  <c:v>5.9632811549999998</c:v>
                </c:pt>
                <c:pt idx="143">
                  <c:v>6</c:v>
                </c:pt>
                <c:pt idx="144">
                  <c:v>6.7062301639999999</c:v>
                </c:pt>
                <c:pt idx="145">
                  <c:v>8.0010299679999992</c:v>
                </c:pt>
                <c:pt idx="146">
                  <c:v>9.8412790300000008</c:v>
                </c:pt>
                <c:pt idx="147">
                  <c:v>12.48896313</c:v>
                </c:pt>
                <c:pt idx="148">
                  <c:v>16.375473020000001</c:v>
                </c:pt>
                <c:pt idx="149">
                  <c:v>22.1602478</c:v>
                </c:pt>
                <c:pt idx="150">
                  <c:v>30.906864169999999</c:v>
                </c:pt>
                <c:pt idx="151">
                  <c:v>37</c:v>
                </c:pt>
                <c:pt idx="152">
                  <c:v>41.542003630000004</c:v>
                </c:pt>
                <c:pt idx="153">
                  <c:v>60.166198729999998</c:v>
                </c:pt>
                <c:pt idx="154">
                  <c:v>65</c:v>
                </c:pt>
                <c:pt idx="155">
                  <c:v>89.313697809999994</c:v>
                </c:pt>
                <c:pt idx="156">
                  <c:v>96</c:v>
                </c:pt>
                <c:pt idx="157">
                  <c:v>126</c:v>
                </c:pt>
                <c:pt idx="158">
                  <c:v>157</c:v>
                </c:pt>
                <c:pt idx="159">
                  <c:v>165.94226069999999</c:v>
                </c:pt>
                <c:pt idx="160">
                  <c:v>187</c:v>
                </c:pt>
                <c:pt idx="161">
                  <c:v>205.94226069999999</c:v>
                </c:pt>
                <c:pt idx="162">
                  <c:v>218</c:v>
                </c:pt>
                <c:pt idx="163">
                  <c:v>245.94226069999999</c:v>
                </c:pt>
                <c:pt idx="164">
                  <c:v>249</c:v>
                </c:pt>
                <c:pt idx="165">
                  <c:v>279</c:v>
                </c:pt>
                <c:pt idx="166">
                  <c:v>310</c:v>
                </c:pt>
                <c:pt idx="167">
                  <c:v>318.04101559999998</c:v>
                </c:pt>
                <c:pt idx="168">
                  <c:v>340</c:v>
                </c:pt>
                <c:pt idx="169">
                  <c:v>358.04101559999998</c:v>
                </c:pt>
                <c:pt idx="170">
                  <c:v>371</c:v>
                </c:pt>
                <c:pt idx="171">
                  <c:v>398.04101559999998</c:v>
                </c:pt>
                <c:pt idx="172">
                  <c:v>402</c:v>
                </c:pt>
                <c:pt idx="173">
                  <c:v>431</c:v>
                </c:pt>
                <c:pt idx="174">
                  <c:v>441</c:v>
                </c:pt>
                <c:pt idx="175">
                  <c:v>462</c:v>
                </c:pt>
                <c:pt idx="176">
                  <c:v>492</c:v>
                </c:pt>
                <c:pt idx="177">
                  <c:v>523</c:v>
                </c:pt>
                <c:pt idx="178">
                  <c:v>543</c:v>
                </c:pt>
                <c:pt idx="179">
                  <c:v>553</c:v>
                </c:pt>
                <c:pt idx="180">
                  <c:v>593</c:v>
                </c:pt>
                <c:pt idx="181">
                  <c:v>643</c:v>
                </c:pt>
                <c:pt idx="182">
                  <c:v>693</c:v>
                </c:pt>
                <c:pt idx="183">
                  <c:v>737</c:v>
                </c:pt>
                <c:pt idx="184">
                  <c:v>785.71173099999999</c:v>
                </c:pt>
                <c:pt idx="185">
                  <c:v>835.71173099999999</c:v>
                </c:pt>
                <c:pt idx="186">
                  <c:v>885.71173099999999</c:v>
                </c:pt>
                <c:pt idx="187">
                  <c:v>918</c:v>
                </c:pt>
                <c:pt idx="188">
                  <c:v>925.71173099999999</c:v>
                </c:pt>
                <c:pt idx="189">
                  <c:v>975.71173099999999</c:v>
                </c:pt>
                <c:pt idx="190">
                  <c:v>1025.7116699999999</c:v>
                </c:pt>
                <c:pt idx="191">
                  <c:v>1075.7116699999999</c:v>
                </c:pt>
                <c:pt idx="192">
                  <c:v>1125.7116699999999</c:v>
                </c:pt>
                <c:pt idx="193">
                  <c:v>1175.7116699999999</c:v>
                </c:pt>
                <c:pt idx="194">
                  <c:v>1225.7116699999999</c:v>
                </c:pt>
                <c:pt idx="195">
                  <c:v>1275.7116699999999</c:v>
                </c:pt>
                <c:pt idx="196">
                  <c:v>1283</c:v>
                </c:pt>
                <c:pt idx="197">
                  <c:v>1323</c:v>
                </c:pt>
                <c:pt idx="198">
                  <c:v>1373</c:v>
                </c:pt>
                <c:pt idx="199">
                  <c:v>1423</c:v>
                </c:pt>
                <c:pt idx="200">
                  <c:v>1473</c:v>
                </c:pt>
                <c:pt idx="201">
                  <c:v>1523</c:v>
                </c:pt>
                <c:pt idx="202">
                  <c:v>1573</c:v>
                </c:pt>
                <c:pt idx="203">
                  <c:v>1623</c:v>
                </c:pt>
                <c:pt idx="204">
                  <c:v>1648</c:v>
                </c:pt>
                <c:pt idx="205">
                  <c:v>1668</c:v>
                </c:pt>
                <c:pt idx="206">
                  <c:v>1718</c:v>
                </c:pt>
                <c:pt idx="207">
                  <c:v>1768</c:v>
                </c:pt>
                <c:pt idx="208">
                  <c:v>1818</c:v>
                </c:pt>
                <c:pt idx="209">
                  <c:v>1868</c:v>
                </c:pt>
                <c:pt idx="210">
                  <c:v>1918</c:v>
                </c:pt>
                <c:pt idx="211">
                  <c:v>1968</c:v>
                </c:pt>
                <c:pt idx="212">
                  <c:v>2014</c:v>
                </c:pt>
                <c:pt idx="213">
                  <c:v>2064</c:v>
                </c:pt>
                <c:pt idx="214">
                  <c:v>2114</c:v>
                </c:pt>
                <c:pt idx="215">
                  <c:v>2164</c:v>
                </c:pt>
                <c:pt idx="216">
                  <c:v>2214</c:v>
                </c:pt>
                <c:pt idx="217">
                  <c:v>2264</c:v>
                </c:pt>
                <c:pt idx="218">
                  <c:v>2314</c:v>
                </c:pt>
                <c:pt idx="219">
                  <c:v>2364</c:v>
                </c:pt>
                <c:pt idx="220">
                  <c:v>2379</c:v>
                </c:pt>
                <c:pt idx="221">
                  <c:v>2409</c:v>
                </c:pt>
                <c:pt idx="222">
                  <c:v>2459</c:v>
                </c:pt>
                <c:pt idx="223">
                  <c:v>2509</c:v>
                </c:pt>
                <c:pt idx="224">
                  <c:v>2559</c:v>
                </c:pt>
                <c:pt idx="225">
                  <c:v>2609</c:v>
                </c:pt>
                <c:pt idx="226">
                  <c:v>2659</c:v>
                </c:pt>
                <c:pt idx="227">
                  <c:v>2709</c:v>
                </c:pt>
                <c:pt idx="228">
                  <c:v>2744</c:v>
                </c:pt>
              </c:numCache>
            </c:numRef>
          </c:xVal>
          <c:yVal>
            <c:numRef>
              <c:f>'Output data'!$E$5:$E$233</c:f>
              <c:numCache>
                <c:formatCode>General</c:formatCode>
                <c:ptCount val="229"/>
                <c:pt idx="0">
                  <c:v>1.3139208313000001E-3</c:v>
                </c:pt>
                <c:pt idx="1">
                  <c:v>1.9787964411E-3</c:v>
                </c:pt>
                <c:pt idx="2">
                  <c:v>2.0201969891999998E-3</c:v>
                </c:pt>
                <c:pt idx="3">
                  <c:v>2.0584708545E-3</c:v>
                </c:pt>
                <c:pt idx="4">
                  <c:v>2.0935330540000001E-3</c:v>
                </c:pt>
                <c:pt idx="5">
                  <c:v>2.1258550696000001E-3</c:v>
                </c:pt>
                <c:pt idx="6">
                  <c:v>2.1561176981999999E-3</c:v>
                </c:pt>
                <c:pt idx="7">
                  <c:v>2.1851644851E-3</c:v>
                </c:pt>
                <c:pt idx="8">
                  <c:v>2.2138345520999999E-3</c:v>
                </c:pt>
                <c:pt idx="9">
                  <c:v>2.2421169559999998E-3</c:v>
                </c:pt>
                <c:pt idx="10">
                  <c:v>2.2703697905E-3</c:v>
                </c:pt>
                <c:pt idx="11">
                  <c:v>2.2989662830000001E-3</c:v>
                </c:pt>
                <c:pt idx="12">
                  <c:v>2.3283078334999999E-3</c:v>
                </c:pt>
                <c:pt idx="13">
                  <c:v>2.3588363546999998E-3</c:v>
                </c:pt>
                <c:pt idx="14">
                  <c:v>2.3913441692E-3</c:v>
                </c:pt>
                <c:pt idx="15">
                  <c:v>2.4262580555000001E-3</c:v>
                </c:pt>
                <c:pt idx="16">
                  <c:v>2.4645854719E-3</c:v>
                </c:pt>
                <c:pt idx="17">
                  <c:v>2.5193684268999999E-3</c:v>
                </c:pt>
                <c:pt idx="18">
                  <c:v>2.6103253476000001E-3</c:v>
                </c:pt>
                <c:pt idx="19">
                  <c:v>2.7641919441999999E-3</c:v>
                </c:pt>
                <c:pt idx="20">
                  <c:v>2.9789786786000002E-3</c:v>
                </c:pt>
                <c:pt idx="21">
                  <c:v>3.2666616607E-3</c:v>
                </c:pt>
                <c:pt idx="22">
                  <c:v>3.6327857523999999E-3</c:v>
                </c:pt>
                <c:pt idx="23">
                  <c:v>4.0940004401000003E-3</c:v>
                </c:pt>
                <c:pt idx="24">
                  <c:v>4.6578156761999997E-3</c:v>
                </c:pt>
                <c:pt idx="25">
                  <c:v>5.3494707680999997E-3</c:v>
                </c:pt>
                <c:pt idx="26">
                  <c:v>6.1978814191999999E-3</c:v>
                </c:pt>
                <c:pt idx="27">
                  <c:v>7.2282711043999996E-3</c:v>
                </c:pt>
                <c:pt idx="28">
                  <c:v>8.4749786183000008E-3</c:v>
                </c:pt>
                <c:pt idx="29">
                  <c:v>9.9929291754999993E-3</c:v>
                </c:pt>
                <c:pt idx="30">
                  <c:v>1.1858092621E-2</c:v>
                </c:pt>
                <c:pt idx="31">
                  <c:v>1.4192834495999999E-2</c:v>
                </c:pt>
                <c:pt idx="32">
                  <c:v>1.6393283381999999E-2</c:v>
                </c:pt>
                <c:pt idx="33">
                  <c:v>1.6907291487000001E-2</c:v>
                </c:pt>
                <c:pt idx="34">
                  <c:v>2.0228628068999999E-2</c:v>
                </c:pt>
                <c:pt idx="35">
                  <c:v>2.4737183005E-2</c:v>
                </c:pt>
                <c:pt idx="36">
                  <c:v>2.8776494786000001E-2</c:v>
                </c:pt>
                <c:pt idx="37">
                  <c:v>2.9893821104999999E-2</c:v>
                </c:pt>
                <c:pt idx="38">
                  <c:v>3.8661584258000002E-2</c:v>
                </c:pt>
                <c:pt idx="39">
                  <c:v>4.3977346271000001E-2</c:v>
                </c:pt>
                <c:pt idx="40">
                  <c:v>4.8004701734000003E-2</c:v>
                </c:pt>
                <c:pt idx="41">
                  <c:v>6.3546963036000007E-2</c:v>
                </c:pt>
                <c:pt idx="42">
                  <c:v>8.1066772342000007E-2</c:v>
                </c:pt>
                <c:pt idx="43">
                  <c:v>8.9420549572000005E-2</c:v>
                </c:pt>
                <c:pt idx="44">
                  <c:v>0.11349100619999999</c:v>
                </c:pt>
                <c:pt idx="45">
                  <c:v>0.11908140779</c:v>
                </c:pt>
                <c:pt idx="46">
                  <c:v>0.15164510906000001</c:v>
                </c:pt>
                <c:pt idx="47">
                  <c:v>0.18781574070000001</c:v>
                </c:pt>
                <c:pt idx="48">
                  <c:v>0.19598326087000001</c:v>
                </c:pt>
                <c:pt idx="49">
                  <c:v>0.21877905725999999</c:v>
                </c:pt>
                <c:pt idx="50">
                  <c:v>0.23306022584</c:v>
                </c:pt>
                <c:pt idx="51">
                  <c:v>0.24203763902</c:v>
                </c:pt>
                <c:pt idx="52">
                  <c:v>0.25972843169999998</c:v>
                </c:pt>
                <c:pt idx="53">
                  <c:v>0.27571269869999998</c:v>
                </c:pt>
                <c:pt idx="54">
                  <c:v>0.28275915979999999</c:v>
                </c:pt>
                <c:pt idx="55">
                  <c:v>0.28559058905000001</c:v>
                </c:pt>
                <c:pt idx="56">
                  <c:v>0.29052215814999999</c:v>
                </c:pt>
                <c:pt idx="57">
                  <c:v>0.29169896244999999</c:v>
                </c:pt>
                <c:pt idx="58">
                  <c:v>0.29263162612999999</c:v>
                </c:pt>
                <c:pt idx="59">
                  <c:v>0.29144343734</c:v>
                </c:pt>
                <c:pt idx="60">
                  <c:v>0.28754115105</c:v>
                </c:pt>
                <c:pt idx="61">
                  <c:v>0.28250509500999998</c:v>
                </c:pt>
                <c:pt idx="62">
                  <c:v>0.28099560738000001</c:v>
                </c:pt>
                <c:pt idx="63">
                  <c:v>0.27067625523</c:v>
                </c:pt>
                <c:pt idx="64">
                  <c:v>0.26653885841000002</c:v>
                </c:pt>
                <c:pt idx="65">
                  <c:v>0.25834935904</c:v>
                </c:pt>
                <c:pt idx="66">
                  <c:v>0.24313230813</c:v>
                </c:pt>
                <c:pt idx="67">
                  <c:v>0.22449806333</c:v>
                </c:pt>
                <c:pt idx="68">
                  <c:v>0.20407147706000001</c:v>
                </c:pt>
                <c:pt idx="69">
                  <c:v>0.19197495281999999</c:v>
                </c:pt>
                <c:pt idx="70">
                  <c:v>0.17768570781000001</c:v>
                </c:pt>
                <c:pt idx="71">
                  <c:v>0.15238891541999999</c:v>
                </c:pt>
                <c:pt idx="72">
                  <c:v>0.12581145763000001</c:v>
                </c:pt>
                <c:pt idx="73">
                  <c:v>0.10239630193</c:v>
                </c:pt>
                <c:pt idx="74">
                  <c:v>8.1182979047000003E-2</c:v>
                </c:pt>
                <c:pt idx="75">
                  <c:v>7.0229485630999997E-2</c:v>
                </c:pt>
                <c:pt idx="76">
                  <c:v>6.3426300882999997E-2</c:v>
                </c:pt>
                <c:pt idx="77">
                  <c:v>4.9050413071999997E-2</c:v>
                </c:pt>
                <c:pt idx="78">
                  <c:v>3.7745445967000003E-2</c:v>
                </c:pt>
                <c:pt idx="79">
                  <c:v>2.9019689187E-2</c:v>
                </c:pt>
                <c:pt idx="80">
                  <c:v>2.2413177416000001E-2</c:v>
                </c:pt>
                <c:pt idx="81">
                  <c:v>1.9368058071000002E-2</c:v>
                </c:pt>
                <c:pt idx="82">
                  <c:v>1.7474500462000001E-2</c:v>
                </c:pt>
                <c:pt idx="83">
                  <c:v>1.3849101960999999E-2</c:v>
                </c:pt>
                <c:pt idx="84">
                  <c:v>1.1214591563E-2</c:v>
                </c:pt>
                <c:pt idx="85">
                  <c:v>9.3294326215999993E-3</c:v>
                </c:pt>
                <c:pt idx="86">
                  <c:v>7.9881018027999993E-3</c:v>
                </c:pt>
                <c:pt idx="87">
                  <c:v>7.3635531589E-3</c:v>
                </c:pt>
                <c:pt idx="88">
                  <c:v>7.0439428090999998E-3</c:v>
                </c:pt>
                <c:pt idx="89">
                  <c:v>6.3788383267999998E-3</c:v>
                </c:pt>
                <c:pt idx="90">
                  <c:v>5.9130978771000002E-3</c:v>
                </c:pt>
                <c:pt idx="91">
                  <c:v>5.5831298232000004E-3</c:v>
                </c:pt>
                <c:pt idx="92">
                  <c:v>5.3493492304999999E-3</c:v>
                </c:pt>
                <c:pt idx="93">
                  <c:v>5.2432450465999996E-3</c:v>
                </c:pt>
                <c:pt idx="94">
                  <c:v>5.1798471250000004E-3</c:v>
                </c:pt>
                <c:pt idx="95">
                  <c:v>5.0565693526999998E-3</c:v>
                </c:pt>
                <c:pt idx="96">
                  <c:v>4.9640140496000004E-3</c:v>
                </c:pt>
                <c:pt idx="97">
                  <c:v>4.8928046598999998E-3</c:v>
                </c:pt>
                <c:pt idx="98">
                  <c:v>4.8369183204999998E-3</c:v>
                </c:pt>
                <c:pt idx="99">
                  <c:v>4.8074014485000004E-3</c:v>
                </c:pt>
                <c:pt idx="100">
                  <c:v>4.7914455644999998E-3</c:v>
                </c:pt>
                <c:pt idx="101">
                  <c:v>4.7533693723000002E-3</c:v>
                </c:pt>
                <c:pt idx="102">
                  <c:v>4.7206291929000003E-3</c:v>
                </c:pt>
                <c:pt idx="103">
                  <c:v>4.6916366554999997E-3</c:v>
                </c:pt>
                <c:pt idx="104">
                  <c:v>4.6652201563000002E-3</c:v>
                </c:pt>
                <c:pt idx="105">
                  <c:v>4.6494272538000004E-3</c:v>
                </c:pt>
                <c:pt idx="106">
                  <c:v>4.6404721214999998E-3</c:v>
                </c:pt>
                <c:pt idx="107">
                  <c:v>4.6168910338999997E-3</c:v>
                </c:pt>
                <c:pt idx="108">
                  <c:v>4.5940750278999996E-3</c:v>
                </c:pt>
                <c:pt idx="109">
                  <c:v>4.5716646126999997E-3</c:v>
                </c:pt>
                <c:pt idx="110">
                  <c:v>4.5494413935000004E-3</c:v>
                </c:pt>
                <c:pt idx="111">
                  <c:v>4.5353532769000001E-3</c:v>
                </c:pt>
                <c:pt idx="112">
                  <c:v>4.5273066498000003E-3</c:v>
                </c:pt>
                <c:pt idx="113">
                  <c:v>4.5052813366000003E-3</c:v>
                </c:pt>
                <c:pt idx="114">
                  <c:v>4.4831316917999997E-3</c:v>
                </c:pt>
                <c:pt idx="115">
                  <c:v>4.4607138260999999E-3</c:v>
                </c:pt>
                <c:pt idx="116">
                  <c:v>4.4380268082000003E-3</c:v>
                </c:pt>
                <c:pt idx="117">
                  <c:v>4.4232294895000003E-3</c:v>
                </c:pt>
                <c:pt idx="118">
                  <c:v>4.4150077738000001E-3</c:v>
                </c:pt>
                <c:pt idx="119">
                  <c:v>4.3914802371999998E-3</c:v>
                </c:pt>
                <c:pt idx="120">
                  <c:v>4.3675256892999996E-3</c:v>
                </c:pt>
                <c:pt idx="121">
                  <c:v>4.3430863879999997E-3</c:v>
                </c:pt>
                <c:pt idx="122">
                  <c:v>4.3181204237000004E-3</c:v>
                </c:pt>
                <c:pt idx="123">
                  <c:v>4.3015978299000002E-3</c:v>
                </c:pt>
                <c:pt idx="124">
                  <c:v>4.2926142924000002E-3</c:v>
                </c:pt>
                <c:pt idx="125">
                  <c:v>4.2665442451999998E-3</c:v>
                </c:pt>
                <c:pt idx="126">
                  <c:v>4.2398744262999999E-3</c:v>
                </c:pt>
                <c:pt idx="127">
                  <c:v>4.2126327753000004E-3</c:v>
                </c:pt>
                <c:pt idx="128">
                  <c:v>4.1848546825000001E-3</c:v>
                </c:pt>
                <c:pt idx="129">
                  <c:v>4.1663832963000002E-3</c:v>
                </c:pt>
                <c:pt idx="130">
                  <c:v>4.1565848513999996E-3</c:v>
                </c:pt>
                <c:pt idx="131">
                  <c:v>4.1278712451000002E-3</c:v>
                </c:pt>
                <c:pt idx="132">
                  <c:v>4.0987506508999997E-3</c:v>
                </c:pt>
                <c:pt idx="133">
                  <c:v>4.0692458860999998E-3</c:v>
                </c:pt>
                <c:pt idx="134">
                  <c:v>4.0394216776000001E-3</c:v>
                </c:pt>
                <c:pt idx="135">
                  <c:v>4.0196194313000004E-3</c:v>
                </c:pt>
                <c:pt idx="136">
                  <c:v>4.0093283168999997E-3</c:v>
                </c:pt>
                <c:pt idx="137">
                  <c:v>3.9790077135000001E-3</c:v>
                </c:pt>
                <c:pt idx="138">
                  <c:v>3.9250040427E-3</c:v>
                </c:pt>
                <c:pt idx="139">
                  <c:v>3.5266815684999999E-3</c:v>
                </c:pt>
                <c:pt idx="140">
                  <c:v>2.9356309678000001E-3</c:v>
                </c:pt>
                <c:pt idx="141">
                  <c:v>2.337314887E-3</c:v>
                </c:pt>
                <c:pt idx="142">
                  <c:v>1.760374289E-3</c:v>
                </c:pt>
                <c:pt idx="143">
                  <c:v>1.7391255824E-3</c:v>
                </c:pt>
                <c:pt idx="144">
                  <c:v>1.3724793680000001E-3</c:v>
                </c:pt>
                <c:pt idx="145">
                  <c:v>9.1961340512999997E-4</c:v>
                </c:pt>
                <c:pt idx="146">
                  <c:v>5.8344163699E-4</c:v>
                </c:pt>
                <c:pt idx="147">
                  <c:v>3.3830705796999999E-4</c:v>
                </c:pt>
                <c:pt idx="148">
                  <c:v>1.7455498164E-4</c:v>
                </c:pt>
                <c:pt idx="149" formatCode="0.00E+00">
                  <c:v>7.7444921771999996E-5</c:v>
                </c:pt>
                <c:pt idx="150" formatCode="0.00E+00">
                  <c:v>2.9038852517E-5</c:v>
                </c:pt>
                <c:pt idx="151" formatCode="0.00E+00">
                  <c:v>1.7259200830999998E-5</c:v>
                </c:pt>
                <c:pt idx="152" formatCode="0.00E+00">
                  <c:v>1.1029999769E-5</c:v>
                </c:pt>
                <c:pt idx="153" formatCode="0.00E+00">
                  <c:v>3.0538835745000002E-6</c:v>
                </c:pt>
                <c:pt idx="154" formatCode="0.00E+00">
                  <c:v>2.3123448044999999E-6</c:v>
                </c:pt>
                <c:pt idx="155" formatCode="0.00E+00">
                  <c:v>7.4242888103999999E-7</c:v>
                </c:pt>
                <c:pt idx="156" formatCode="0.00E+00">
                  <c:v>5.5471247151000001E-7</c:v>
                </c:pt>
                <c:pt idx="157" formatCode="0.00E+00">
                  <c:v>1.7864459777999999E-7</c:v>
                </c:pt>
                <c:pt idx="158" formatCode="0.00E+00">
                  <c:v>6.9492507747999996E-8</c:v>
                </c:pt>
                <c:pt idx="159" formatCode="0.00E+00">
                  <c:v>5.4658304549000001E-8</c:v>
                </c:pt>
                <c:pt idx="160" formatCode="0.00E+00">
                  <c:v>3.0189234224000002E-8</c:v>
                </c:pt>
                <c:pt idx="161" formatCode="0.00E+00">
                  <c:v>1.8796349365999999E-8</c:v>
                </c:pt>
                <c:pt idx="162" formatCode="0.00E+00">
                  <c:v>1.4151446236999999E-8</c:v>
                </c:pt>
                <c:pt idx="163" formatCode="0.00E+00">
                  <c:v>8.0732531770999996E-9</c:v>
                </c:pt>
                <c:pt idx="164" formatCode="0.00E+00">
                  <c:v>7.4985706533000001E-9</c:v>
                </c:pt>
                <c:pt idx="165" formatCode="0.00E+00">
                  <c:v>4.2578975901000001E-9</c:v>
                </c:pt>
                <c:pt idx="166" formatCode="0.00E+00">
                  <c:v>2.1287174245999999E-9</c:v>
                </c:pt>
                <c:pt idx="167" formatCode="0.00E+00">
                  <c:v>1.7652563855E-9</c:v>
                </c:pt>
                <c:pt idx="168" formatCode="0.00E+00">
                  <c:v>1.0934452233E-9</c:v>
                </c:pt>
                <c:pt idx="169" formatCode="0.00E+00">
                  <c:v>7.4957257067999995E-10</c:v>
                </c:pt>
                <c:pt idx="170" formatCode="0.00E+00">
                  <c:v>5.7752080894999996E-10</c:v>
                </c:pt>
                <c:pt idx="171" formatCode="0.00E+00">
                  <c:v>3.4328892505999999E-10</c:v>
                </c:pt>
                <c:pt idx="172" formatCode="0.00E+00">
                  <c:v>3.1668920263999999E-10</c:v>
                </c:pt>
                <c:pt idx="173" formatCode="0.00E+00">
                  <c:v>1.8860997485999999E-10</c:v>
                </c:pt>
                <c:pt idx="174" formatCode="0.00E+00">
                  <c:v>1.5971864108999999E-10</c:v>
                </c:pt>
                <c:pt idx="175" formatCode="0.00E+00">
                  <c:v>1.1381995346E-10</c:v>
                </c:pt>
                <c:pt idx="176" formatCode="0.00E+00">
                  <c:v>7.0276132136000001E-11</c:v>
                </c:pt>
                <c:pt idx="177" formatCode="0.00E+00">
                  <c:v>4.2288110512999998E-11</c:v>
                </c:pt>
                <c:pt idx="178" formatCode="0.00E+00">
                  <c:v>2.9552128106000001E-11</c:v>
                </c:pt>
                <c:pt idx="179" formatCode="0.00E+00">
                  <c:v>2.433326457E-11</c:v>
                </c:pt>
                <c:pt idx="180" formatCode="0.00E+00">
                  <c:v>6.1411882524000001E-12</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numCache>
            </c:numRef>
          </c:yVal>
          <c:smooth val="1"/>
          <c:extLst>
            <c:ext xmlns:c16="http://schemas.microsoft.com/office/drawing/2014/chart" uri="{C3380CC4-5D6E-409C-BE32-E72D297353CC}">
              <c16:uniqueId val="{00000000-4291-4F61-9B4E-BE96899E0C40}"/>
            </c:ext>
          </c:extLst>
        </c:ser>
        <c:ser>
          <c:idx val="0"/>
          <c:order val="1"/>
          <c:tx>
            <c:v>Base Case</c:v>
          </c:tx>
          <c:spPr>
            <a:ln w="19050" cap="rnd">
              <a:solidFill>
                <a:schemeClr val="tx1"/>
              </a:solidFill>
              <a:round/>
            </a:ln>
            <a:effectLst/>
          </c:spPr>
          <c:marker>
            <c:symbol val="none"/>
          </c:marker>
          <c:xVal>
            <c:numRef>
              <c:f>'Output data'!$K$5:$K$233</c:f>
              <c:numCache>
                <c:formatCode>General</c:formatCode>
                <c:ptCount val="229"/>
                <c:pt idx="0">
                  <c:v>2.4000101090000001</c:v>
                </c:pt>
                <c:pt idx="1">
                  <c:v>2.4000151160000001</c:v>
                </c:pt>
                <c:pt idx="2">
                  <c:v>2.4000399109999999</c:v>
                </c:pt>
                <c:pt idx="3">
                  <c:v>2.400064945</c:v>
                </c:pt>
                <c:pt idx="4">
                  <c:v>2.4000899790000001</c:v>
                </c:pt>
                <c:pt idx="5">
                  <c:v>2.4001150130000002</c:v>
                </c:pt>
                <c:pt idx="6">
                  <c:v>2.4001400469999998</c:v>
                </c:pt>
                <c:pt idx="7">
                  <c:v>2.4001650809999999</c:v>
                </c:pt>
                <c:pt idx="8">
                  <c:v>2.400190115</c:v>
                </c:pt>
                <c:pt idx="9">
                  <c:v>2.400214911</c:v>
                </c:pt>
                <c:pt idx="10">
                  <c:v>2.400239944</c:v>
                </c:pt>
                <c:pt idx="11">
                  <c:v>2.400264978</c:v>
                </c:pt>
                <c:pt idx="12">
                  <c:v>2.4002900120000001</c:v>
                </c:pt>
                <c:pt idx="13">
                  <c:v>2.4003150459999998</c:v>
                </c:pt>
                <c:pt idx="14">
                  <c:v>2.4003400799999999</c:v>
                </c:pt>
                <c:pt idx="15">
                  <c:v>2.400365114</c:v>
                </c:pt>
                <c:pt idx="16">
                  <c:v>2.4003899099999999</c:v>
                </c:pt>
                <c:pt idx="17">
                  <c:v>2.400414944</c:v>
                </c:pt>
                <c:pt idx="18">
                  <c:v>2.4004425999999999</c:v>
                </c:pt>
                <c:pt idx="19">
                  <c:v>2.4004917140000002</c:v>
                </c:pt>
                <c:pt idx="20">
                  <c:v>2.400581598</c:v>
                </c:pt>
                <c:pt idx="21">
                  <c:v>2.4007034300000001</c:v>
                </c:pt>
                <c:pt idx="22">
                  <c:v>2.4008600709999999</c:v>
                </c:pt>
                <c:pt idx="23">
                  <c:v>2.4010591510000001</c:v>
                </c:pt>
                <c:pt idx="24">
                  <c:v>2.401312828</c:v>
                </c:pt>
                <c:pt idx="25">
                  <c:v>2.40163517</c:v>
                </c:pt>
                <c:pt idx="26">
                  <c:v>2.4020447730000001</c:v>
                </c:pt>
                <c:pt idx="27">
                  <c:v>2.402565718</c:v>
                </c:pt>
                <c:pt idx="28">
                  <c:v>2.4032282829999998</c:v>
                </c:pt>
                <c:pt idx="29">
                  <c:v>2.4040727620000002</c:v>
                </c:pt>
                <c:pt idx="30">
                  <c:v>2.4051337240000001</c:v>
                </c:pt>
                <c:pt idx="31">
                  <c:v>2.4065053459999999</c:v>
                </c:pt>
                <c:pt idx="32">
                  <c:v>2.4083199500000001</c:v>
                </c:pt>
                <c:pt idx="33">
                  <c:v>2.410658121</c:v>
                </c:pt>
                <c:pt idx="34">
                  <c:v>2.4132668970000002</c:v>
                </c:pt>
                <c:pt idx="35">
                  <c:v>2.4168655870000002</c:v>
                </c:pt>
                <c:pt idx="36">
                  <c:v>2.420000076</c:v>
                </c:pt>
                <c:pt idx="37">
                  <c:v>2.4206488130000001</c:v>
                </c:pt>
                <c:pt idx="38">
                  <c:v>2.425779581</c:v>
                </c:pt>
                <c:pt idx="39">
                  <c:v>2.4335758689999998</c:v>
                </c:pt>
                <c:pt idx="40">
                  <c:v>2.4400000569999998</c:v>
                </c:pt>
                <c:pt idx="41">
                  <c:v>2.4415941239999999</c:v>
                </c:pt>
                <c:pt idx="42">
                  <c:v>2.45374918</c:v>
                </c:pt>
                <c:pt idx="43">
                  <c:v>2.460000038</c:v>
                </c:pt>
                <c:pt idx="44">
                  <c:v>2.4639668459999999</c:v>
                </c:pt>
                <c:pt idx="45">
                  <c:v>2.4800000190000002</c:v>
                </c:pt>
                <c:pt idx="46">
                  <c:v>2.5</c:v>
                </c:pt>
                <c:pt idx="47">
                  <c:v>2.5199999809999998</c:v>
                </c:pt>
                <c:pt idx="48">
                  <c:v>2.5376722809999999</c:v>
                </c:pt>
                <c:pt idx="49">
                  <c:v>2.539999962</c:v>
                </c:pt>
                <c:pt idx="50">
                  <c:v>2.5566787720000002</c:v>
                </c:pt>
                <c:pt idx="51">
                  <c:v>2.5599999430000002</c:v>
                </c:pt>
                <c:pt idx="52">
                  <c:v>2.579999924</c:v>
                </c:pt>
                <c:pt idx="53">
                  <c:v>2.5999999049999998</c:v>
                </c:pt>
                <c:pt idx="54">
                  <c:v>2.6076040269999998</c:v>
                </c:pt>
                <c:pt idx="55">
                  <c:v>2.619999886</c:v>
                </c:pt>
                <c:pt idx="56">
                  <c:v>2.6383390430000002</c:v>
                </c:pt>
                <c:pt idx="57">
                  <c:v>2.6400001049999999</c:v>
                </c:pt>
                <c:pt idx="58">
                  <c:v>2.6600000860000002</c:v>
                </c:pt>
                <c:pt idx="59">
                  <c:v>2.666860104</c:v>
                </c:pt>
                <c:pt idx="60">
                  <c:v>2.6800000669999999</c:v>
                </c:pt>
                <c:pt idx="61">
                  <c:v>2.7000000480000002</c:v>
                </c:pt>
                <c:pt idx="62">
                  <c:v>2.7200000289999999</c:v>
                </c:pt>
                <c:pt idx="63">
                  <c:v>2.735369205</c:v>
                </c:pt>
                <c:pt idx="64">
                  <c:v>2.7400000100000002</c:v>
                </c:pt>
                <c:pt idx="65">
                  <c:v>2.7599999899999998</c:v>
                </c:pt>
                <c:pt idx="66">
                  <c:v>2.7665665150000001</c:v>
                </c:pt>
                <c:pt idx="67">
                  <c:v>2.7799999710000001</c:v>
                </c:pt>
                <c:pt idx="68">
                  <c:v>2.7999999519999998</c:v>
                </c:pt>
                <c:pt idx="69">
                  <c:v>2.8199999330000001</c:v>
                </c:pt>
                <c:pt idx="70">
                  <c:v>2.8399999139999998</c:v>
                </c:pt>
                <c:pt idx="71">
                  <c:v>2.8599998950000001</c:v>
                </c:pt>
                <c:pt idx="72">
                  <c:v>2.880000114</c:v>
                </c:pt>
                <c:pt idx="73">
                  <c:v>2.8915042880000001</c:v>
                </c:pt>
                <c:pt idx="74">
                  <c:v>2.9000000950000002</c:v>
                </c:pt>
                <c:pt idx="75">
                  <c:v>2.920000076</c:v>
                </c:pt>
                <c:pt idx="76">
                  <c:v>2.9400000569999998</c:v>
                </c:pt>
                <c:pt idx="77">
                  <c:v>2.960000038</c:v>
                </c:pt>
                <c:pt idx="78">
                  <c:v>2.9800000190000002</c:v>
                </c:pt>
                <c:pt idx="79">
                  <c:v>2.9917826650000001</c:v>
                </c:pt>
                <c:pt idx="80">
                  <c:v>3</c:v>
                </c:pt>
                <c:pt idx="81">
                  <c:v>3.0199999809999998</c:v>
                </c:pt>
                <c:pt idx="82">
                  <c:v>3.039999962</c:v>
                </c:pt>
                <c:pt idx="83">
                  <c:v>3.0599999430000002</c:v>
                </c:pt>
                <c:pt idx="84">
                  <c:v>3.079999924</c:v>
                </c:pt>
                <c:pt idx="85">
                  <c:v>3.092095375</c:v>
                </c:pt>
                <c:pt idx="86">
                  <c:v>3.0999999049999998</c:v>
                </c:pt>
                <c:pt idx="87">
                  <c:v>3.119999886</c:v>
                </c:pt>
                <c:pt idx="88">
                  <c:v>3.1400001049999999</c:v>
                </c:pt>
                <c:pt idx="89">
                  <c:v>3.1600000860000002</c:v>
                </c:pt>
                <c:pt idx="90">
                  <c:v>3.1800000669999999</c:v>
                </c:pt>
                <c:pt idx="91">
                  <c:v>3.19246316</c:v>
                </c:pt>
                <c:pt idx="92">
                  <c:v>3.2000000480000002</c:v>
                </c:pt>
                <c:pt idx="93">
                  <c:v>3.2200000289999999</c:v>
                </c:pt>
                <c:pt idx="94">
                  <c:v>3.2400000100000002</c:v>
                </c:pt>
                <c:pt idx="95">
                  <c:v>3.2599999899999998</c:v>
                </c:pt>
                <c:pt idx="96">
                  <c:v>3.2799999710000001</c:v>
                </c:pt>
                <c:pt idx="97">
                  <c:v>3.2926530839999999</c:v>
                </c:pt>
                <c:pt idx="98">
                  <c:v>3.2999999519999998</c:v>
                </c:pt>
                <c:pt idx="99">
                  <c:v>3.3199999330000001</c:v>
                </c:pt>
                <c:pt idx="100">
                  <c:v>3.3399999139999998</c:v>
                </c:pt>
                <c:pt idx="101">
                  <c:v>3.3599998950000001</c:v>
                </c:pt>
                <c:pt idx="102">
                  <c:v>3.380000114</c:v>
                </c:pt>
                <c:pt idx="103">
                  <c:v>3.3931517599999999</c:v>
                </c:pt>
                <c:pt idx="104">
                  <c:v>3.4000000950000002</c:v>
                </c:pt>
                <c:pt idx="105">
                  <c:v>3.420000076</c:v>
                </c:pt>
                <c:pt idx="106">
                  <c:v>3.4400000569999998</c:v>
                </c:pt>
                <c:pt idx="107">
                  <c:v>3.460000038</c:v>
                </c:pt>
                <c:pt idx="108">
                  <c:v>3.4800000190000002</c:v>
                </c:pt>
                <c:pt idx="109">
                  <c:v>3.4931516650000001</c:v>
                </c:pt>
                <c:pt idx="110">
                  <c:v>3.5</c:v>
                </c:pt>
                <c:pt idx="111">
                  <c:v>3.5199999809999998</c:v>
                </c:pt>
                <c:pt idx="112">
                  <c:v>3.539999962</c:v>
                </c:pt>
                <c:pt idx="113">
                  <c:v>3.5599999430000002</c:v>
                </c:pt>
                <c:pt idx="114">
                  <c:v>3.579999924</c:v>
                </c:pt>
                <c:pt idx="115">
                  <c:v>3.5931515690000002</c:v>
                </c:pt>
                <c:pt idx="116">
                  <c:v>3.5999999049999998</c:v>
                </c:pt>
                <c:pt idx="117">
                  <c:v>3.619999886</c:v>
                </c:pt>
                <c:pt idx="118">
                  <c:v>3.6400001049999999</c:v>
                </c:pt>
                <c:pt idx="119">
                  <c:v>3.6600000860000002</c:v>
                </c:pt>
                <c:pt idx="120">
                  <c:v>3.6800000669999999</c:v>
                </c:pt>
                <c:pt idx="121">
                  <c:v>3.6931517120000001</c:v>
                </c:pt>
                <c:pt idx="122">
                  <c:v>3.7000000480000002</c:v>
                </c:pt>
                <c:pt idx="123">
                  <c:v>3.7200000289999999</c:v>
                </c:pt>
                <c:pt idx="124">
                  <c:v>3.7400000100000002</c:v>
                </c:pt>
                <c:pt idx="125">
                  <c:v>3.7599999899999998</c:v>
                </c:pt>
                <c:pt idx="126">
                  <c:v>3.7799999710000001</c:v>
                </c:pt>
                <c:pt idx="127">
                  <c:v>3.7932188509999998</c:v>
                </c:pt>
                <c:pt idx="128">
                  <c:v>3.7999999519999998</c:v>
                </c:pt>
                <c:pt idx="129">
                  <c:v>3.8199999330000001</c:v>
                </c:pt>
                <c:pt idx="130">
                  <c:v>3.8399999139999998</c:v>
                </c:pt>
                <c:pt idx="131">
                  <c:v>3.8599998950000001</c:v>
                </c:pt>
                <c:pt idx="132">
                  <c:v>3.880000114</c:v>
                </c:pt>
                <c:pt idx="133">
                  <c:v>3.8933019639999999</c:v>
                </c:pt>
                <c:pt idx="134">
                  <c:v>3.9000000950000002</c:v>
                </c:pt>
                <c:pt idx="135">
                  <c:v>3.920000076</c:v>
                </c:pt>
                <c:pt idx="136">
                  <c:v>3.9400000569999998</c:v>
                </c:pt>
                <c:pt idx="137">
                  <c:v>3.960000038</c:v>
                </c:pt>
                <c:pt idx="138">
                  <c:v>3.9800000190000002</c:v>
                </c:pt>
                <c:pt idx="139">
                  <c:v>3.9933454990000001</c:v>
                </c:pt>
                <c:pt idx="140">
                  <c:v>4</c:v>
                </c:pt>
                <c:pt idx="141">
                  <c:v>4.1196675300000001</c:v>
                </c:pt>
                <c:pt idx="142">
                  <c:v>4.4480781560000002</c:v>
                </c:pt>
                <c:pt idx="143">
                  <c:v>4.8804497720000004</c:v>
                </c:pt>
                <c:pt idx="144">
                  <c:v>5.4676570890000002</c:v>
                </c:pt>
                <c:pt idx="145">
                  <c:v>6</c:v>
                </c:pt>
                <c:pt idx="146">
                  <c:v>6.1186261179999999</c:v>
                </c:pt>
                <c:pt idx="147">
                  <c:v>7.0969057080000004</c:v>
                </c:pt>
                <c:pt idx="148">
                  <c:v>8.544638634</c:v>
                </c:pt>
                <c:pt idx="149">
                  <c:v>10.61848736</c:v>
                </c:pt>
                <c:pt idx="150">
                  <c:v>13.610384939999999</c:v>
                </c:pt>
                <c:pt idx="151">
                  <c:v>18.043046950000001</c:v>
                </c:pt>
                <c:pt idx="152">
                  <c:v>24.659643169999999</c:v>
                </c:pt>
                <c:pt idx="153">
                  <c:v>34.740394590000001</c:v>
                </c:pt>
                <c:pt idx="154">
                  <c:v>37</c:v>
                </c:pt>
                <c:pt idx="155">
                  <c:v>49.34087753</c:v>
                </c:pt>
                <c:pt idx="156">
                  <c:v>65</c:v>
                </c:pt>
                <c:pt idx="157">
                  <c:v>68.98625183</c:v>
                </c:pt>
                <c:pt idx="158">
                  <c:v>96</c:v>
                </c:pt>
                <c:pt idx="159">
                  <c:v>126</c:v>
                </c:pt>
                <c:pt idx="160">
                  <c:v>136</c:v>
                </c:pt>
                <c:pt idx="161">
                  <c:v>157</c:v>
                </c:pt>
                <c:pt idx="162">
                  <c:v>187</c:v>
                </c:pt>
                <c:pt idx="163">
                  <c:v>218</c:v>
                </c:pt>
                <c:pt idx="164">
                  <c:v>238</c:v>
                </c:pt>
                <c:pt idx="165">
                  <c:v>249</c:v>
                </c:pt>
                <c:pt idx="166">
                  <c:v>279</c:v>
                </c:pt>
                <c:pt idx="167">
                  <c:v>289</c:v>
                </c:pt>
                <c:pt idx="168">
                  <c:v>310</c:v>
                </c:pt>
                <c:pt idx="169">
                  <c:v>340</c:v>
                </c:pt>
                <c:pt idx="170">
                  <c:v>371</c:v>
                </c:pt>
                <c:pt idx="171">
                  <c:v>391</c:v>
                </c:pt>
                <c:pt idx="172">
                  <c:v>402</c:v>
                </c:pt>
                <c:pt idx="173">
                  <c:v>431</c:v>
                </c:pt>
                <c:pt idx="174">
                  <c:v>441</c:v>
                </c:pt>
                <c:pt idx="175">
                  <c:v>462</c:v>
                </c:pt>
                <c:pt idx="176">
                  <c:v>492</c:v>
                </c:pt>
                <c:pt idx="177">
                  <c:v>523</c:v>
                </c:pt>
                <c:pt idx="178">
                  <c:v>543</c:v>
                </c:pt>
                <c:pt idx="179">
                  <c:v>553</c:v>
                </c:pt>
                <c:pt idx="180">
                  <c:v>593</c:v>
                </c:pt>
                <c:pt idx="181">
                  <c:v>643</c:v>
                </c:pt>
                <c:pt idx="182">
                  <c:v>693</c:v>
                </c:pt>
                <c:pt idx="183">
                  <c:v>737</c:v>
                </c:pt>
                <c:pt idx="184">
                  <c:v>785.71136469999999</c:v>
                </c:pt>
                <c:pt idx="185">
                  <c:v>835.71136469999999</c:v>
                </c:pt>
                <c:pt idx="186">
                  <c:v>885.71136469999999</c:v>
                </c:pt>
                <c:pt idx="187">
                  <c:v>918</c:v>
                </c:pt>
                <c:pt idx="188">
                  <c:v>925.71136469999999</c:v>
                </c:pt>
                <c:pt idx="189">
                  <c:v>975.71136469999999</c:v>
                </c:pt>
                <c:pt idx="190">
                  <c:v>1025.7114260000001</c:v>
                </c:pt>
                <c:pt idx="191">
                  <c:v>1075.7114260000001</c:v>
                </c:pt>
                <c:pt idx="192">
                  <c:v>1125.7114260000001</c:v>
                </c:pt>
                <c:pt idx="193">
                  <c:v>1175.7114260000001</c:v>
                </c:pt>
                <c:pt idx="194">
                  <c:v>1225.7114260000001</c:v>
                </c:pt>
                <c:pt idx="195">
                  <c:v>1275.7114260000001</c:v>
                </c:pt>
                <c:pt idx="196">
                  <c:v>1283</c:v>
                </c:pt>
                <c:pt idx="197">
                  <c:v>1323</c:v>
                </c:pt>
                <c:pt idx="198">
                  <c:v>1373</c:v>
                </c:pt>
                <c:pt idx="199">
                  <c:v>1423</c:v>
                </c:pt>
                <c:pt idx="200">
                  <c:v>1473</c:v>
                </c:pt>
                <c:pt idx="201">
                  <c:v>1523</c:v>
                </c:pt>
                <c:pt idx="202">
                  <c:v>1573</c:v>
                </c:pt>
                <c:pt idx="203">
                  <c:v>1623</c:v>
                </c:pt>
                <c:pt idx="204">
                  <c:v>1648</c:v>
                </c:pt>
                <c:pt idx="205">
                  <c:v>1668</c:v>
                </c:pt>
                <c:pt idx="206">
                  <c:v>1718</c:v>
                </c:pt>
                <c:pt idx="207">
                  <c:v>1768</c:v>
                </c:pt>
                <c:pt idx="208">
                  <c:v>1818</c:v>
                </c:pt>
                <c:pt idx="209">
                  <c:v>1868</c:v>
                </c:pt>
                <c:pt idx="210">
                  <c:v>1918</c:v>
                </c:pt>
                <c:pt idx="211">
                  <c:v>1968</c:v>
                </c:pt>
                <c:pt idx="212">
                  <c:v>2014</c:v>
                </c:pt>
                <c:pt idx="213">
                  <c:v>2064</c:v>
                </c:pt>
                <c:pt idx="214">
                  <c:v>2114</c:v>
                </c:pt>
                <c:pt idx="215">
                  <c:v>2164</c:v>
                </c:pt>
                <c:pt idx="216">
                  <c:v>2214</c:v>
                </c:pt>
                <c:pt idx="217">
                  <c:v>2264</c:v>
                </c:pt>
                <c:pt idx="218">
                  <c:v>2314</c:v>
                </c:pt>
                <c:pt idx="219">
                  <c:v>2364</c:v>
                </c:pt>
                <c:pt idx="220">
                  <c:v>2379</c:v>
                </c:pt>
                <c:pt idx="221">
                  <c:v>2409</c:v>
                </c:pt>
                <c:pt idx="222">
                  <c:v>2459</c:v>
                </c:pt>
                <c:pt idx="223">
                  <c:v>2509</c:v>
                </c:pt>
                <c:pt idx="224">
                  <c:v>2559</c:v>
                </c:pt>
                <c:pt idx="225">
                  <c:v>2609</c:v>
                </c:pt>
                <c:pt idx="226">
                  <c:v>2659</c:v>
                </c:pt>
                <c:pt idx="227">
                  <c:v>2709</c:v>
                </c:pt>
                <c:pt idx="228">
                  <c:v>2744</c:v>
                </c:pt>
              </c:numCache>
            </c:numRef>
          </c:xVal>
          <c:yVal>
            <c:numRef>
              <c:f>'Output data'!$N$5:$N$233</c:f>
              <c:numCache>
                <c:formatCode>0.00E+00</c:formatCode>
                <c:ptCount val="229"/>
                <c:pt idx="0">
                  <c:v>2.3747640299E-8</c:v>
                </c:pt>
                <c:pt idx="1">
                  <c:v>3.5621457782999998E-8</c:v>
                </c:pt>
                <c:pt idx="2">
                  <c:v>7.3431344561000001E-8</c:v>
                </c:pt>
                <c:pt idx="3">
                  <c:v>1.5952700494000001E-7</c:v>
                </c:pt>
                <c:pt idx="4">
                  <c:v>2.4539812671E-7</c:v>
                </c:pt>
                <c:pt idx="5">
                  <c:v>3.3105115448999998E-7</c:v>
                </c:pt>
                <c:pt idx="6">
                  <c:v>4.1651250625999999E-7</c:v>
                </c:pt>
                <c:pt idx="7">
                  <c:v>5.0184064547999998E-7</c:v>
                </c:pt>
                <c:pt idx="8">
                  <c:v>5.8984522866000003E-7</c:v>
                </c:pt>
                <c:pt idx="9">
                  <c:v>6.8101530814999997E-7</c:v>
                </c:pt>
                <c:pt idx="10">
                  <c:v>7.7490904004999999E-7</c:v>
                </c:pt>
                <c:pt idx="11">
                  <c:v>8.7146457872000001E-7</c:v>
                </c:pt>
                <c:pt idx="12">
                  <c:v>9.7072233983999994E-7</c:v>
                </c:pt>
                <c:pt idx="13">
                  <c:v>1.0729493168999999E-6</c:v>
                </c:pt>
                <c:pt idx="14">
                  <c:v>1.1787128642000001E-6</c:v>
                </c:pt>
                <c:pt idx="15">
                  <c:v>1.288965791E-6</c:v>
                </c:pt>
                <c:pt idx="16">
                  <c:v>1.4060110515999999E-6</c:v>
                </c:pt>
                <c:pt idx="17">
                  <c:v>1.5312610913000001E-6</c:v>
                </c:pt>
                <c:pt idx="18">
                  <c:v>1.6818223684999999E-6</c:v>
                </c:pt>
                <c:pt idx="19">
                  <c:v>1.9680512650999998E-6</c:v>
                </c:pt>
                <c:pt idx="20">
                  <c:v>2.5223248485000001E-6</c:v>
                </c:pt>
                <c:pt idx="21">
                  <c:v>3.3173425891000001E-6</c:v>
                </c:pt>
                <c:pt idx="22">
                  <c:v>4.3755644583000001E-6</c:v>
                </c:pt>
                <c:pt idx="23">
                  <c:v>5.7498023124999996E-6</c:v>
                </c:pt>
                <c:pt idx="24">
                  <c:v>7.5175298661999999E-6</c:v>
                </c:pt>
                <c:pt idx="25">
                  <c:v>9.7810288935000007E-6</c:v>
                </c:pt>
                <c:pt idx="26">
                  <c:v>1.2675778635E-5</c:v>
                </c:pt>
                <c:pt idx="27">
                  <c:v>1.6379417502E-5</c:v>
                </c:pt>
                <c:pt idx="28">
                  <c:v>2.1138959710000001E-5</c:v>
                </c:pt>
                <c:pt idx="29">
                  <c:v>2.7298727217999999E-5</c:v>
                </c:pt>
                <c:pt idx="30">
                  <c:v>3.5227440094E-5</c:v>
                </c:pt>
                <c:pt idx="31">
                  <c:v>4.5779168430999999E-5</c:v>
                </c:pt>
                <c:pt idx="32">
                  <c:v>6.0707527154999997E-5</c:v>
                </c:pt>
                <c:pt idx="33">
                  <c:v>8.0798250565000004E-5</c:v>
                </c:pt>
                <c:pt idx="34" formatCode="General">
                  <c:v>1.0588490113E-4</c:v>
                </c:pt>
                <c:pt idx="35" formatCode="General">
                  <c:v>1.4358574117E-4</c:v>
                </c:pt>
                <c:pt idx="36" formatCode="General">
                  <c:v>1.8827091844000001E-4</c:v>
                </c:pt>
                <c:pt idx="37" formatCode="General">
                  <c:v>2.0059822418E-4</c:v>
                </c:pt>
                <c:pt idx="38" formatCode="General">
                  <c:v>2.9415637255000003E-4</c:v>
                </c:pt>
                <c:pt idx="39" formatCode="General">
                  <c:v>5.3042481886000003E-4</c:v>
                </c:pt>
                <c:pt idx="40" formatCode="General">
                  <c:v>8.3408970386E-4</c:v>
                </c:pt>
                <c:pt idx="41" formatCode="General">
                  <c:v>9.2159927589999995E-4</c:v>
                </c:pt>
                <c:pt idx="42" formatCode="General">
                  <c:v>1.9896449521E-3</c:v>
                </c:pt>
                <c:pt idx="43" formatCode="General">
                  <c:v>2.8265025467000002E-3</c:v>
                </c:pt>
                <c:pt idx="44" formatCode="General">
                  <c:v>3.5814689471999998E-3</c:v>
                </c:pt>
                <c:pt idx="45" formatCode="General">
                  <c:v>8.1005422397999998E-3</c:v>
                </c:pt>
                <c:pt idx="46" formatCode="General">
                  <c:v>1.7757821827999998E-2</c:v>
                </c:pt>
                <c:pt idx="47" formatCode="General">
                  <c:v>3.9018243550999997E-2</c:v>
                </c:pt>
                <c:pt idx="48" formatCode="General">
                  <c:v>6.6497012972999994E-2</c:v>
                </c:pt>
                <c:pt idx="49" formatCode="General">
                  <c:v>7.1561537682999998E-2</c:v>
                </c:pt>
                <c:pt idx="50" formatCode="General">
                  <c:v>0.10813174397</c:v>
                </c:pt>
                <c:pt idx="51" formatCode="General">
                  <c:v>0.11725465207999999</c:v>
                </c:pt>
                <c:pt idx="52" formatCode="General">
                  <c:v>0.17128002644000001</c:v>
                </c:pt>
                <c:pt idx="53" formatCode="General">
                  <c:v>0.21851629018999999</c:v>
                </c:pt>
                <c:pt idx="54" formatCode="General">
                  <c:v>0.23255257307999999</c:v>
                </c:pt>
                <c:pt idx="55" formatCode="General">
                  <c:v>0.26203557848999998</c:v>
                </c:pt>
                <c:pt idx="56" formatCode="General">
                  <c:v>0.29266050457999998</c:v>
                </c:pt>
                <c:pt idx="57" formatCode="General">
                  <c:v>0.29529768228999997</c:v>
                </c:pt>
                <c:pt idx="58" formatCode="General">
                  <c:v>0.31647267938000001</c:v>
                </c:pt>
                <c:pt idx="59" formatCode="General">
                  <c:v>0.32209655643000001</c:v>
                </c:pt>
                <c:pt idx="60" formatCode="General">
                  <c:v>0.32974657416000003</c:v>
                </c:pt>
                <c:pt idx="61" formatCode="General">
                  <c:v>0.33670178056</c:v>
                </c:pt>
                <c:pt idx="62" formatCode="General">
                  <c:v>0.33866310119999998</c:v>
                </c:pt>
                <c:pt idx="63" formatCode="General">
                  <c:v>0.33751732110999999</c:v>
                </c:pt>
                <c:pt idx="64" formatCode="General">
                  <c:v>0.33683642744999998</c:v>
                </c:pt>
                <c:pt idx="65" formatCode="General">
                  <c:v>0.33193075656999999</c:v>
                </c:pt>
                <c:pt idx="66" formatCode="General">
                  <c:v>0.32974183558999998</c:v>
                </c:pt>
                <c:pt idx="67" formatCode="General">
                  <c:v>0.32439005375000002</c:v>
                </c:pt>
                <c:pt idx="68" formatCode="General">
                  <c:v>0.31430515647000001</c:v>
                </c:pt>
                <c:pt idx="69" formatCode="General">
                  <c:v>0.30133280157999998</c:v>
                </c:pt>
                <c:pt idx="70" formatCode="General">
                  <c:v>0.28481534123000002</c:v>
                </c:pt>
                <c:pt idx="71" formatCode="General">
                  <c:v>0.26247602701</c:v>
                </c:pt>
                <c:pt idx="72" formatCode="General">
                  <c:v>0.23361429572</c:v>
                </c:pt>
                <c:pt idx="73" formatCode="General">
                  <c:v>0.21410100162000001</c:v>
                </c:pt>
                <c:pt idx="74" formatCode="General">
                  <c:v>0.19861105084</c:v>
                </c:pt>
                <c:pt idx="75" formatCode="General">
                  <c:v>0.16052961349</c:v>
                </c:pt>
                <c:pt idx="76" formatCode="General">
                  <c:v>0.12292996794</c:v>
                </c:pt>
                <c:pt idx="77" formatCode="General">
                  <c:v>8.9471429586000004E-2</c:v>
                </c:pt>
                <c:pt idx="78" formatCode="General">
                  <c:v>6.2286991626000002E-2</c:v>
                </c:pt>
                <c:pt idx="79" formatCode="General">
                  <c:v>4.9670163541999997E-2</c:v>
                </c:pt>
                <c:pt idx="80" formatCode="General">
                  <c:v>4.1873302310999998E-2</c:v>
                </c:pt>
                <c:pt idx="81" formatCode="General">
                  <c:v>2.7623079716999999E-2</c:v>
                </c:pt>
                <c:pt idx="82" formatCode="General">
                  <c:v>1.8273955211E-2</c:v>
                </c:pt>
                <c:pt idx="83" formatCode="General">
                  <c:v>1.2436338700000001E-2</c:v>
                </c:pt>
                <c:pt idx="84" formatCode="General">
                  <c:v>8.9340526611000008E-3</c:v>
                </c:pt>
                <c:pt idx="85" formatCode="General">
                  <c:v>7.6008043251999998E-3</c:v>
                </c:pt>
                <c:pt idx="86" formatCode="General">
                  <c:v>6.9006183184999997E-3</c:v>
                </c:pt>
                <c:pt idx="87" formatCode="General">
                  <c:v>5.7467808946999998E-3</c:v>
                </c:pt>
                <c:pt idx="88" formatCode="General">
                  <c:v>5.1024174318E-3</c:v>
                </c:pt>
                <c:pt idx="89" formatCode="General">
                  <c:v>4.7458852640999997E-3</c:v>
                </c:pt>
                <c:pt idx="90" formatCode="General">
                  <c:v>4.5491689816000002E-3</c:v>
                </c:pt>
                <c:pt idx="91" formatCode="General">
                  <c:v>4.4761728495000003E-3</c:v>
                </c:pt>
                <c:pt idx="92" formatCode="General">
                  <c:v>4.4407178648000001E-3</c:v>
                </c:pt>
                <c:pt idx="93" formatCode="General">
                  <c:v>4.3811406940000002E-3</c:v>
                </c:pt>
                <c:pt idx="94" formatCode="General">
                  <c:v>4.3486524372999998E-3</c:v>
                </c:pt>
                <c:pt idx="95" formatCode="General">
                  <c:v>4.3312115594999999E-3</c:v>
                </c:pt>
                <c:pt idx="96" formatCode="General">
                  <c:v>4.3221418745999999E-3</c:v>
                </c:pt>
                <c:pt idx="97" formatCode="General">
                  <c:v>4.3192999436999996E-3</c:v>
                </c:pt>
                <c:pt idx="98" formatCode="General">
                  <c:v>4.3176724575000004E-3</c:v>
                </c:pt>
                <c:pt idx="99" formatCode="General">
                  <c:v>4.3156733735999998E-3</c:v>
                </c:pt>
                <c:pt idx="100" formatCode="General">
                  <c:v>4.3148021213999998E-3</c:v>
                </c:pt>
                <c:pt idx="101" formatCode="General">
                  <c:v>4.3143290095000002E-3</c:v>
                </c:pt>
                <c:pt idx="102" formatCode="General">
                  <c:v>4.3136663734999999E-3</c:v>
                </c:pt>
                <c:pt idx="103" formatCode="General">
                  <c:v>4.3133120052999997E-3</c:v>
                </c:pt>
                <c:pt idx="104" formatCode="General">
                  <c:v>4.3125557712999996E-3</c:v>
                </c:pt>
                <c:pt idx="105" formatCode="General">
                  <c:v>4.3106856756000003E-3</c:v>
                </c:pt>
                <c:pt idx="106" formatCode="General">
                  <c:v>4.3078656308E-3</c:v>
                </c:pt>
                <c:pt idx="107" formatCode="General">
                  <c:v>4.3038995936999997E-3</c:v>
                </c:pt>
                <c:pt idx="108" formatCode="General">
                  <c:v>4.2986171319999997E-3</c:v>
                </c:pt>
                <c:pt idx="109" formatCode="General">
                  <c:v>4.2946422473000003E-3</c:v>
                </c:pt>
                <c:pt idx="110" formatCode="General">
                  <c:v>4.2919106781000001E-3</c:v>
                </c:pt>
                <c:pt idx="111" formatCode="General">
                  <c:v>4.2837262153999998E-3</c:v>
                </c:pt>
                <c:pt idx="112" formatCode="General">
                  <c:v>4.2740860954000003E-3</c:v>
                </c:pt>
                <c:pt idx="113" formatCode="General">
                  <c:v>4.2630457318999998E-3</c:v>
                </c:pt>
                <c:pt idx="114" formatCode="General">
                  <c:v>4.2507015169000002E-3</c:v>
                </c:pt>
                <c:pt idx="115" formatCode="General">
                  <c:v>4.2421380057999997E-3</c:v>
                </c:pt>
                <c:pt idx="116" formatCode="General">
                  <c:v>4.2371163144999998E-3</c:v>
                </c:pt>
                <c:pt idx="117" formatCode="General">
                  <c:v>4.2223343625999998E-3</c:v>
                </c:pt>
                <c:pt idx="118" formatCode="General">
                  <c:v>4.2063952424000002E-3</c:v>
                </c:pt>
                <c:pt idx="119" formatCode="General">
                  <c:v>4.1893483140000003E-3</c:v>
                </c:pt>
                <c:pt idx="120" formatCode="General">
                  <c:v>4.1712014935999997E-3</c:v>
                </c:pt>
                <c:pt idx="121" formatCode="General">
                  <c:v>4.1589178145000003E-3</c:v>
                </c:pt>
                <c:pt idx="122" formatCode="General">
                  <c:v>4.1520004161000003E-3</c:v>
                </c:pt>
                <c:pt idx="123" formatCode="General">
                  <c:v>4.1317567228999997E-3</c:v>
                </c:pt>
                <c:pt idx="124" formatCode="General">
                  <c:v>4.1105132549999999E-3</c:v>
                </c:pt>
                <c:pt idx="125" formatCode="General">
                  <c:v>4.0882844478000004E-3</c:v>
                </c:pt>
                <c:pt idx="126" formatCode="General">
                  <c:v>4.0651001036000004E-3</c:v>
                </c:pt>
                <c:pt idx="127" formatCode="General">
                  <c:v>4.0494818239999999E-3</c:v>
                </c:pt>
                <c:pt idx="128" formatCode="General">
                  <c:v>4.040971864E-3</c:v>
                </c:pt>
                <c:pt idx="129" formatCode="General">
                  <c:v>4.0159458294999999E-3</c:v>
                </c:pt>
                <c:pt idx="130" formatCode="General">
                  <c:v>3.9900713599999998E-3</c:v>
                </c:pt>
                <c:pt idx="131" formatCode="General">
                  <c:v>3.9634257554999998E-3</c:v>
                </c:pt>
                <c:pt idx="132" formatCode="General">
                  <c:v>3.9360756054999998E-3</c:v>
                </c:pt>
                <c:pt idx="133" formatCode="General">
                  <c:v>3.9177755824999997E-3</c:v>
                </c:pt>
                <c:pt idx="134" formatCode="General">
                  <c:v>3.9081214927000002E-3</c:v>
                </c:pt>
                <c:pt idx="135" formatCode="General">
                  <c:v>3.8796400186000002E-3</c:v>
                </c:pt>
                <c:pt idx="136" formatCode="General">
                  <c:v>3.8507163989999998E-3</c:v>
                </c:pt>
                <c:pt idx="137" formatCode="General">
                  <c:v>3.8214232772999998E-3</c:v>
                </c:pt>
                <c:pt idx="138" formatCode="General">
                  <c:v>3.7918335291999999E-3</c:v>
                </c:pt>
                <c:pt idx="139" formatCode="General">
                  <c:v>3.7721805274E-3</c:v>
                </c:pt>
                <c:pt idx="140" formatCode="General">
                  <c:v>3.7620072252999999E-3</c:v>
                </c:pt>
                <c:pt idx="141" formatCode="General">
                  <c:v>3.6053552757999998E-3</c:v>
                </c:pt>
                <c:pt idx="142" formatCode="General">
                  <c:v>3.1039300375E-3</c:v>
                </c:pt>
                <c:pt idx="143" formatCode="General">
                  <c:v>2.5451204274E-3</c:v>
                </c:pt>
                <c:pt idx="144" formatCode="General">
                  <c:v>1.9932268187E-3</c:v>
                </c:pt>
                <c:pt idx="145" formatCode="General">
                  <c:v>1.6390221425999999E-3</c:v>
                </c:pt>
                <c:pt idx="146" formatCode="General">
                  <c:v>1.5911662485000001E-3</c:v>
                </c:pt>
                <c:pt idx="147" formatCode="General">
                  <c:v>1.1138424743E-3</c:v>
                </c:pt>
                <c:pt idx="148" formatCode="General">
                  <c:v>7.4642174877000004E-4</c:v>
                </c:pt>
                <c:pt idx="149" formatCode="General">
                  <c:v>4.6140933409E-4</c:v>
                </c:pt>
                <c:pt idx="150" formatCode="General">
                  <c:v>2.5875878055000001E-4</c:v>
                </c:pt>
                <c:pt idx="151" formatCode="General">
                  <c:v>1.2734143819999999E-4</c:v>
                </c:pt>
                <c:pt idx="152">
                  <c:v>5.3270756325000001E-5</c:v>
                </c:pt>
                <c:pt idx="153">
                  <c:v>1.8765098503000001E-5</c:v>
                </c:pt>
                <c:pt idx="154">
                  <c:v>1.5142923985E-5</c:v>
                </c:pt>
                <c:pt idx="155">
                  <c:v>5.8456757870000001E-6</c:v>
                </c:pt>
                <c:pt idx="156">
                  <c:v>2.2644264845E-6</c:v>
                </c:pt>
                <c:pt idx="157">
                  <c:v>1.795047524E-6</c:v>
                </c:pt>
                <c:pt idx="158">
                  <c:v>4.7970843298E-7</c:v>
                </c:pt>
                <c:pt idx="159">
                  <c:v>1.4532587045000001E-7</c:v>
                </c:pt>
                <c:pt idx="160">
                  <c:v>1.0350377977E-7</c:v>
                </c:pt>
                <c:pt idx="161">
                  <c:v>5.4813444450000003E-8</c:v>
                </c:pt>
                <c:pt idx="162">
                  <c:v>2.6616245208000002E-8</c:v>
                </c:pt>
                <c:pt idx="163">
                  <c:v>1.3715661495000001E-8</c:v>
                </c:pt>
                <c:pt idx="164">
                  <c:v>9.1086223009E-9</c:v>
                </c:pt>
                <c:pt idx="165">
                  <c:v>7.2859500655000003E-9</c:v>
                </c:pt>
                <c:pt idx="166">
                  <c:v>4.7357850973999996E-9</c:v>
                </c:pt>
                <c:pt idx="167">
                  <c:v>3.8031569004999998E-9</c:v>
                </c:pt>
                <c:pt idx="168">
                  <c:v>2.2617490103000001E-9</c:v>
                </c:pt>
                <c:pt idx="169">
                  <c:v>1.0468724776E-9</c:v>
                </c:pt>
                <c:pt idx="170">
                  <c:v>5.0794640715999998E-10</c:v>
                </c:pt>
                <c:pt idx="171">
                  <c:v>3.3079780581E-10</c:v>
                </c:pt>
                <c:pt idx="172">
                  <c:v>2.6561722265999999E-10</c:v>
                </c:pt>
                <c:pt idx="173">
                  <c:v>1.5118027663000001E-10</c:v>
                </c:pt>
                <c:pt idx="174">
                  <c:v>1.2574276342E-10</c:v>
                </c:pt>
                <c:pt idx="175">
                  <c:v>8.7161791672999994E-11</c:v>
                </c:pt>
                <c:pt idx="176">
                  <c:v>5.2853693644000002E-11</c:v>
                </c:pt>
                <c:pt idx="177">
                  <c:v>3.1838056496999999E-11</c:v>
                </c:pt>
                <c:pt idx="178">
                  <c:v>2.2784265792999998E-11</c:v>
                </c:pt>
                <c:pt idx="179">
                  <c:v>1.8949092294999999E-11</c:v>
                </c:pt>
                <c:pt idx="180" formatCode="General">
                  <c:v>0</c:v>
                </c:pt>
                <c:pt idx="181" formatCode="General">
                  <c:v>0</c:v>
                </c:pt>
                <c:pt idx="182" formatCode="General">
                  <c:v>0</c:v>
                </c:pt>
                <c:pt idx="183" formatCode="General">
                  <c:v>0</c:v>
                </c:pt>
                <c:pt idx="184" formatCode="General">
                  <c:v>0</c:v>
                </c:pt>
                <c:pt idx="185" formatCode="General">
                  <c:v>0</c:v>
                </c:pt>
                <c:pt idx="186" formatCode="General">
                  <c:v>0</c:v>
                </c:pt>
                <c:pt idx="187" formatCode="General">
                  <c:v>0</c:v>
                </c:pt>
                <c:pt idx="188" formatCode="General">
                  <c:v>0</c:v>
                </c:pt>
                <c:pt idx="189" formatCode="General">
                  <c:v>0</c:v>
                </c:pt>
                <c:pt idx="190" formatCode="General">
                  <c:v>0</c:v>
                </c:pt>
                <c:pt idx="191" formatCode="General">
                  <c:v>0</c:v>
                </c:pt>
                <c:pt idx="192" formatCode="General">
                  <c:v>0</c:v>
                </c:pt>
                <c:pt idx="193" formatCode="General">
                  <c:v>0</c:v>
                </c:pt>
                <c:pt idx="194" formatCode="General">
                  <c:v>0</c:v>
                </c:pt>
                <c:pt idx="195" formatCode="General">
                  <c:v>0</c:v>
                </c:pt>
                <c:pt idx="196" formatCode="General">
                  <c:v>0</c:v>
                </c:pt>
                <c:pt idx="197" formatCode="General">
                  <c:v>0</c:v>
                </c:pt>
                <c:pt idx="198" formatCode="General">
                  <c:v>0</c:v>
                </c:pt>
                <c:pt idx="199" formatCode="General">
                  <c:v>0</c:v>
                </c:pt>
                <c:pt idx="200" formatCode="General">
                  <c:v>0</c:v>
                </c:pt>
                <c:pt idx="201" formatCode="General">
                  <c:v>0</c:v>
                </c:pt>
                <c:pt idx="202" formatCode="General">
                  <c:v>0</c:v>
                </c:pt>
                <c:pt idx="203" formatCode="General">
                  <c:v>0</c:v>
                </c:pt>
                <c:pt idx="204" formatCode="General">
                  <c:v>0</c:v>
                </c:pt>
                <c:pt idx="205" formatCode="General">
                  <c:v>0</c:v>
                </c:pt>
                <c:pt idx="206" formatCode="General">
                  <c:v>0</c:v>
                </c:pt>
                <c:pt idx="207" formatCode="General">
                  <c:v>0</c:v>
                </c:pt>
                <c:pt idx="208" formatCode="General">
                  <c:v>0</c:v>
                </c:pt>
                <c:pt idx="209" formatCode="General">
                  <c:v>0</c:v>
                </c:pt>
                <c:pt idx="210" formatCode="General">
                  <c:v>0</c:v>
                </c:pt>
                <c:pt idx="211" formatCode="General">
                  <c:v>0</c:v>
                </c:pt>
                <c:pt idx="212" formatCode="General">
                  <c:v>0</c:v>
                </c:pt>
                <c:pt idx="213" formatCode="General">
                  <c:v>0</c:v>
                </c:pt>
                <c:pt idx="214" formatCode="General">
                  <c:v>0</c:v>
                </c:pt>
                <c:pt idx="215" formatCode="General">
                  <c:v>0</c:v>
                </c:pt>
                <c:pt idx="216" formatCode="General">
                  <c:v>0</c:v>
                </c:pt>
                <c:pt idx="217" formatCode="General">
                  <c:v>0</c:v>
                </c:pt>
                <c:pt idx="218" formatCode="General">
                  <c:v>0</c:v>
                </c:pt>
                <c:pt idx="219" formatCode="General">
                  <c:v>0</c:v>
                </c:pt>
                <c:pt idx="220" formatCode="General">
                  <c:v>0</c:v>
                </c:pt>
                <c:pt idx="221" formatCode="General">
                  <c:v>0</c:v>
                </c:pt>
                <c:pt idx="222" formatCode="General">
                  <c:v>0</c:v>
                </c:pt>
                <c:pt idx="223" formatCode="General">
                  <c:v>0</c:v>
                </c:pt>
                <c:pt idx="224" formatCode="General">
                  <c:v>0</c:v>
                </c:pt>
                <c:pt idx="225" formatCode="General">
                  <c:v>0</c:v>
                </c:pt>
                <c:pt idx="226" formatCode="General">
                  <c:v>0</c:v>
                </c:pt>
                <c:pt idx="227" formatCode="General">
                  <c:v>0</c:v>
                </c:pt>
                <c:pt idx="228" formatCode="General">
                  <c:v>0</c:v>
                </c:pt>
              </c:numCache>
            </c:numRef>
          </c:yVal>
          <c:smooth val="1"/>
          <c:extLst>
            <c:ext xmlns:c16="http://schemas.microsoft.com/office/drawing/2014/chart" uri="{C3380CC4-5D6E-409C-BE32-E72D297353CC}">
              <c16:uniqueId val="{00000001-4291-4F61-9B4E-BE96899E0C40}"/>
            </c:ext>
          </c:extLst>
        </c:ser>
        <c:ser>
          <c:idx val="2"/>
          <c:order val="2"/>
          <c:tx>
            <c:v>Samller Grid in X Direction</c:v>
          </c:tx>
          <c:spPr>
            <a:ln w="19050" cap="rnd">
              <a:solidFill>
                <a:schemeClr val="tx1"/>
              </a:solidFill>
              <a:prstDash val="sysDot"/>
              <a:round/>
            </a:ln>
            <a:effectLst/>
          </c:spPr>
          <c:marker>
            <c:symbol val="none"/>
          </c:marker>
          <c:xVal>
            <c:numRef>
              <c:f>'Output data'!$T$5:$T$225</c:f>
              <c:numCache>
                <c:formatCode>General</c:formatCode>
                <c:ptCount val="221"/>
                <c:pt idx="0">
                  <c:v>2.4000499249999998</c:v>
                </c:pt>
                <c:pt idx="1">
                  <c:v>2.400099993</c:v>
                </c:pt>
                <c:pt idx="2">
                  <c:v>2.4001500610000002</c:v>
                </c:pt>
                <c:pt idx="3">
                  <c:v>2.4001998900000001</c:v>
                </c:pt>
                <c:pt idx="4">
                  <c:v>2.4002499579999999</c:v>
                </c:pt>
                <c:pt idx="5">
                  <c:v>2.400300026</c:v>
                </c:pt>
                <c:pt idx="6">
                  <c:v>2.4003500940000002</c:v>
                </c:pt>
                <c:pt idx="7">
                  <c:v>2.4003999230000002</c:v>
                </c:pt>
                <c:pt idx="8">
                  <c:v>2.4004499909999999</c:v>
                </c:pt>
                <c:pt idx="9">
                  <c:v>2.4005000590000001</c:v>
                </c:pt>
                <c:pt idx="10">
                  <c:v>2.4005498890000001</c:v>
                </c:pt>
                <c:pt idx="11">
                  <c:v>2.4005999569999998</c:v>
                </c:pt>
                <c:pt idx="12">
                  <c:v>2.4006500239999999</c:v>
                </c:pt>
                <c:pt idx="13">
                  <c:v>2.4007000920000001</c:v>
                </c:pt>
                <c:pt idx="14">
                  <c:v>2.4007503990000001</c:v>
                </c:pt>
                <c:pt idx="15">
                  <c:v>2.400817156</c:v>
                </c:pt>
                <c:pt idx="16">
                  <c:v>2.4009220600000001</c:v>
                </c:pt>
                <c:pt idx="17">
                  <c:v>2.4010927679999998</c:v>
                </c:pt>
                <c:pt idx="18">
                  <c:v>2.4013230800000001</c:v>
                </c:pt>
                <c:pt idx="19">
                  <c:v>2.401628256</c:v>
                </c:pt>
                <c:pt idx="20">
                  <c:v>2.4020202159999999</c:v>
                </c:pt>
                <c:pt idx="21">
                  <c:v>2.4025280480000002</c:v>
                </c:pt>
                <c:pt idx="22">
                  <c:v>2.4031791689999999</c:v>
                </c:pt>
                <c:pt idx="23">
                  <c:v>2.404018641</c:v>
                </c:pt>
                <c:pt idx="24">
                  <c:v>2.4051024910000001</c:v>
                </c:pt>
                <c:pt idx="25">
                  <c:v>2.4065055850000001</c:v>
                </c:pt>
                <c:pt idx="26">
                  <c:v>2.4083325860000002</c:v>
                </c:pt>
                <c:pt idx="27">
                  <c:v>2.4107222560000001</c:v>
                </c:pt>
                <c:pt idx="28">
                  <c:v>2.4138658049999999</c:v>
                </c:pt>
                <c:pt idx="29">
                  <c:v>2.4180028440000001</c:v>
                </c:pt>
                <c:pt idx="30">
                  <c:v>2.420000076</c:v>
                </c:pt>
                <c:pt idx="31">
                  <c:v>2.4231190680000001</c:v>
                </c:pt>
                <c:pt idx="32">
                  <c:v>2.429569721</c:v>
                </c:pt>
                <c:pt idx="33">
                  <c:v>2.4383862019999998</c:v>
                </c:pt>
                <c:pt idx="34">
                  <c:v>2.4400000569999998</c:v>
                </c:pt>
                <c:pt idx="35">
                  <c:v>2.4487659929999999</c:v>
                </c:pt>
                <c:pt idx="36">
                  <c:v>2.460000038</c:v>
                </c:pt>
                <c:pt idx="37">
                  <c:v>2.4698452949999998</c:v>
                </c:pt>
                <c:pt idx="38">
                  <c:v>2.4800000190000002</c:v>
                </c:pt>
                <c:pt idx="39">
                  <c:v>2.4824511999999999</c:v>
                </c:pt>
                <c:pt idx="40">
                  <c:v>2.5</c:v>
                </c:pt>
                <c:pt idx="41">
                  <c:v>2.5199999809999998</c:v>
                </c:pt>
                <c:pt idx="42">
                  <c:v>2.539999962</c:v>
                </c:pt>
                <c:pt idx="43">
                  <c:v>2.5599999430000002</c:v>
                </c:pt>
                <c:pt idx="44">
                  <c:v>2.579999924</c:v>
                </c:pt>
                <c:pt idx="45">
                  <c:v>2.5859520439999999</c:v>
                </c:pt>
                <c:pt idx="46">
                  <c:v>2.5999999049999998</c:v>
                </c:pt>
                <c:pt idx="47">
                  <c:v>2.619999886</c:v>
                </c:pt>
                <c:pt idx="48">
                  <c:v>2.6400001049999999</c:v>
                </c:pt>
                <c:pt idx="49">
                  <c:v>2.6579365730000002</c:v>
                </c:pt>
                <c:pt idx="50">
                  <c:v>2.6600000860000002</c:v>
                </c:pt>
                <c:pt idx="51">
                  <c:v>2.6800000669999999</c:v>
                </c:pt>
                <c:pt idx="52">
                  <c:v>2.686038017</c:v>
                </c:pt>
                <c:pt idx="53">
                  <c:v>2.7000000480000002</c:v>
                </c:pt>
                <c:pt idx="54">
                  <c:v>2.7200000289999999</c:v>
                </c:pt>
                <c:pt idx="55">
                  <c:v>2.7400000100000002</c:v>
                </c:pt>
                <c:pt idx="56">
                  <c:v>2.7576093670000001</c:v>
                </c:pt>
                <c:pt idx="57">
                  <c:v>2.7599999899999998</c:v>
                </c:pt>
                <c:pt idx="58">
                  <c:v>2.7799999710000001</c:v>
                </c:pt>
                <c:pt idx="59">
                  <c:v>2.7907674309999999</c:v>
                </c:pt>
                <c:pt idx="60">
                  <c:v>2.7999999519999998</c:v>
                </c:pt>
                <c:pt idx="61">
                  <c:v>2.8199999330000001</c:v>
                </c:pt>
                <c:pt idx="62">
                  <c:v>2.8399999139999998</c:v>
                </c:pt>
                <c:pt idx="63">
                  <c:v>2.8599998950000001</c:v>
                </c:pt>
                <c:pt idx="64">
                  <c:v>2.880000114</c:v>
                </c:pt>
                <c:pt idx="65">
                  <c:v>2.8912785049999998</c:v>
                </c:pt>
                <c:pt idx="66">
                  <c:v>2.9000000950000002</c:v>
                </c:pt>
                <c:pt idx="67">
                  <c:v>2.920000076</c:v>
                </c:pt>
                <c:pt idx="68">
                  <c:v>2.9400000569999998</c:v>
                </c:pt>
                <c:pt idx="69">
                  <c:v>2.960000038</c:v>
                </c:pt>
                <c:pt idx="70">
                  <c:v>2.9800000190000002</c:v>
                </c:pt>
                <c:pt idx="71">
                  <c:v>2.9916660789999998</c:v>
                </c:pt>
                <c:pt idx="72">
                  <c:v>3</c:v>
                </c:pt>
                <c:pt idx="73">
                  <c:v>3.0199999809999998</c:v>
                </c:pt>
                <c:pt idx="74">
                  <c:v>3.039999962</c:v>
                </c:pt>
                <c:pt idx="75">
                  <c:v>3.0599999430000002</c:v>
                </c:pt>
                <c:pt idx="76">
                  <c:v>3.079999924</c:v>
                </c:pt>
                <c:pt idx="77">
                  <c:v>3.0920193199999999</c:v>
                </c:pt>
                <c:pt idx="78">
                  <c:v>3.0999999049999998</c:v>
                </c:pt>
                <c:pt idx="79">
                  <c:v>3.119999886</c:v>
                </c:pt>
                <c:pt idx="80">
                  <c:v>3.1400001049999999</c:v>
                </c:pt>
                <c:pt idx="81">
                  <c:v>3.1600000860000002</c:v>
                </c:pt>
                <c:pt idx="82">
                  <c:v>3.1800000669999999</c:v>
                </c:pt>
                <c:pt idx="83">
                  <c:v>3.1923675540000001</c:v>
                </c:pt>
                <c:pt idx="84">
                  <c:v>3.2000000480000002</c:v>
                </c:pt>
                <c:pt idx="85">
                  <c:v>3.2200000289999999</c:v>
                </c:pt>
                <c:pt idx="86">
                  <c:v>3.2400000100000002</c:v>
                </c:pt>
                <c:pt idx="87">
                  <c:v>3.2599999899999998</c:v>
                </c:pt>
                <c:pt idx="88">
                  <c:v>3.2799999710000001</c:v>
                </c:pt>
                <c:pt idx="89">
                  <c:v>3.2926177980000002</c:v>
                </c:pt>
                <c:pt idx="90">
                  <c:v>3.2999999519999998</c:v>
                </c:pt>
                <c:pt idx="91">
                  <c:v>3.3199999330000001</c:v>
                </c:pt>
                <c:pt idx="92">
                  <c:v>3.3399999139999998</c:v>
                </c:pt>
                <c:pt idx="93">
                  <c:v>3.3599998950000001</c:v>
                </c:pt>
                <c:pt idx="94">
                  <c:v>3.380000114</c:v>
                </c:pt>
                <c:pt idx="95">
                  <c:v>3.3928487299999999</c:v>
                </c:pt>
                <c:pt idx="96">
                  <c:v>3.4000000950000002</c:v>
                </c:pt>
                <c:pt idx="97">
                  <c:v>3.420000076</c:v>
                </c:pt>
                <c:pt idx="98">
                  <c:v>3.4400000569999998</c:v>
                </c:pt>
                <c:pt idx="99">
                  <c:v>3.460000038</c:v>
                </c:pt>
                <c:pt idx="100">
                  <c:v>3.4800000190000002</c:v>
                </c:pt>
                <c:pt idx="101">
                  <c:v>3.4930589200000002</c:v>
                </c:pt>
                <c:pt idx="102">
                  <c:v>3.5</c:v>
                </c:pt>
                <c:pt idx="103">
                  <c:v>3.5199999809999998</c:v>
                </c:pt>
                <c:pt idx="104">
                  <c:v>3.539999962</c:v>
                </c:pt>
                <c:pt idx="105">
                  <c:v>3.5599999430000002</c:v>
                </c:pt>
                <c:pt idx="106">
                  <c:v>3.579999924</c:v>
                </c:pt>
                <c:pt idx="107">
                  <c:v>3.5931265350000001</c:v>
                </c:pt>
                <c:pt idx="108">
                  <c:v>3.5999999049999998</c:v>
                </c:pt>
                <c:pt idx="109">
                  <c:v>3.619999886</c:v>
                </c:pt>
                <c:pt idx="110">
                  <c:v>3.6400001049999999</c:v>
                </c:pt>
                <c:pt idx="111">
                  <c:v>3.6600000860000002</c:v>
                </c:pt>
                <c:pt idx="112">
                  <c:v>3.6800000669999999</c:v>
                </c:pt>
                <c:pt idx="113">
                  <c:v>3.6931834220000002</c:v>
                </c:pt>
                <c:pt idx="114">
                  <c:v>3.7000000480000002</c:v>
                </c:pt>
                <c:pt idx="115">
                  <c:v>3.7200000289999999</c:v>
                </c:pt>
                <c:pt idx="116">
                  <c:v>3.7400000100000002</c:v>
                </c:pt>
                <c:pt idx="117">
                  <c:v>3.7599999899999998</c:v>
                </c:pt>
                <c:pt idx="118">
                  <c:v>3.7799999710000001</c:v>
                </c:pt>
                <c:pt idx="119">
                  <c:v>3.7932322030000001</c:v>
                </c:pt>
                <c:pt idx="120">
                  <c:v>3.7999999519999998</c:v>
                </c:pt>
                <c:pt idx="121">
                  <c:v>3.8199999330000001</c:v>
                </c:pt>
                <c:pt idx="122">
                  <c:v>3.8399999139999998</c:v>
                </c:pt>
                <c:pt idx="123">
                  <c:v>3.8599998950000001</c:v>
                </c:pt>
                <c:pt idx="124">
                  <c:v>3.880000114</c:v>
                </c:pt>
                <c:pt idx="125">
                  <c:v>3.8932967189999999</c:v>
                </c:pt>
                <c:pt idx="126">
                  <c:v>3.9000000950000002</c:v>
                </c:pt>
                <c:pt idx="127">
                  <c:v>3.920000076</c:v>
                </c:pt>
                <c:pt idx="128">
                  <c:v>3.9400000569999998</c:v>
                </c:pt>
                <c:pt idx="129">
                  <c:v>3.960000038</c:v>
                </c:pt>
                <c:pt idx="130">
                  <c:v>3.9800000190000002</c:v>
                </c:pt>
                <c:pt idx="131">
                  <c:v>3.9933516980000001</c:v>
                </c:pt>
                <c:pt idx="132">
                  <c:v>4</c:v>
                </c:pt>
                <c:pt idx="133">
                  <c:v>4.1175270079999997</c:v>
                </c:pt>
                <c:pt idx="134">
                  <c:v>4.428861618</c:v>
                </c:pt>
                <c:pt idx="135">
                  <c:v>4.823733807</c:v>
                </c:pt>
                <c:pt idx="136">
                  <c:v>5.3444299700000002</c:v>
                </c:pt>
                <c:pt idx="137">
                  <c:v>6</c:v>
                </c:pt>
                <c:pt idx="138">
                  <c:v>6.8940167429999999</c:v>
                </c:pt>
                <c:pt idx="139">
                  <c:v>8.2250633240000006</c:v>
                </c:pt>
                <c:pt idx="140">
                  <c:v>10.126899720000001</c:v>
                </c:pt>
                <c:pt idx="141">
                  <c:v>12.888192180000001</c:v>
                </c:pt>
                <c:pt idx="142">
                  <c:v>16.970108029999999</c:v>
                </c:pt>
                <c:pt idx="143">
                  <c:v>23.09466171</c:v>
                </c:pt>
                <c:pt idx="144">
                  <c:v>32.40740967</c:v>
                </c:pt>
                <c:pt idx="145">
                  <c:v>37</c:v>
                </c:pt>
                <c:pt idx="146">
                  <c:v>45.817363739999998</c:v>
                </c:pt>
                <c:pt idx="147">
                  <c:v>65</c:v>
                </c:pt>
                <c:pt idx="148">
                  <c:v>93.366394040000003</c:v>
                </c:pt>
                <c:pt idx="149">
                  <c:v>96</c:v>
                </c:pt>
                <c:pt idx="150">
                  <c:v>126</c:v>
                </c:pt>
                <c:pt idx="151">
                  <c:v>157</c:v>
                </c:pt>
                <c:pt idx="152">
                  <c:v>177</c:v>
                </c:pt>
                <c:pt idx="153">
                  <c:v>187</c:v>
                </c:pt>
                <c:pt idx="154">
                  <c:v>218</c:v>
                </c:pt>
                <c:pt idx="155">
                  <c:v>228</c:v>
                </c:pt>
                <c:pt idx="156">
                  <c:v>249</c:v>
                </c:pt>
                <c:pt idx="157">
                  <c:v>279</c:v>
                </c:pt>
                <c:pt idx="158">
                  <c:v>310</c:v>
                </c:pt>
                <c:pt idx="159">
                  <c:v>330</c:v>
                </c:pt>
                <c:pt idx="160">
                  <c:v>340</c:v>
                </c:pt>
                <c:pt idx="161">
                  <c:v>371</c:v>
                </c:pt>
                <c:pt idx="162">
                  <c:v>381</c:v>
                </c:pt>
                <c:pt idx="163">
                  <c:v>402</c:v>
                </c:pt>
                <c:pt idx="164">
                  <c:v>431</c:v>
                </c:pt>
                <c:pt idx="165">
                  <c:v>462</c:v>
                </c:pt>
                <c:pt idx="166">
                  <c:v>482</c:v>
                </c:pt>
                <c:pt idx="167">
                  <c:v>492</c:v>
                </c:pt>
                <c:pt idx="168">
                  <c:v>523</c:v>
                </c:pt>
                <c:pt idx="169">
                  <c:v>533</c:v>
                </c:pt>
                <c:pt idx="170">
                  <c:v>553</c:v>
                </c:pt>
                <c:pt idx="171">
                  <c:v>583</c:v>
                </c:pt>
                <c:pt idx="172">
                  <c:v>633</c:v>
                </c:pt>
                <c:pt idx="173">
                  <c:v>683</c:v>
                </c:pt>
                <c:pt idx="174">
                  <c:v>733</c:v>
                </c:pt>
                <c:pt idx="175">
                  <c:v>737</c:v>
                </c:pt>
                <c:pt idx="176">
                  <c:v>775.71575929999995</c:v>
                </c:pt>
                <c:pt idx="177">
                  <c:v>825.71575929999995</c:v>
                </c:pt>
                <c:pt idx="178">
                  <c:v>875.71575929999995</c:v>
                </c:pt>
                <c:pt idx="179">
                  <c:v>918</c:v>
                </c:pt>
                <c:pt idx="180">
                  <c:v>965.71575929999995</c:v>
                </c:pt>
                <c:pt idx="181">
                  <c:v>1015.715759</c:v>
                </c:pt>
                <c:pt idx="182">
                  <c:v>1065.7158199999999</c:v>
                </c:pt>
                <c:pt idx="183">
                  <c:v>1115.7158199999999</c:v>
                </c:pt>
                <c:pt idx="184">
                  <c:v>1165.7158199999999</c:v>
                </c:pt>
                <c:pt idx="185">
                  <c:v>1215.7158199999999</c:v>
                </c:pt>
                <c:pt idx="186">
                  <c:v>1265.7158199999999</c:v>
                </c:pt>
                <c:pt idx="187">
                  <c:v>1283</c:v>
                </c:pt>
                <c:pt idx="188">
                  <c:v>1313</c:v>
                </c:pt>
                <c:pt idx="189">
                  <c:v>1363</c:v>
                </c:pt>
                <c:pt idx="190">
                  <c:v>1413</c:v>
                </c:pt>
                <c:pt idx="191">
                  <c:v>1463</c:v>
                </c:pt>
                <c:pt idx="192">
                  <c:v>1513</c:v>
                </c:pt>
                <c:pt idx="193">
                  <c:v>1563</c:v>
                </c:pt>
                <c:pt idx="194">
                  <c:v>1613</c:v>
                </c:pt>
                <c:pt idx="195">
                  <c:v>1648</c:v>
                </c:pt>
                <c:pt idx="196">
                  <c:v>1658</c:v>
                </c:pt>
                <c:pt idx="197">
                  <c:v>1708</c:v>
                </c:pt>
                <c:pt idx="198">
                  <c:v>1758</c:v>
                </c:pt>
                <c:pt idx="199">
                  <c:v>1808</c:v>
                </c:pt>
                <c:pt idx="200">
                  <c:v>1858</c:v>
                </c:pt>
                <c:pt idx="201">
                  <c:v>1908</c:v>
                </c:pt>
                <c:pt idx="202">
                  <c:v>1958</c:v>
                </c:pt>
                <c:pt idx="203">
                  <c:v>2008</c:v>
                </c:pt>
                <c:pt idx="204">
                  <c:v>2014</c:v>
                </c:pt>
                <c:pt idx="205">
                  <c:v>2054</c:v>
                </c:pt>
                <c:pt idx="206">
                  <c:v>2104</c:v>
                </c:pt>
                <c:pt idx="207">
                  <c:v>2154</c:v>
                </c:pt>
                <c:pt idx="208">
                  <c:v>2204</c:v>
                </c:pt>
                <c:pt idx="209">
                  <c:v>2254</c:v>
                </c:pt>
                <c:pt idx="210">
                  <c:v>2304</c:v>
                </c:pt>
                <c:pt idx="211">
                  <c:v>2354</c:v>
                </c:pt>
                <c:pt idx="212">
                  <c:v>2379</c:v>
                </c:pt>
                <c:pt idx="213">
                  <c:v>2399</c:v>
                </c:pt>
                <c:pt idx="214">
                  <c:v>2449</c:v>
                </c:pt>
                <c:pt idx="215">
                  <c:v>2499</c:v>
                </c:pt>
                <c:pt idx="216">
                  <c:v>2549</c:v>
                </c:pt>
                <c:pt idx="217">
                  <c:v>2599</c:v>
                </c:pt>
                <c:pt idx="218">
                  <c:v>2649</c:v>
                </c:pt>
                <c:pt idx="219">
                  <c:v>2699</c:v>
                </c:pt>
                <c:pt idx="220">
                  <c:v>2744</c:v>
                </c:pt>
              </c:numCache>
            </c:numRef>
          </c:xVal>
          <c:yVal>
            <c:numRef>
              <c:f>'Output data'!$V$5:$V$225</c:f>
              <c:numCache>
                <c:formatCode>General</c:formatCode>
                <c:ptCount val="221"/>
                <c:pt idx="0">
                  <c:v>1.2166552478448001E-3</c:v>
                </c:pt>
                <c:pt idx="1">
                  <c:v>1.2419461272657E-3</c:v>
                </c:pt>
                <c:pt idx="2">
                  <c:v>1.2651280267164001E-3</c:v>
                </c:pt>
                <c:pt idx="3">
                  <c:v>1.2864500749855999E-3</c:v>
                </c:pt>
                <c:pt idx="4">
                  <c:v>1.3063732767478E-3</c:v>
                </c:pt>
                <c:pt idx="5">
                  <c:v>1.3254735385998999E-3</c:v>
                </c:pt>
                <c:pt idx="6">
                  <c:v>1.3443030184134999E-3</c:v>
                </c:pt>
                <c:pt idx="7">
                  <c:v>1.3628650922328E-3</c:v>
                </c:pt>
                <c:pt idx="8">
                  <c:v>1.3814009726047999E-3</c:v>
                </c:pt>
                <c:pt idx="9">
                  <c:v>1.4001606032251999E-3</c:v>
                </c:pt>
                <c:pt idx="10">
                  <c:v>1.4194124378264E-3</c:v>
                </c:pt>
                <c:pt idx="11">
                  <c:v>1.4394514728337999E-3</c:v>
                </c:pt>
                <c:pt idx="12">
                  <c:v>1.4607910998166E-3</c:v>
                </c:pt>
                <c:pt idx="13">
                  <c:v>1.4837305061519001E-3</c:v>
                </c:pt>
                <c:pt idx="14">
                  <c:v>1.5089228982106001E-3</c:v>
                </c:pt>
                <c:pt idx="15">
                  <c:v>1.5450794016942E-3</c:v>
                </c:pt>
                <c:pt idx="16">
                  <c:v>1.6053204890341E-3</c:v>
                </c:pt>
                <c:pt idx="17">
                  <c:v>1.7080592224373999E-3</c:v>
                </c:pt>
                <c:pt idx="18">
                  <c:v>1.8524102633818999E-3</c:v>
                </c:pt>
                <c:pt idx="19">
                  <c:v>2.0475354976951998E-3</c:v>
                </c:pt>
                <c:pt idx="20">
                  <c:v>2.2983024828136002E-3</c:v>
                </c:pt>
                <c:pt idx="21">
                  <c:v>2.6169526390731001E-3</c:v>
                </c:pt>
                <c:pt idx="22">
                  <c:v>3.0112548265606E-3</c:v>
                </c:pt>
                <c:pt idx="23">
                  <c:v>3.5029705613851998E-3</c:v>
                </c:pt>
                <c:pt idx="24">
                  <c:v>4.1129891760647002E-3</c:v>
                </c:pt>
                <c:pt idx="25">
                  <c:v>4.8617967404424997E-3</c:v>
                </c:pt>
                <c:pt idx="26">
                  <c:v>5.7827057316898996E-3</c:v>
                </c:pt>
                <c:pt idx="27">
                  <c:v>6.9230073131620997E-3</c:v>
                </c:pt>
                <c:pt idx="28">
                  <c:v>8.3557730540632993E-3</c:v>
                </c:pt>
                <c:pt idx="29">
                  <c:v>1.0194203816354001E-2</c:v>
                </c:pt>
                <c:pt idx="30">
                  <c:v>1.1075107380748E-2</c:v>
                </c:pt>
                <c:pt idx="31">
                  <c:v>1.2470168061554E-2</c:v>
                </c:pt>
                <c:pt idx="32">
                  <c:v>1.5334208495915E-2</c:v>
                </c:pt>
                <c:pt idx="33">
                  <c:v>1.9209003075957E-2</c:v>
                </c:pt>
                <c:pt idx="34">
                  <c:v>1.9996771588922001E-2</c:v>
                </c:pt>
                <c:pt idx="35">
                  <c:v>2.3934310302137999E-2</c:v>
                </c:pt>
                <c:pt idx="36">
                  <c:v>3.1496960669755998E-2</c:v>
                </c:pt>
                <c:pt idx="37">
                  <c:v>3.9039041846991002E-2</c:v>
                </c:pt>
                <c:pt idx="38">
                  <c:v>4.7899022698402002E-2</c:v>
                </c:pt>
                <c:pt idx="39">
                  <c:v>5.0081975758075999E-2</c:v>
                </c:pt>
                <c:pt idx="40">
                  <c:v>6.5506353974341999E-2</c:v>
                </c:pt>
                <c:pt idx="41">
                  <c:v>8.7168358266353996E-2</c:v>
                </c:pt>
                <c:pt idx="42">
                  <c:v>0.12051829695702</c:v>
                </c:pt>
                <c:pt idx="43">
                  <c:v>0.15218672156334001</c:v>
                </c:pt>
                <c:pt idx="44">
                  <c:v>0.18101325631142001</c:v>
                </c:pt>
                <c:pt idx="45">
                  <c:v>0.18925026059151001</c:v>
                </c:pt>
                <c:pt idx="46">
                  <c:v>0.20676048099995001</c:v>
                </c:pt>
                <c:pt idx="47">
                  <c:v>0.23544688522816001</c:v>
                </c:pt>
                <c:pt idx="48">
                  <c:v>0.25413805246353</c:v>
                </c:pt>
                <c:pt idx="49">
                  <c:v>0.26606217026710999</c:v>
                </c:pt>
                <c:pt idx="50">
                  <c:v>0.26746797561646002</c:v>
                </c:pt>
                <c:pt idx="51">
                  <c:v>0.27641555666924</c:v>
                </c:pt>
                <c:pt idx="52">
                  <c:v>0.27849191427231001</c:v>
                </c:pt>
                <c:pt idx="53">
                  <c:v>0.28159648180008001</c:v>
                </c:pt>
                <c:pt idx="54">
                  <c:v>0.28302258253098</c:v>
                </c:pt>
                <c:pt idx="55">
                  <c:v>0.28198385238647</c:v>
                </c:pt>
                <c:pt idx="56">
                  <c:v>0.27906447649001997</c:v>
                </c:pt>
                <c:pt idx="57">
                  <c:v>0.27855265140532998</c:v>
                </c:pt>
                <c:pt idx="58">
                  <c:v>0.27264985442161999</c:v>
                </c:pt>
                <c:pt idx="59">
                  <c:v>0.26856011152267001</c:v>
                </c:pt>
                <c:pt idx="60">
                  <c:v>0.26374423503875999</c:v>
                </c:pt>
                <c:pt idx="61">
                  <c:v>0.25043499469757002</c:v>
                </c:pt>
                <c:pt idx="62">
                  <c:v>0.23208452761173001</c:v>
                </c:pt>
                <c:pt idx="63">
                  <c:v>0.20907805860042999</c:v>
                </c:pt>
                <c:pt idx="64">
                  <c:v>0.18321543931961001</c:v>
                </c:pt>
                <c:pt idx="65">
                  <c:v>0.16826584935187999</c:v>
                </c:pt>
                <c:pt idx="66">
                  <c:v>0.15623699128627999</c:v>
                </c:pt>
                <c:pt idx="67">
                  <c:v>0.12992614507674999</c:v>
                </c:pt>
                <c:pt idx="68">
                  <c:v>0.10560341924428999</c:v>
                </c:pt>
                <c:pt idx="69">
                  <c:v>8.4165766835212999E-2</c:v>
                </c:pt>
                <c:pt idx="70">
                  <c:v>6.5940447151661002E-2</c:v>
                </c:pt>
                <c:pt idx="71">
                  <c:v>5.6925002485513999E-2</c:v>
                </c:pt>
                <c:pt idx="72">
                  <c:v>5.0985872745513999E-2</c:v>
                </c:pt>
                <c:pt idx="73">
                  <c:v>3.9083454757929001E-2</c:v>
                </c:pt>
                <c:pt idx="74">
                  <c:v>2.9886463657022001E-2</c:v>
                </c:pt>
                <c:pt idx="75">
                  <c:v>2.2945737466216001E-2</c:v>
                </c:pt>
                <c:pt idx="76">
                  <c:v>1.7839610576629999E-2</c:v>
                </c:pt>
                <c:pt idx="77">
                  <c:v>1.5516147948802E-2</c:v>
                </c:pt>
                <c:pt idx="78">
                  <c:v>1.4161435887218E-2</c:v>
                </c:pt>
                <c:pt idx="79">
                  <c:v>1.1558255180717E-2</c:v>
                </c:pt>
                <c:pt idx="80">
                  <c:v>9.7416266798972997E-3</c:v>
                </c:pt>
                <c:pt idx="81">
                  <c:v>8.4888404235244005E-3</c:v>
                </c:pt>
                <c:pt idx="82">
                  <c:v>7.6312557794154003E-3</c:v>
                </c:pt>
                <c:pt idx="83">
                  <c:v>7.2503667324781002E-3</c:v>
                </c:pt>
                <c:pt idx="84">
                  <c:v>7.0469342172146E-3</c:v>
                </c:pt>
                <c:pt idx="85">
                  <c:v>6.6496832296251999E-3</c:v>
                </c:pt>
                <c:pt idx="86">
                  <c:v>6.3790804706514003E-3</c:v>
                </c:pt>
                <c:pt idx="87">
                  <c:v>6.1933933757246E-3</c:v>
                </c:pt>
                <c:pt idx="88">
                  <c:v>6.0645462945104001E-3</c:v>
                </c:pt>
                <c:pt idx="89">
                  <c:v>6.0044485144317003E-3</c:v>
                </c:pt>
                <c:pt idx="90">
                  <c:v>5.9731993824243997E-3</c:v>
                </c:pt>
                <c:pt idx="91">
                  <c:v>5.9064957313239999E-3</c:v>
                </c:pt>
                <c:pt idx="92">
                  <c:v>5.8557046577333996E-3</c:v>
                </c:pt>
                <c:pt idx="93">
                  <c:v>5.8152657002210999E-3</c:v>
                </c:pt>
                <c:pt idx="94">
                  <c:v>5.7810829021036998E-3</c:v>
                </c:pt>
                <c:pt idx="95">
                  <c:v>5.7608913630247003E-3</c:v>
                </c:pt>
                <c:pt idx="96">
                  <c:v>5.7498137466609001E-3</c:v>
                </c:pt>
                <c:pt idx="97">
                  <c:v>5.7199494913219998E-3</c:v>
                </c:pt>
                <c:pt idx="98">
                  <c:v>5.6900633499026004E-3</c:v>
                </c:pt>
                <c:pt idx="99">
                  <c:v>5.6590586900710999E-3</c:v>
                </c:pt>
                <c:pt idx="100">
                  <c:v>5.6265532039105996E-3</c:v>
                </c:pt>
                <c:pt idx="101">
                  <c:v>5.6041399948299001E-3</c:v>
                </c:pt>
                <c:pt idx="102">
                  <c:v>5.5919061414897E-3</c:v>
                </c:pt>
                <c:pt idx="103">
                  <c:v>5.5549074895680003E-3</c:v>
                </c:pt>
                <c:pt idx="104">
                  <c:v>5.5155362933874E-3</c:v>
                </c:pt>
                <c:pt idx="105">
                  <c:v>5.4738488979637996E-3</c:v>
                </c:pt>
                <c:pt idx="106">
                  <c:v>5.4299682378768999E-3</c:v>
                </c:pt>
                <c:pt idx="107">
                  <c:v>5.4000490345060999E-3</c:v>
                </c:pt>
                <c:pt idx="108">
                  <c:v>5.3841136395931001E-3</c:v>
                </c:pt>
                <c:pt idx="109">
                  <c:v>5.3365980274974996E-3</c:v>
                </c:pt>
                <c:pt idx="110">
                  <c:v>5.2876323461533E-3</c:v>
                </c:pt>
                <c:pt idx="111">
                  <c:v>5.2373944781721003E-3</c:v>
                </c:pt>
                <c:pt idx="112">
                  <c:v>5.1859179511666003E-3</c:v>
                </c:pt>
                <c:pt idx="113">
                  <c:v>5.1512946374714002E-3</c:v>
                </c:pt>
                <c:pt idx="114">
                  <c:v>5.1331953145564001E-3</c:v>
                </c:pt>
                <c:pt idx="115">
                  <c:v>5.0791953690350004E-3</c:v>
                </c:pt>
                <c:pt idx="116">
                  <c:v>5.0238873809576E-3</c:v>
                </c:pt>
                <c:pt idx="117">
                  <c:v>4.9672289751470002E-3</c:v>
                </c:pt>
                <c:pt idx="118">
                  <c:v>4.9092667177320004E-3</c:v>
                </c:pt>
                <c:pt idx="119">
                  <c:v>4.8702112399042E-3</c:v>
                </c:pt>
                <c:pt idx="120">
                  <c:v>4.850042052567E-3</c:v>
                </c:pt>
                <c:pt idx="121">
                  <c:v>4.7896015457808997E-3</c:v>
                </c:pt>
                <c:pt idx="122">
                  <c:v>4.7280131839215998E-3</c:v>
                </c:pt>
                <c:pt idx="123">
                  <c:v>4.6653719618916997E-3</c:v>
                </c:pt>
                <c:pt idx="124">
                  <c:v>4.6018133871257002E-3</c:v>
                </c:pt>
                <c:pt idx="125">
                  <c:v>4.5591187663376002E-3</c:v>
                </c:pt>
                <c:pt idx="126">
                  <c:v>4.5374659821391002E-3</c:v>
                </c:pt>
                <c:pt idx="127">
                  <c:v>4.4725951738656001E-3</c:v>
                </c:pt>
                <c:pt idx="128">
                  <c:v>4.4074254110455999E-3</c:v>
                </c:pt>
                <c:pt idx="129">
                  <c:v>4.3418803252280001E-3</c:v>
                </c:pt>
                <c:pt idx="130">
                  <c:v>4.276080057025E-3</c:v>
                </c:pt>
                <c:pt idx="131">
                  <c:v>4.2321756482123999E-3</c:v>
                </c:pt>
                <c:pt idx="132">
                  <c:v>4.2102695442736001E-3</c:v>
                </c:pt>
                <c:pt idx="133">
                  <c:v>3.8376701995730001E-3</c:v>
                </c:pt>
                <c:pt idx="134">
                  <c:v>2.9878551140428001E-3</c:v>
                </c:pt>
                <c:pt idx="135">
                  <c:v>2.1957964636384998E-3</c:v>
                </c:pt>
                <c:pt idx="136">
                  <c:v>1.5274427132680999E-3</c:v>
                </c:pt>
                <c:pt idx="137">
                  <c:v>1.0364475892856999E-3</c:v>
                </c:pt>
                <c:pt idx="138">
                  <c:v>6.6451815655455004E-4</c:v>
                </c:pt>
                <c:pt idx="139">
                  <c:v>3.672827151604E-4</c:v>
                </c:pt>
                <c:pt idx="140">
                  <c:v>1.7183413729071999E-4</c:v>
                </c:pt>
                <c:pt idx="141" formatCode="0.00E+00">
                  <c:v>6.5633372287265997E-5</c:v>
                </c:pt>
                <c:pt idx="142" formatCode="0.00E+00">
                  <c:v>1.9892526324838E-5</c:v>
                </c:pt>
                <c:pt idx="143" formatCode="0.00E+00">
                  <c:v>4.7922790145093998E-6</c:v>
                </c:pt>
                <c:pt idx="144" formatCode="0.00E+00">
                  <c:v>9.0569596977729996E-7</c:v>
                </c:pt>
                <c:pt idx="145" formatCode="0.00E+00">
                  <c:v>4.5834224238205997E-7</c:v>
                </c:pt>
                <c:pt idx="146" formatCode="0.00E+00">
                  <c:v>1.4488415445157001E-7</c:v>
                </c:pt>
                <c:pt idx="147" formatCode="0.00E+00">
                  <c:v>2.1030773567076999E-8</c:v>
                </c:pt>
                <c:pt idx="148" formatCode="0.00E+00">
                  <c:v>2.3618880184983002E-9</c:v>
                </c:pt>
                <c:pt idx="149" formatCode="0.00E+00">
                  <c:v>1.9166250808666998E-9</c:v>
                </c:pt>
                <c:pt idx="150" formatCode="0.00E+00">
                  <c:v>3.0988328569848002E-10</c:v>
                </c:pt>
                <c:pt idx="151" formatCode="0.00E+00">
                  <c:v>5.7829761812567E-11</c:v>
                </c:pt>
                <c:pt idx="152" formatCode="0.00E+00">
                  <c:v>2.0171338557805999E-11</c:v>
                </c:pt>
                <c:pt idx="153" formatCode="0.00E+00">
                  <c:v>9.4700393360457998E-12</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numCache>
            </c:numRef>
          </c:yVal>
          <c:smooth val="1"/>
          <c:extLst>
            <c:ext xmlns:c16="http://schemas.microsoft.com/office/drawing/2014/chart" uri="{C3380CC4-5D6E-409C-BE32-E72D297353CC}">
              <c16:uniqueId val="{00000002-4291-4F61-9B4E-BE96899E0C40}"/>
            </c:ext>
          </c:extLst>
        </c:ser>
        <c:dLbls>
          <c:showLegendKey val="0"/>
          <c:showVal val="0"/>
          <c:showCatName val="0"/>
          <c:showSerName val="0"/>
          <c:showPercent val="0"/>
          <c:showBubbleSize val="0"/>
        </c:dLbls>
        <c:axId val="177588480"/>
        <c:axId val="177598848"/>
      </c:scatterChart>
      <c:valAx>
        <c:axId val="177588480"/>
        <c:scaling>
          <c:logBase val="10"/>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Production Time, Days </a:t>
                </a:r>
              </a:p>
            </c:rich>
          </c:tx>
          <c:layout>
            <c:manualLayout>
              <c:xMode val="edge"/>
              <c:yMode val="edge"/>
              <c:x val="0.38171332499912031"/>
              <c:y val="2.2431759838676256E-2"/>
            </c:manualLayout>
          </c:layout>
          <c:overlay val="0"/>
          <c:spPr>
            <a:noFill/>
            <a:ln>
              <a:noFill/>
            </a:ln>
            <a:effectLst/>
          </c:spPr>
        </c:title>
        <c:numFmt formatCode="General" sourceLinked="1"/>
        <c:majorTickMark val="none"/>
        <c:minorTickMark val="none"/>
        <c:tickLblPos val="high"/>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598848"/>
        <c:crosses val="autoZero"/>
        <c:crossBetween val="midCat"/>
      </c:valAx>
      <c:valAx>
        <c:axId val="177598848"/>
        <c:scaling>
          <c:logBase val="10"/>
          <c:orientation val="minMax"/>
          <c:max val="1"/>
          <c:min val="1.0000000000000004E-5"/>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Chemical Tracer Mole Fracrtion</a:t>
                </a:r>
              </a:p>
            </c:rich>
          </c:tx>
          <c:layout>
            <c:manualLayout>
              <c:xMode val="edge"/>
              <c:yMode val="edge"/>
              <c:x val="2.2974591099841336E-2"/>
              <c:y val="0.19699591192447846"/>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588480"/>
        <c:crosses val="autoZero"/>
        <c:crossBetween val="midCat"/>
      </c:valAx>
      <c:spPr>
        <a:noFill/>
        <a:ln>
          <a:solidFill>
            <a:schemeClr val="tx1"/>
          </a:solidFill>
        </a:ln>
        <a:effectLst/>
      </c:spPr>
    </c:plotArea>
    <c:legend>
      <c:legendPos val="r"/>
      <c:layout>
        <c:manualLayout>
          <c:xMode val="edge"/>
          <c:yMode val="edge"/>
          <c:x val="0.44805503655263423"/>
          <c:y val="0.15145117431973312"/>
          <c:w val="0.47859075878227086"/>
          <c:h val="0.327011820272661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12842665500146"/>
          <c:y val="4.5643153526970952E-2"/>
          <c:w val="0.82289935112277635"/>
          <c:h val="0.7717218283399222"/>
        </c:manualLayout>
      </c:layout>
      <c:scatterChart>
        <c:scatterStyle val="smoothMarker"/>
        <c:varyColors val="0"/>
        <c:ser>
          <c:idx val="0"/>
          <c:order val="0"/>
          <c:spPr>
            <a:ln w="9525">
              <a:solidFill>
                <a:schemeClr val="tx1"/>
              </a:solidFill>
            </a:ln>
          </c:spPr>
          <c:marker>
            <c:symbol val="none"/>
          </c:marker>
          <c:xVal>
            <c:numRef>
              <c:f>Sheet1!$D$1:$D$50</c:f>
              <c:numCache>
                <c:formatCode>General</c:formatCode>
                <c:ptCount val="50"/>
                <c:pt idx="0">
                  <c:v>3</c:v>
                </c:pt>
                <c:pt idx="1">
                  <c:v>9</c:v>
                </c:pt>
                <c:pt idx="2">
                  <c:v>15</c:v>
                </c:pt>
                <c:pt idx="3">
                  <c:v>21</c:v>
                </c:pt>
                <c:pt idx="4">
                  <c:v>27</c:v>
                </c:pt>
                <c:pt idx="5">
                  <c:v>33</c:v>
                </c:pt>
                <c:pt idx="6">
                  <c:v>39</c:v>
                </c:pt>
                <c:pt idx="7">
                  <c:v>45</c:v>
                </c:pt>
                <c:pt idx="8">
                  <c:v>51</c:v>
                </c:pt>
                <c:pt idx="9">
                  <c:v>57</c:v>
                </c:pt>
                <c:pt idx="10">
                  <c:v>63</c:v>
                </c:pt>
                <c:pt idx="11">
                  <c:v>69</c:v>
                </c:pt>
                <c:pt idx="12">
                  <c:v>75</c:v>
                </c:pt>
                <c:pt idx="13">
                  <c:v>81</c:v>
                </c:pt>
                <c:pt idx="14">
                  <c:v>87</c:v>
                </c:pt>
                <c:pt idx="15">
                  <c:v>93</c:v>
                </c:pt>
                <c:pt idx="16">
                  <c:v>99</c:v>
                </c:pt>
                <c:pt idx="17">
                  <c:v>105</c:v>
                </c:pt>
                <c:pt idx="18">
                  <c:v>111</c:v>
                </c:pt>
                <c:pt idx="19">
                  <c:v>117</c:v>
                </c:pt>
                <c:pt idx="20">
                  <c:v>123</c:v>
                </c:pt>
                <c:pt idx="21">
                  <c:v>129</c:v>
                </c:pt>
                <c:pt idx="22">
                  <c:v>135</c:v>
                </c:pt>
                <c:pt idx="23">
                  <c:v>141</c:v>
                </c:pt>
                <c:pt idx="24">
                  <c:v>147</c:v>
                </c:pt>
                <c:pt idx="25">
                  <c:v>153</c:v>
                </c:pt>
                <c:pt idx="26">
                  <c:v>159</c:v>
                </c:pt>
                <c:pt idx="27">
                  <c:v>165</c:v>
                </c:pt>
                <c:pt idx="28">
                  <c:v>171</c:v>
                </c:pt>
                <c:pt idx="29">
                  <c:v>177</c:v>
                </c:pt>
                <c:pt idx="30">
                  <c:v>183</c:v>
                </c:pt>
                <c:pt idx="31">
                  <c:v>189</c:v>
                </c:pt>
                <c:pt idx="32">
                  <c:v>195</c:v>
                </c:pt>
                <c:pt idx="33">
                  <c:v>201</c:v>
                </c:pt>
                <c:pt idx="34">
                  <c:v>207</c:v>
                </c:pt>
                <c:pt idx="35">
                  <c:v>213</c:v>
                </c:pt>
                <c:pt idx="36">
                  <c:v>219</c:v>
                </c:pt>
                <c:pt idx="37">
                  <c:v>225</c:v>
                </c:pt>
                <c:pt idx="38">
                  <c:v>231</c:v>
                </c:pt>
                <c:pt idx="39">
                  <c:v>237</c:v>
                </c:pt>
                <c:pt idx="40">
                  <c:v>243</c:v>
                </c:pt>
                <c:pt idx="41">
                  <c:v>249</c:v>
                </c:pt>
                <c:pt idx="42">
                  <c:v>255</c:v>
                </c:pt>
                <c:pt idx="43">
                  <c:v>261</c:v>
                </c:pt>
                <c:pt idx="44">
                  <c:v>267</c:v>
                </c:pt>
                <c:pt idx="45">
                  <c:v>273</c:v>
                </c:pt>
                <c:pt idx="46">
                  <c:v>279</c:v>
                </c:pt>
                <c:pt idx="47">
                  <c:v>285</c:v>
                </c:pt>
                <c:pt idx="48">
                  <c:v>291</c:v>
                </c:pt>
                <c:pt idx="49">
                  <c:v>297</c:v>
                </c:pt>
              </c:numCache>
            </c:numRef>
          </c:xVal>
          <c:yVal>
            <c:numRef>
              <c:f>Sheet1!$E$1:$E$50</c:f>
              <c:numCache>
                <c:formatCode>General</c:formatCode>
                <c:ptCount val="50"/>
                <c:pt idx="0">
                  <c:v>0.929863</c:v>
                </c:pt>
                <c:pt idx="1">
                  <c:v>0.93043600000000004</c:v>
                </c:pt>
                <c:pt idx="2">
                  <c:v>0.93041499999999999</c:v>
                </c:pt>
                <c:pt idx="3">
                  <c:v>0.92996999999999996</c:v>
                </c:pt>
                <c:pt idx="4">
                  <c:v>0.92927700000000002</c:v>
                </c:pt>
                <c:pt idx="5">
                  <c:v>0.92840599999999995</c:v>
                </c:pt>
                <c:pt idx="6">
                  <c:v>0.92610099999999995</c:v>
                </c:pt>
                <c:pt idx="7">
                  <c:v>0.92079800000000001</c:v>
                </c:pt>
                <c:pt idx="8">
                  <c:v>0.91412800000000005</c:v>
                </c:pt>
                <c:pt idx="9">
                  <c:v>0.90596399999999999</c:v>
                </c:pt>
                <c:pt idx="10">
                  <c:v>0.89695000000000003</c:v>
                </c:pt>
                <c:pt idx="11">
                  <c:v>0.88974900000000001</c:v>
                </c:pt>
                <c:pt idx="12">
                  <c:v>0.88468800000000003</c:v>
                </c:pt>
                <c:pt idx="13">
                  <c:v>0.88139900000000004</c:v>
                </c:pt>
                <c:pt idx="14">
                  <c:v>0.87975700000000001</c:v>
                </c:pt>
                <c:pt idx="15">
                  <c:v>0.87919099999999994</c:v>
                </c:pt>
                <c:pt idx="16">
                  <c:v>0.87921800000000006</c:v>
                </c:pt>
                <c:pt idx="17">
                  <c:v>0.87941899999999995</c:v>
                </c:pt>
                <c:pt idx="18">
                  <c:v>0.87949200000000005</c:v>
                </c:pt>
                <c:pt idx="19">
                  <c:v>0.87926199999999999</c:v>
                </c:pt>
                <c:pt idx="20">
                  <c:v>0.87865400000000005</c:v>
                </c:pt>
                <c:pt idx="21">
                  <c:v>0.877664</c:v>
                </c:pt>
                <c:pt idx="22">
                  <c:v>0.87632900000000002</c:v>
                </c:pt>
                <c:pt idx="23">
                  <c:v>0.87470599999999998</c:v>
                </c:pt>
                <c:pt idx="24">
                  <c:v>0.87283900000000003</c:v>
                </c:pt>
                <c:pt idx="25">
                  <c:v>0.87061900000000003</c:v>
                </c:pt>
                <c:pt idx="26">
                  <c:v>0.86715399999999998</c:v>
                </c:pt>
                <c:pt idx="27">
                  <c:v>0.85806700000000002</c:v>
                </c:pt>
                <c:pt idx="28">
                  <c:v>0.83470999999999995</c:v>
                </c:pt>
                <c:pt idx="29">
                  <c:v>0.79443900000000001</c:v>
                </c:pt>
                <c:pt idx="30">
                  <c:v>0.74166500000000002</c:v>
                </c:pt>
                <c:pt idx="31">
                  <c:v>0.67987200000000003</c:v>
                </c:pt>
                <c:pt idx="32">
                  <c:v>0.60322600000000004</c:v>
                </c:pt>
                <c:pt idx="33">
                  <c:v>0.49404799999999999</c:v>
                </c:pt>
                <c:pt idx="34">
                  <c:v>0.34181499999999998</c:v>
                </c:pt>
                <c:pt idx="35">
                  <c:v>0.30785400000000002</c:v>
                </c:pt>
                <c:pt idx="36">
                  <c:v>0.30589499999999997</c:v>
                </c:pt>
                <c:pt idx="37">
                  <c:v>0.30592999999999998</c:v>
                </c:pt>
                <c:pt idx="38">
                  <c:v>0.30605199999999999</c:v>
                </c:pt>
                <c:pt idx="39">
                  <c:v>0.30617100000000003</c:v>
                </c:pt>
                <c:pt idx="40">
                  <c:v>0.306282</c:v>
                </c:pt>
                <c:pt idx="41">
                  <c:v>0.30638599999999999</c:v>
                </c:pt>
                <c:pt idx="42">
                  <c:v>0.306481</c:v>
                </c:pt>
                <c:pt idx="43">
                  <c:v>0.30656699999999998</c:v>
                </c:pt>
                <c:pt idx="44">
                  <c:v>0.30664400000000003</c:v>
                </c:pt>
                <c:pt idx="45">
                  <c:v>0.30670900000000001</c:v>
                </c:pt>
                <c:pt idx="46">
                  <c:v>0.30676399999999998</c:v>
                </c:pt>
                <c:pt idx="47">
                  <c:v>0.30680800000000003</c:v>
                </c:pt>
                <c:pt idx="48">
                  <c:v>0.30684</c:v>
                </c:pt>
                <c:pt idx="49">
                  <c:v>0.30685899999999999</c:v>
                </c:pt>
              </c:numCache>
            </c:numRef>
          </c:yVal>
          <c:smooth val="1"/>
          <c:extLst>
            <c:ext xmlns:c16="http://schemas.microsoft.com/office/drawing/2014/chart" uri="{C3380CC4-5D6E-409C-BE32-E72D297353CC}">
              <c16:uniqueId val="{00000000-791A-4051-82DE-162A17B34EBA}"/>
            </c:ext>
          </c:extLst>
        </c:ser>
        <c:dLbls>
          <c:showLegendKey val="0"/>
          <c:showVal val="0"/>
          <c:showCatName val="0"/>
          <c:showSerName val="0"/>
          <c:showPercent val="0"/>
          <c:showBubbleSize val="0"/>
        </c:dLbls>
        <c:axId val="177670400"/>
        <c:axId val="177672576"/>
      </c:scatterChart>
      <c:valAx>
        <c:axId val="177670400"/>
        <c:scaling>
          <c:orientation val="minMax"/>
        </c:scaling>
        <c:delete val="0"/>
        <c:axPos val="b"/>
        <c:title>
          <c:tx>
            <c:rich>
              <a:bodyPr/>
              <a:lstStyle/>
              <a:p>
                <a:pPr>
                  <a:defRPr b="0"/>
                </a:pPr>
                <a:r>
                  <a:rPr lang="en-US" b="0"/>
                  <a:t>Distance from Wellbore, ft</a:t>
                </a:r>
              </a:p>
            </c:rich>
          </c:tx>
          <c:overlay val="0"/>
        </c:title>
        <c:numFmt formatCode="General" sourceLinked="1"/>
        <c:majorTickMark val="out"/>
        <c:minorTickMark val="none"/>
        <c:tickLblPos val="nextTo"/>
        <c:crossAx val="177672576"/>
        <c:crosses val="autoZero"/>
        <c:crossBetween val="midCat"/>
      </c:valAx>
      <c:valAx>
        <c:axId val="177672576"/>
        <c:scaling>
          <c:orientation val="minMax"/>
        </c:scaling>
        <c:delete val="0"/>
        <c:axPos val="l"/>
        <c:title>
          <c:tx>
            <c:rich>
              <a:bodyPr rot="-5400000" vert="horz"/>
              <a:lstStyle/>
              <a:p>
                <a:pPr>
                  <a:defRPr b="0"/>
                </a:pPr>
                <a:r>
                  <a:rPr lang="en-US" b="0"/>
                  <a:t>Water Saturation</a:t>
                </a:r>
              </a:p>
            </c:rich>
          </c:tx>
          <c:overlay val="0"/>
        </c:title>
        <c:numFmt formatCode="General" sourceLinked="1"/>
        <c:majorTickMark val="out"/>
        <c:minorTickMark val="none"/>
        <c:tickLblPos val="nextTo"/>
        <c:crossAx val="177670400"/>
        <c:crosses val="autoZero"/>
        <c:crossBetween val="midCat"/>
      </c:valAx>
      <c:spPr>
        <a:ln>
          <a:solidFill>
            <a:schemeClr val="tx1"/>
          </a:solidFill>
        </a:ln>
      </c:spPr>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14552347623214"/>
          <c:y val="6.040965173570699E-2"/>
          <c:w val="0.83678040244969376"/>
          <c:h val="0.82742361205554271"/>
        </c:manualLayout>
      </c:layout>
      <c:scatterChart>
        <c:scatterStyle val="smoothMarker"/>
        <c:varyColors val="0"/>
        <c:ser>
          <c:idx val="2"/>
          <c:order val="1"/>
          <c:tx>
            <c:v>Case A, slit model, our measurements</c:v>
          </c:tx>
          <c:spPr>
            <a:ln w="12700">
              <a:solidFill>
                <a:schemeClr val="tx1"/>
              </a:solidFill>
            </a:ln>
          </c:spPr>
          <c:marker>
            <c:symbol val="none"/>
          </c:marker>
          <c:xVal>
            <c:numRef>
              <c:f>'Pore Volume'!$B$24:$B$86</c:f>
              <c:numCache>
                <c:formatCode>General</c:formatCode>
                <c:ptCount val="63"/>
                <c:pt idx="0">
                  <c:v>2.0015469782429589</c:v>
                </c:pt>
                <c:pt idx="1">
                  <c:v>2.1623856797064036</c:v>
                </c:pt>
                <c:pt idx="2">
                  <c:v>2.3410952343786446</c:v>
                </c:pt>
                <c:pt idx="3">
                  <c:v>2.5198047890508861</c:v>
                </c:pt>
                <c:pt idx="4">
                  <c:v>2.7342562205714329</c:v>
                </c:pt>
                <c:pt idx="5">
                  <c:v>2.9487076520919802</c:v>
                </c:pt>
                <c:pt idx="6">
                  <c:v>3.1810301072520359</c:v>
                </c:pt>
                <c:pt idx="7">
                  <c:v>3.4312235860516012</c:v>
                </c:pt>
                <c:pt idx="8">
                  <c:v>3.6992879180599632</c:v>
                </c:pt>
                <c:pt idx="9">
                  <c:v>4.0030939564859178</c:v>
                </c:pt>
                <c:pt idx="10">
                  <c:v>4.3247713594128072</c:v>
                </c:pt>
                <c:pt idx="11">
                  <c:v>4.6643194451177807</c:v>
                </c:pt>
                <c:pt idx="12">
                  <c:v>5.0396095781017722</c:v>
                </c:pt>
                <c:pt idx="13">
                  <c:v>5.4327703938638479</c:v>
                </c:pt>
                <c:pt idx="14">
                  <c:v>5.8795442805444509</c:v>
                </c:pt>
                <c:pt idx="15">
                  <c:v>6.3441891908645633</c:v>
                </c:pt>
                <c:pt idx="16">
                  <c:v>6.8445758076022685</c:v>
                </c:pt>
                <c:pt idx="17">
                  <c:v>7.3985758361199263</c:v>
                </c:pt>
                <c:pt idx="18">
                  <c:v>7.9883172301937524</c:v>
                </c:pt>
                <c:pt idx="19">
                  <c:v>8.6316713543246806</c:v>
                </c:pt>
                <c:pt idx="20">
                  <c:v>9.3107675257346276</c:v>
                </c:pt>
                <c:pt idx="21">
                  <c:v>10.061347791702611</c:v>
                </c:pt>
                <c:pt idx="22">
                  <c:v>10.865540787727696</c:v>
                </c:pt>
                <c:pt idx="23">
                  <c:v>11.723346513809883</c:v>
                </c:pt>
                <c:pt idx="24">
                  <c:v>12.652637016172957</c:v>
                </c:pt>
                <c:pt idx="25">
                  <c:v>13.671280932426452</c:v>
                </c:pt>
                <c:pt idx="26">
                  <c:v>14.761408943237985</c:v>
                </c:pt>
                <c:pt idx="27">
                  <c:v>15.940891731385637</c:v>
                </c:pt>
                <c:pt idx="28">
                  <c:v>17.20973066031511</c:v>
                </c:pt>
                <c:pt idx="29">
                  <c:v>18.585793685913085</c:v>
                </c:pt>
                <c:pt idx="30">
                  <c:v>20.069083535070966</c:v>
                </c:pt>
                <c:pt idx="31">
                  <c:v>21.659597480897354</c:v>
                </c:pt>
                <c:pt idx="32">
                  <c:v>23.393079615839817</c:v>
                </c:pt>
                <c:pt idx="33">
                  <c:v>25.251660620565964</c:v>
                </c:pt>
                <c:pt idx="34">
                  <c:v>27.271079133740567</c:v>
                </c:pt>
                <c:pt idx="35">
                  <c:v>29.45133515536363</c:v>
                </c:pt>
                <c:pt idx="36">
                  <c:v>31.792428685435151</c:v>
                </c:pt>
                <c:pt idx="37">
                  <c:v>34.330106543294093</c:v>
                </c:pt>
                <c:pt idx="38">
                  <c:v>37.064360548266265</c:v>
                </c:pt>
                <c:pt idx="39">
                  <c:v>40.030940246582034</c:v>
                </c:pt>
                <c:pt idx="40">
                  <c:v>43.229840184458588</c:v>
                </c:pt>
                <c:pt idx="41">
                  <c:v>46.678937861902526</c:v>
                </c:pt>
                <c:pt idx="42">
                  <c:v>50.396094417572023</c:v>
                </c:pt>
                <c:pt idx="43">
                  <c:v>54.41705939769745</c:v>
                </c:pt>
                <c:pt idx="44">
                  <c:v>58.759699394719789</c:v>
                </c:pt>
                <c:pt idx="45">
                  <c:v>63.44189190864563</c:v>
                </c:pt>
                <c:pt idx="46">
                  <c:v>68.499370124356943</c:v>
                </c:pt>
                <c:pt idx="47">
                  <c:v>73.967883588084078</c:v>
                </c:pt>
                <c:pt idx="48">
                  <c:v>79.865298892268044</c:v>
                </c:pt>
                <c:pt idx="49">
                  <c:v>86.245232175580171</c:v>
                </c:pt>
                <c:pt idx="50">
                  <c:v>93.125544576678664</c:v>
                </c:pt>
                <c:pt idx="51">
                  <c:v>100.55986859558325</c:v>
                </c:pt>
                <c:pt idx="52">
                  <c:v>108.56605446338654</c:v>
                </c:pt>
                <c:pt idx="53">
                  <c:v>117.23346786499023</c:v>
                </c:pt>
                <c:pt idx="54">
                  <c:v>126.57997539283534</c:v>
                </c:pt>
                <c:pt idx="55">
                  <c:v>136.67706523181695</c:v>
                </c:pt>
                <c:pt idx="56">
                  <c:v>147.59622556683024</c:v>
                </c:pt>
                <c:pt idx="57">
                  <c:v>159.3553120827506</c:v>
                </c:pt>
                <c:pt idx="58">
                  <c:v>172.07943455692731</c:v>
                </c:pt>
                <c:pt idx="59">
                  <c:v>185.80431526667672</c:v>
                </c:pt>
                <c:pt idx="60">
                  <c:v>200.61934171203174</c:v>
                </c:pt>
                <c:pt idx="61">
                  <c:v>216.63171344763833</c:v>
                </c:pt>
                <c:pt idx="62">
                  <c:v>233.91294047352275</c:v>
                </c:pt>
              </c:numCache>
            </c:numRef>
          </c:xVal>
          <c:yVal>
            <c:numRef>
              <c:f>'Pore Volume'!$E$24:$E$86</c:f>
              <c:numCache>
                <c:formatCode>General</c:formatCode>
                <c:ptCount val="63"/>
                <c:pt idx="0">
                  <c:v>0</c:v>
                </c:pt>
                <c:pt idx="1">
                  <c:v>0</c:v>
                </c:pt>
                <c:pt idx="2">
                  <c:v>0.10798166244530018</c:v>
                </c:pt>
                <c:pt idx="3">
                  <c:v>1.2866885587918253</c:v>
                </c:pt>
                <c:pt idx="4">
                  <c:v>2.2428714143300379</c:v>
                </c:pt>
                <c:pt idx="5">
                  <c:v>2.1916696439715571</c:v>
                </c:pt>
                <c:pt idx="6">
                  <c:v>1.9646379629525552</c:v>
                </c:pt>
                <c:pt idx="7">
                  <c:v>1.7386631805657384</c:v>
                </c:pt>
                <c:pt idx="8">
                  <c:v>1.362586098441529</c:v>
                </c:pt>
                <c:pt idx="9">
                  <c:v>1.7375041414624346</c:v>
                </c:pt>
                <c:pt idx="10">
                  <c:v>2.4581235862030417</c:v>
                </c:pt>
                <c:pt idx="11">
                  <c:v>3.1128192081154005</c:v>
                </c:pt>
                <c:pt idx="12">
                  <c:v>3.5539610354217133</c:v>
                </c:pt>
                <c:pt idx="13">
                  <c:v>3.7929727239819377</c:v>
                </c:pt>
                <c:pt idx="14">
                  <c:v>3.8778512199589463</c:v>
                </c:pt>
                <c:pt idx="15">
                  <c:v>4.0334236146082159</c:v>
                </c:pt>
                <c:pt idx="16">
                  <c:v>4.3017663299812625</c:v>
                </c:pt>
                <c:pt idx="17">
                  <c:v>3.7922635620017089</c:v>
                </c:pt>
                <c:pt idx="18">
                  <c:v>4.051713548139432</c:v>
                </c:pt>
                <c:pt idx="19">
                  <c:v>5.162339365954308</c:v>
                </c:pt>
                <c:pt idx="20">
                  <c:v>5.0312328662992405</c:v>
                </c:pt>
                <c:pt idx="21">
                  <c:v>3.7029628158728936</c:v>
                </c:pt>
                <c:pt idx="22">
                  <c:v>3.2228219072624222</c:v>
                </c:pt>
                <c:pt idx="23">
                  <c:v>2.8663735647285993</c:v>
                </c:pt>
                <c:pt idx="24">
                  <c:v>2.5927395761728262</c:v>
                </c:pt>
                <c:pt idx="25">
                  <c:v>2.3801305046818433</c:v>
                </c:pt>
                <c:pt idx="26">
                  <c:v>2.1895640761057202</c:v>
                </c:pt>
                <c:pt idx="27">
                  <c:v>1.9522933901422519</c:v>
                </c:pt>
                <c:pt idx="28">
                  <c:v>1.6287219291168731</c:v>
                </c:pt>
                <c:pt idx="29">
                  <c:v>1.2942802406014888</c:v>
                </c:pt>
                <c:pt idx="30">
                  <c:v>1.0642870388666794</c:v>
                </c:pt>
                <c:pt idx="31">
                  <c:v>0.99638724244483801</c:v>
                </c:pt>
                <c:pt idx="32">
                  <c:v>1.0380417675120346</c:v>
                </c:pt>
                <c:pt idx="33">
                  <c:v>1.1379304974516125</c:v>
                </c:pt>
                <c:pt idx="34">
                  <c:v>1.1552096276852288</c:v>
                </c:pt>
                <c:pt idx="35">
                  <c:v>0.76132067336274711</c:v>
                </c:pt>
                <c:pt idx="36">
                  <c:v>0.68638796290043436</c:v>
                </c:pt>
                <c:pt idx="37">
                  <c:v>0.91106203368570371</c:v>
                </c:pt>
                <c:pt idx="38">
                  <c:v>0.96054049641043171</c:v>
                </c:pt>
                <c:pt idx="39">
                  <c:v>0.99584019762613396</c:v>
                </c:pt>
                <c:pt idx="40">
                  <c:v>0.81970145673589279</c:v>
                </c:pt>
                <c:pt idx="41">
                  <c:v>0.98248660067128779</c:v>
                </c:pt>
                <c:pt idx="42">
                  <c:v>1.3751505099731256</c:v>
                </c:pt>
                <c:pt idx="43">
                  <c:v>0.73557031890951452</c:v>
                </c:pt>
                <c:pt idx="44">
                  <c:v>0.16764939930420059</c:v>
                </c:pt>
                <c:pt idx="45">
                  <c:v>0.52309040952570796</c:v>
                </c:pt>
                <c:pt idx="46">
                  <c:v>1.5107708189280111</c:v>
                </c:pt>
                <c:pt idx="47">
                  <c:v>1.1226244768651044</c:v>
                </c:pt>
                <c:pt idx="48">
                  <c:v>0.80418513802843672</c:v>
                </c:pt>
                <c:pt idx="49">
                  <c:v>0.64260796006745424</c:v>
                </c:pt>
                <c:pt idx="50">
                  <c:v>0.47838895664190334</c:v>
                </c:pt>
                <c:pt idx="51">
                  <c:v>0.45320236454741381</c:v>
                </c:pt>
                <c:pt idx="52">
                  <c:v>0.12490022223879207</c:v>
                </c:pt>
                <c:pt idx="53">
                  <c:v>7.7511824807605531E-2</c:v>
                </c:pt>
                <c:pt idx="54">
                  <c:v>0</c:v>
                </c:pt>
                <c:pt idx="55">
                  <c:v>0.45203220002520139</c:v>
                </c:pt>
                <c:pt idx="56">
                  <c:v>0.4342373048264388</c:v>
                </c:pt>
                <c:pt idx="57">
                  <c:v>0</c:v>
                </c:pt>
                <c:pt idx="58">
                  <c:v>0</c:v>
                </c:pt>
                <c:pt idx="59">
                  <c:v>0</c:v>
                </c:pt>
                <c:pt idx="60">
                  <c:v>0.93467211023712304</c:v>
                </c:pt>
                <c:pt idx="61">
                  <c:v>0.61403432750393672</c:v>
                </c:pt>
                <c:pt idx="62">
                  <c:v>0.40921833390589624</c:v>
                </c:pt>
              </c:numCache>
            </c:numRef>
          </c:yVal>
          <c:smooth val="1"/>
          <c:extLst>
            <c:ext xmlns:c16="http://schemas.microsoft.com/office/drawing/2014/chart" uri="{C3380CC4-5D6E-409C-BE32-E72D297353CC}">
              <c16:uniqueId val="{00000000-FCE2-451A-B5C4-8FDCA291F17B}"/>
            </c:ext>
          </c:extLst>
        </c:ser>
        <c:ser>
          <c:idx val="3"/>
          <c:order val="2"/>
          <c:tx>
            <c:v>Case B, spherical model, our measurements</c:v>
          </c:tx>
          <c:spPr>
            <a:ln w="12700">
              <a:solidFill>
                <a:schemeClr val="tx1"/>
              </a:solidFill>
              <a:prstDash val="lgDash"/>
            </a:ln>
          </c:spPr>
          <c:marker>
            <c:symbol val="none"/>
          </c:marker>
          <c:xVal>
            <c:numRef>
              <c:f>'Pore Volume'!$A$24:$A$86</c:f>
              <c:numCache>
                <c:formatCode>General</c:formatCode>
                <c:ptCount val="63"/>
                <c:pt idx="0">
                  <c:v>3.0023204673644384</c:v>
                </c:pt>
                <c:pt idx="1">
                  <c:v>3.2435785195596054</c:v>
                </c:pt>
                <c:pt idx="2">
                  <c:v>3.511642851567967</c:v>
                </c:pt>
                <c:pt idx="3">
                  <c:v>3.7797071835763294</c:v>
                </c:pt>
                <c:pt idx="4">
                  <c:v>4.1013843308571492</c:v>
                </c:pt>
                <c:pt idx="5">
                  <c:v>4.4230614781379707</c:v>
                </c:pt>
                <c:pt idx="6">
                  <c:v>4.7715451608780537</c:v>
                </c:pt>
                <c:pt idx="7">
                  <c:v>5.1468353790774017</c:v>
                </c:pt>
                <c:pt idx="8">
                  <c:v>5.5489318770899452</c:v>
                </c:pt>
                <c:pt idx="9">
                  <c:v>6.0046409347288767</c:v>
                </c:pt>
                <c:pt idx="10">
                  <c:v>6.4871570391192108</c:v>
                </c:pt>
                <c:pt idx="11">
                  <c:v>6.9964791676766716</c:v>
                </c:pt>
                <c:pt idx="12">
                  <c:v>7.5594143671526588</c:v>
                </c:pt>
                <c:pt idx="13">
                  <c:v>8.1491555907957718</c:v>
                </c:pt>
                <c:pt idx="14">
                  <c:v>8.8193164208166763</c:v>
                </c:pt>
                <c:pt idx="15">
                  <c:v>9.5162837862968459</c:v>
                </c:pt>
                <c:pt idx="16">
                  <c:v>10.266863711403403</c:v>
                </c:pt>
                <c:pt idx="17">
                  <c:v>11.09786375417989</c:v>
                </c:pt>
                <c:pt idx="18">
                  <c:v>11.982475845290629</c:v>
                </c:pt>
                <c:pt idx="19">
                  <c:v>12.947507031487021</c:v>
                </c:pt>
                <c:pt idx="20">
                  <c:v>13.966151288601942</c:v>
                </c:pt>
                <c:pt idx="21">
                  <c:v>15.092021687553917</c:v>
                </c:pt>
                <c:pt idx="22">
                  <c:v>16.298311181591544</c:v>
                </c:pt>
                <c:pt idx="23">
                  <c:v>17.585019770714823</c:v>
                </c:pt>
                <c:pt idx="24">
                  <c:v>18.978955524259433</c:v>
                </c:pt>
                <c:pt idx="25">
                  <c:v>20.506921398639676</c:v>
                </c:pt>
                <c:pt idx="26">
                  <c:v>22.142113414856979</c:v>
                </c:pt>
                <c:pt idx="27">
                  <c:v>23.911337597078457</c:v>
                </c:pt>
                <c:pt idx="28">
                  <c:v>25.814595990472665</c:v>
                </c:pt>
                <c:pt idx="29">
                  <c:v>27.878690528869626</c:v>
                </c:pt>
                <c:pt idx="30">
                  <c:v>30.103625302606449</c:v>
                </c:pt>
                <c:pt idx="31">
                  <c:v>32.489396221346027</c:v>
                </c:pt>
                <c:pt idx="32">
                  <c:v>35.089619423759729</c:v>
                </c:pt>
                <c:pt idx="33">
                  <c:v>37.87749093084895</c:v>
                </c:pt>
                <c:pt idx="34">
                  <c:v>40.906618700610849</c:v>
                </c:pt>
                <c:pt idx="35">
                  <c:v>44.177002733045441</c:v>
                </c:pt>
                <c:pt idx="36">
                  <c:v>47.688643028152725</c:v>
                </c:pt>
                <c:pt idx="37">
                  <c:v>51.49515981494114</c:v>
                </c:pt>
                <c:pt idx="38">
                  <c:v>55.596540822399398</c:v>
                </c:pt>
                <c:pt idx="39">
                  <c:v>60.046410369873051</c:v>
                </c:pt>
                <c:pt idx="40">
                  <c:v>64.844760276687879</c:v>
                </c:pt>
                <c:pt idx="41">
                  <c:v>70.018406792853796</c:v>
                </c:pt>
                <c:pt idx="42">
                  <c:v>75.594141626358038</c:v>
                </c:pt>
                <c:pt idx="43">
                  <c:v>81.625589096546179</c:v>
                </c:pt>
                <c:pt idx="44">
                  <c:v>88.139549092079676</c:v>
                </c:pt>
                <c:pt idx="45">
                  <c:v>95.162837862968445</c:v>
                </c:pt>
                <c:pt idx="46">
                  <c:v>102.74905518653541</c:v>
                </c:pt>
                <c:pt idx="47">
                  <c:v>110.95182538212612</c:v>
                </c:pt>
                <c:pt idx="48">
                  <c:v>119.79794833840207</c:v>
                </c:pt>
                <c:pt idx="49">
                  <c:v>129.36784826337026</c:v>
                </c:pt>
                <c:pt idx="50">
                  <c:v>139.68831686501801</c:v>
                </c:pt>
                <c:pt idx="51">
                  <c:v>150.83980289337489</c:v>
                </c:pt>
                <c:pt idx="52">
                  <c:v>162.8490816950798</c:v>
                </c:pt>
                <c:pt idx="53">
                  <c:v>175.85020179748534</c:v>
                </c:pt>
                <c:pt idx="54">
                  <c:v>189.86996308925302</c:v>
                </c:pt>
                <c:pt idx="55">
                  <c:v>205.01559784772542</c:v>
                </c:pt>
                <c:pt idx="56">
                  <c:v>221.39433835024536</c:v>
                </c:pt>
                <c:pt idx="57">
                  <c:v>239.03296812412589</c:v>
                </c:pt>
                <c:pt idx="58">
                  <c:v>258.11915183539099</c:v>
                </c:pt>
                <c:pt idx="59">
                  <c:v>278.70647290001511</c:v>
                </c:pt>
                <c:pt idx="60">
                  <c:v>300.9290125680476</c:v>
                </c:pt>
                <c:pt idx="61">
                  <c:v>324.94757017145753</c:v>
                </c:pt>
                <c:pt idx="62">
                  <c:v>350.86941071028411</c:v>
                </c:pt>
              </c:numCache>
            </c:numRef>
          </c:xVal>
          <c:yVal>
            <c:numRef>
              <c:f>'Pore Volume'!$E$24:$E$86</c:f>
              <c:numCache>
                <c:formatCode>General</c:formatCode>
                <c:ptCount val="63"/>
                <c:pt idx="0">
                  <c:v>0</c:v>
                </c:pt>
                <c:pt idx="1">
                  <c:v>0</c:v>
                </c:pt>
                <c:pt idx="2">
                  <c:v>0.10798166244530018</c:v>
                </c:pt>
                <c:pt idx="3">
                  <c:v>1.2866885587918253</c:v>
                </c:pt>
                <c:pt idx="4">
                  <c:v>2.2428714143300379</c:v>
                </c:pt>
                <c:pt idx="5">
                  <c:v>2.1916696439715571</c:v>
                </c:pt>
                <c:pt idx="6">
                  <c:v>1.9646379629525552</c:v>
                </c:pt>
                <c:pt idx="7">
                  <c:v>1.7386631805657384</c:v>
                </c:pt>
                <c:pt idx="8">
                  <c:v>1.362586098441529</c:v>
                </c:pt>
                <c:pt idx="9">
                  <c:v>1.7375041414624346</c:v>
                </c:pt>
                <c:pt idx="10">
                  <c:v>2.4581235862030417</c:v>
                </c:pt>
                <c:pt idx="11">
                  <c:v>3.1128192081154005</c:v>
                </c:pt>
                <c:pt idx="12">
                  <c:v>3.5539610354217133</c:v>
                </c:pt>
                <c:pt idx="13">
                  <c:v>3.7929727239819377</c:v>
                </c:pt>
                <c:pt idx="14">
                  <c:v>3.8778512199589463</c:v>
                </c:pt>
                <c:pt idx="15">
                  <c:v>4.0334236146082159</c:v>
                </c:pt>
                <c:pt idx="16">
                  <c:v>4.3017663299812625</c:v>
                </c:pt>
                <c:pt idx="17">
                  <c:v>3.7922635620017089</c:v>
                </c:pt>
                <c:pt idx="18">
                  <c:v>4.051713548139432</c:v>
                </c:pt>
                <c:pt idx="19">
                  <c:v>5.162339365954308</c:v>
                </c:pt>
                <c:pt idx="20">
                  <c:v>5.0312328662992405</c:v>
                </c:pt>
                <c:pt idx="21">
                  <c:v>3.7029628158728936</c:v>
                </c:pt>
                <c:pt idx="22">
                  <c:v>3.2228219072624222</c:v>
                </c:pt>
                <c:pt idx="23">
                  <c:v>2.8663735647285993</c:v>
                </c:pt>
                <c:pt idx="24">
                  <c:v>2.5927395761728262</c:v>
                </c:pt>
                <c:pt idx="25">
                  <c:v>2.3801305046818433</c:v>
                </c:pt>
                <c:pt idx="26">
                  <c:v>2.1895640761057202</c:v>
                </c:pt>
                <c:pt idx="27">
                  <c:v>1.9522933901422519</c:v>
                </c:pt>
                <c:pt idx="28">
                  <c:v>1.6287219291168731</c:v>
                </c:pt>
                <c:pt idx="29">
                  <c:v>1.2942802406014888</c:v>
                </c:pt>
                <c:pt idx="30">
                  <c:v>1.0642870388666794</c:v>
                </c:pt>
                <c:pt idx="31">
                  <c:v>0.99638724244483801</c:v>
                </c:pt>
                <c:pt idx="32">
                  <c:v>1.0380417675120346</c:v>
                </c:pt>
                <c:pt idx="33">
                  <c:v>1.1379304974516125</c:v>
                </c:pt>
                <c:pt idx="34">
                  <c:v>1.1552096276852288</c:v>
                </c:pt>
                <c:pt idx="35">
                  <c:v>0.76132067336274711</c:v>
                </c:pt>
                <c:pt idx="36">
                  <c:v>0.68638796290043436</c:v>
                </c:pt>
                <c:pt idx="37">
                  <c:v>0.91106203368570371</c:v>
                </c:pt>
                <c:pt idx="38">
                  <c:v>0.96054049641043171</c:v>
                </c:pt>
                <c:pt idx="39">
                  <c:v>0.99584019762613396</c:v>
                </c:pt>
                <c:pt idx="40">
                  <c:v>0.81970145673589279</c:v>
                </c:pt>
                <c:pt idx="41">
                  <c:v>0.98248660067128779</c:v>
                </c:pt>
                <c:pt idx="42">
                  <c:v>1.3751505099731256</c:v>
                </c:pt>
                <c:pt idx="43">
                  <c:v>0.73557031890951452</c:v>
                </c:pt>
                <c:pt idx="44">
                  <c:v>0.16764939930420059</c:v>
                </c:pt>
                <c:pt idx="45">
                  <c:v>0.52309040952570796</c:v>
                </c:pt>
                <c:pt idx="46">
                  <c:v>1.5107708189280111</c:v>
                </c:pt>
                <c:pt idx="47">
                  <c:v>1.1226244768651044</c:v>
                </c:pt>
                <c:pt idx="48">
                  <c:v>0.80418513802843672</c:v>
                </c:pt>
                <c:pt idx="49">
                  <c:v>0.64260796006745424</c:v>
                </c:pt>
                <c:pt idx="50">
                  <c:v>0.47838895664190334</c:v>
                </c:pt>
                <c:pt idx="51">
                  <c:v>0.45320236454741381</c:v>
                </c:pt>
                <c:pt idx="52">
                  <c:v>0.12490022223879207</c:v>
                </c:pt>
                <c:pt idx="53">
                  <c:v>7.7511824807605531E-2</c:v>
                </c:pt>
                <c:pt idx="54">
                  <c:v>0</c:v>
                </c:pt>
                <c:pt idx="55">
                  <c:v>0.45203220002520139</c:v>
                </c:pt>
                <c:pt idx="56">
                  <c:v>0.4342373048264388</c:v>
                </c:pt>
                <c:pt idx="57">
                  <c:v>0</c:v>
                </c:pt>
                <c:pt idx="58">
                  <c:v>0</c:v>
                </c:pt>
                <c:pt idx="59">
                  <c:v>0</c:v>
                </c:pt>
                <c:pt idx="60">
                  <c:v>0.93467211023712304</c:v>
                </c:pt>
                <c:pt idx="61">
                  <c:v>0.61403432750393672</c:v>
                </c:pt>
                <c:pt idx="62">
                  <c:v>0.40921833390589624</c:v>
                </c:pt>
              </c:numCache>
            </c:numRef>
          </c:yVal>
          <c:smooth val="1"/>
          <c:extLst>
            <c:ext xmlns:c16="http://schemas.microsoft.com/office/drawing/2014/chart" uri="{C3380CC4-5D6E-409C-BE32-E72D297353CC}">
              <c16:uniqueId val="{00000001-FCE2-451A-B5C4-8FDCA291F17B}"/>
            </c:ext>
          </c:extLst>
        </c:ser>
        <c:ser>
          <c:idx val="1"/>
          <c:order val="0"/>
          <c:tx>
            <c:v>Case C, slit model, literature [32]</c:v>
          </c:tx>
          <c:spPr>
            <a:ln w="12700">
              <a:solidFill>
                <a:schemeClr val="tx1"/>
              </a:solidFill>
              <a:prstDash val="sysDot"/>
            </a:ln>
          </c:spPr>
          <c:marker>
            <c:symbol val="none"/>
          </c:marker>
          <c:xVal>
            <c:numRef>
              <c:f>'Pore Volume'!$O$24:$O$54</c:f>
              <c:numCache>
                <c:formatCode>General</c:formatCode>
                <c:ptCount val="31"/>
                <c:pt idx="0">
                  <c:v>3.0110876960681101</c:v>
                </c:pt>
                <c:pt idx="1">
                  <c:v>3.4153455512914799</c:v>
                </c:pt>
                <c:pt idx="2">
                  <c:v>3.5618180671816502</c:v>
                </c:pt>
                <c:pt idx="3">
                  <c:v>4.2132774678956499</c:v>
                </c:pt>
                <c:pt idx="4">
                  <c:v>5.1433514443866004</c:v>
                </c:pt>
                <c:pt idx="5">
                  <c:v>5.8338793975521099</c:v>
                </c:pt>
                <c:pt idx="6">
                  <c:v>7.0473252577399501</c:v>
                </c:pt>
                <c:pt idx="7">
                  <c:v>9.2590269789028596</c:v>
                </c:pt>
                <c:pt idx="8">
                  <c:v>11.302941747470401</c:v>
                </c:pt>
                <c:pt idx="9">
                  <c:v>14.0908168551173</c:v>
                </c:pt>
                <c:pt idx="10">
                  <c:v>16.843943228878501</c:v>
                </c:pt>
                <c:pt idx="11">
                  <c:v>20.998508570499801</c:v>
                </c:pt>
                <c:pt idx="12">
                  <c:v>26.733244580396001</c:v>
                </c:pt>
                <c:pt idx="13">
                  <c:v>39.422547112067903</c:v>
                </c:pt>
                <c:pt idx="14">
                  <c:v>72.474023224354696</c:v>
                </c:pt>
                <c:pt idx="15">
                  <c:v>111.45831212452801</c:v>
                </c:pt>
                <c:pt idx="16">
                  <c:v>138.94954943731301</c:v>
                </c:pt>
                <c:pt idx="17">
                  <c:v>184.48346490995601</c:v>
                </c:pt>
                <c:pt idx="18">
                  <c:v>220.528663565844</c:v>
                </c:pt>
                <c:pt idx="19">
                  <c:v>280.75549652968698</c:v>
                </c:pt>
                <c:pt idx="20">
                  <c:v>414.01995764592101</c:v>
                </c:pt>
                <c:pt idx="21">
                  <c:v>532.65225381826804</c:v>
                </c:pt>
                <c:pt idx="22">
                  <c:v>729.83029110764301</c:v>
                </c:pt>
                <c:pt idx="23">
                  <c:v>929.14844922711598</c:v>
                </c:pt>
                <c:pt idx="24">
                  <c:v>1233.63138652322</c:v>
                </c:pt>
                <c:pt idx="25">
                  <c:v>1744.3809588086699</c:v>
                </c:pt>
                <c:pt idx="26">
                  <c:v>2174.6332207389901</c:v>
                </c:pt>
                <c:pt idx="27">
                  <c:v>2739.6177390319699</c:v>
                </c:pt>
                <c:pt idx="28">
                  <c:v>3011.0876960680998</c:v>
                </c:pt>
                <c:pt idx="29">
                  <c:v>3487.81299531073</c:v>
                </c:pt>
                <c:pt idx="30">
                  <c:v>4440.3419195835704</c:v>
                </c:pt>
              </c:numCache>
            </c:numRef>
          </c:xVal>
          <c:yVal>
            <c:numRef>
              <c:f>'Pore Volume'!$Q$24:$Q$54</c:f>
              <c:numCache>
                <c:formatCode>General</c:formatCode>
                <c:ptCount val="31"/>
                <c:pt idx="0">
                  <c:v>12.132078095527833</c:v>
                </c:pt>
                <c:pt idx="1">
                  <c:v>14.407264786064527</c:v>
                </c:pt>
                <c:pt idx="2">
                  <c:v>10.939090141631777</c:v>
                </c:pt>
                <c:pt idx="3">
                  <c:v>8.7707398320560603</c:v>
                </c:pt>
                <c:pt idx="4">
                  <c:v>7.6859607717232175</c:v>
                </c:pt>
                <c:pt idx="5">
                  <c:v>6.6015660149189932</c:v>
                </c:pt>
                <c:pt idx="6">
                  <c:v>7.5759401615249713</c:v>
                </c:pt>
                <c:pt idx="7">
                  <c:v>4.3233048961532283</c:v>
                </c:pt>
                <c:pt idx="8">
                  <c:v>2.1909144167570767</c:v>
                </c:pt>
                <c:pt idx="9">
                  <c:v>3.1651238618507818</c:v>
                </c:pt>
                <c:pt idx="10">
                  <c:v>2.1527036659097836</c:v>
                </c:pt>
                <c:pt idx="11">
                  <c:v>2.079301691940203</c:v>
                </c:pt>
                <c:pt idx="12">
                  <c:v>2.1141635120379454</c:v>
                </c:pt>
                <c:pt idx="13">
                  <c:v>1.0283962426314617</c:v>
                </c:pt>
                <c:pt idx="14">
                  <c:v>1.0252120133941902</c:v>
                </c:pt>
                <c:pt idx="15">
                  <c:v>1.0952101561101359</c:v>
                </c:pt>
                <c:pt idx="16">
                  <c:v>1.0940572455242275</c:v>
                </c:pt>
                <c:pt idx="17">
                  <c:v>0.9842013368382595</c:v>
                </c:pt>
                <c:pt idx="18">
                  <c:v>1.0193925599605513</c:v>
                </c:pt>
                <c:pt idx="19">
                  <c:v>0.98200531667462165</c:v>
                </c:pt>
                <c:pt idx="20">
                  <c:v>0.97997399802325413</c:v>
                </c:pt>
                <c:pt idx="21">
                  <c:v>0.97865638592507087</c:v>
                </c:pt>
                <c:pt idx="22">
                  <c:v>0.86863577572682793</c:v>
                </c:pt>
                <c:pt idx="23">
                  <c:v>0.97574665920825399</c:v>
                </c:pt>
                <c:pt idx="24">
                  <c:v>0.9742643455977994</c:v>
                </c:pt>
                <c:pt idx="25">
                  <c:v>0.90020356557912318</c:v>
                </c:pt>
                <c:pt idx="26">
                  <c:v>0.97129971837688556</c:v>
                </c:pt>
                <c:pt idx="27">
                  <c:v>0.97009190728688555</c:v>
                </c:pt>
                <c:pt idx="28">
                  <c:v>0.96959780275006879</c:v>
                </c:pt>
                <c:pt idx="29">
                  <c:v>4.265769167866007E-2</c:v>
                </c:pt>
                <c:pt idx="30">
                  <c:v>2.2454306173193476E-3</c:v>
                </c:pt>
              </c:numCache>
            </c:numRef>
          </c:yVal>
          <c:smooth val="1"/>
          <c:extLst>
            <c:ext xmlns:c16="http://schemas.microsoft.com/office/drawing/2014/chart" uri="{C3380CC4-5D6E-409C-BE32-E72D297353CC}">
              <c16:uniqueId val="{00000002-FCE2-451A-B5C4-8FDCA291F17B}"/>
            </c:ext>
          </c:extLst>
        </c:ser>
        <c:dLbls>
          <c:showLegendKey val="0"/>
          <c:showVal val="0"/>
          <c:showCatName val="0"/>
          <c:showSerName val="0"/>
          <c:showPercent val="0"/>
          <c:showBubbleSize val="0"/>
        </c:dLbls>
        <c:axId val="177711744"/>
        <c:axId val="177726208"/>
      </c:scatterChart>
      <c:valAx>
        <c:axId val="177711744"/>
        <c:scaling>
          <c:logBase val="10"/>
          <c:orientation val="minMax"/>
        </c:scaling>
        <c:delete val="0"/>
        <c:axPos val="b"/>
        <c:majorGridlines>
          <c:spPr>
            <a:ln>
              <a:noFill/>
            </a:ln>
          </c:spPr>
        </c:majorGridlines>
        <c:title>
          <c:tx>
            <c:rich>
              <a:bodyPr/>
              <a:lstStyle/>
              <a:p>
                <a:pPr>
                  <a:defRPr sz="1200" b="0"/>
                </a:pPr>
                <a:r>
                  <a:rPr lang="en-US" sz="1200" b="0"/>
                  <a:t>Pore Size, nm</a:t>
                </a:r>
              </a:p>
            </c:rich>
          </c:tx>
          <c:overlay val="0"/>
        </c:title>
        <c:numFmt formatCode="General" sourceLinked="1"/>
        <c:majorTickMark val="out"/>
        <c:minorTickMark val="none"/>
        <c:tickLblPos val="nextTo"/>
        <c:spPr>
          <a:ln/>
        </c:spPr>
        <c:txPr>
          <a:bodyPr/>
          <a:lstStyle/>
          <a:p>
            <a:pPr>
              <a:defRPr sz="1200"/>
            </a:pPr>
            <a:endParaRPr lang="en-US"/>
          </a:p>
        </c:txPr>
        <c:crossAx val="177726208"/>
        <c:crosses val="autoZero"/>
        <c:crossBetween val="midCat"/>
      </c:valAx>
      <c:valAx>
        <c:axId val="177726208"/>
        <c:scaling>
          <c:orientation val="minMax"/>
          <c:min val="0"/>
        </c:scaling>
        <c:delete val="0"/>
        <c:axPos val="l"/>
        <c:title>
          <c:tx>
            <c:rich>
              <a:bodyPr/>
              <a:lstStyle/>
              <a:p>
                <a:pPr>
                  <a:defRPr sz="1200" b="0"/>
                </a:pPr>
                <a:r>
                  <a:rPr lang="en-US" sz="1200" b="0"/>
                  <a:t>Volume Fraction,</a:t>
                </a:r>
                <a:r>
                  <a:rPr lang="en-US" sz="1200" b="0" baseline="0"/>
                  <a:t> %</a:t>
                </a:r>
                <a:endParaRPr lang="en-US" sz="1200" b="0"/>
              </a:p>
            </c:rich>
          </c:tx>
          <c:layout>
            <c:manualLayout>
              <c:xMode val="edge"/>
              <c:yMode val="edge"/>
              <c:x val="1.4213874307378244E-2"/>
              <c:y val="0.3631061979078487"/>
            </c:manualLayout>
          </c:layout>
          <c:overlay val="0"/>
        </c:title>
        <c:numFmt formatCode="General" sourceLinked="1"/>
        <c:majorTickMark val="out"/>
        <c:minorTickMark val="none"/>
        <c:tickLblPos val="nextTo"/>
        <c:spPr>
          <a:ln/>
        </c:spPr>
        <c:txPr>
          <a:bodyPr/>
          <a:lstStyle/>
          <a:p>
            <a:pPr>
              <a:defRPr sz="1200"/>
            </a:pPr>
            <a:endParaRPr lang="en-US"/>
          </a:p>
        </c:txPr>
        <c:crossAx val="177711744"/>
        <c:crosses val="autoZero"/>
        <c:crossBetween val="midCat"/>
      </c:valAx>
      <c:spPr>
        <a:ln w="9525">
          <a:solidFill>
            <a:schemeClr val="tx1">
              <a:tint val="75000"/>
              <a:shade val="95000"/>
              <a:satMod val="105000"/>
            </a:schemeClr>
          </a:solidFill>
        </a:ln>
      </c:spPr>
    </c:plotArea>
    <c:legend>
      <c:legendPos val="r"/>
      <c:layout>
        <c:manualLayout>
          <c:xMode val="edge"/>
          <c:yMode val="edge"/>
          <c:x val="0.3444896471274424"/>
          <c:y val="1.4008326080062614E-2"/>
          <c:w val="0.57470435987168267"/>
          <c:h val="0.56735522530790405"/>
        </c:manualLayout>
      </c:layout>
      <c:overlay val="0"/>
      <c:txPr>
        <a:bodyPr/>
        <a:lstStyle/>
        <a:p>
          <a:pPr>
            <a:defRPr sz="1200"/>
          </a:pPr>
          <a:endParaRPr lang="en-US"/>
        </a:p>
      </c:txPr>
    </c:legend>
    <c:plotVisOnly val="1"/>
    <c:dispBlanksAs val="gap"/>
    <c:showDLblsOverMax val="0"/>
  </c:chart>
  <c:spPr>
    <a:ln>
      <a:noFill/>
    </a:ln>
  </c:sp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312992125984243E-2"/>
          <c:y val="2.2340149896993212E-2"/>
          <c:w val="0.86945793234179058"/>
          <c:h val="0.84312011918755025"/>
        </c:manualLayout>
      </c:layout>
      <c:scatterChart>
        <c:scatterStyle val="smoothMarker"/>
        <c:varyColors val="0"/>
        <c:ser>
          <c:idx val="1"/>
          <c:order val="0"/>
          <c:tx>
            <c:v>Case A, slit model</c:v>
          </c:tx>
          <c:spPr>
            <a:ln w="12700">
              <a:solidFill>
                <a:schemeClr val="tx1"/>
              </a:solidFill>
            </a:ln>
          </c:spPr>
          <c:marker>
            <c:symbol val="none"/>
          </c:marker>
          <c:xVal>
            <c:numRef>
              <c:f>'PSD Slit Model Lab'!$E$2:$E$101</c:f>
              <c:numCache>
                <c:formatCode>General</c:formatCode>
                <c:ptCount val="100"/>
                <c:pt idx="0">
                  <c:v>11710.893602910201</c:v>
                </c:pt>
                <c:pt idx="1">
                  <c:v>11755.258252109999</c:v>
                </c:pt>
                <c:pt idx="2">
                  <c:v>11799.6229013099</c:v>
                </c:pt>
                <c:pt idx="3">
                  <c:v>11843.987550509701</c:v>
                </c:pt>
                <c:pt idx="4">
                  <c:v>11888.352199709499</c:v>
                </c:pt>
                <c:pt idx="5">
                  <c:v>11932.7168489094</c:v>
                </c:pt>
                <c:pt idx="6">
                  <c:v>11977.081498109201</c:v>
                </c:pt>
                <c:pt idx="7">
                  <c:v>12021.446147309</c:v>
                </c:pt>
                <c:pt idx="8">
                  <c:v>12065.8107965089</c:v>
                </c:pt>
                <c:pt idx="9">
                  <c:v>12110.175445708701</c:v>
                </c:pt>
                <c:pt idx="10">
                  <c:v>12154.5400949085</c:v>
                </c:pt>
                <c:pt idx="11">
                  <c:v>12198.9047441084</c:v>
                </c:pt>
                <c:pt idx="12">
                  <c:v>12243.269393308199</c:v>
                </c:pt>
                <c:pt idx="13">
                  <c:v>12287.634042508</c:v>
                </c:pt>
                <c:pt idx="14">
                  <c:v>12331.9986917079</c:v>
                </c:pt>
                <c:pt idx="15">
                  <c:v>12376.363340907699</c:v>
                </c:pt>
                <c:pt idx="16">
                  <c:v>12420.7279901075</c:v>
                </c:pt>
                <c:pt idx="17">
                  <c:v>12465.092639307401</c:v>
                </c:pt>
                <c:pt idx="18">
                  <c:v>12509.457288507199</c:v>
                </c:pt>
                <c:pt idx="19">
                  <c:v>12553.821937707</c:v>
                </c:pt>
                <c:pt idx="20">
                  <c:v>12598.186586906901</c:v>
                </c:pt>
                <c:pt idx="21">
                  <c:v>12642.551236106699</c:v>
                </c:pt>
                <c:pt idx="22">
                  <c:v>12686.9158853065</c:v>
                </c:pt>
                <c:pt idx="23">
                  <c:v>12731.280534506401</c:v>
                </c:pt>
                <c:pt idx="24">
                  <c:v>12775.6451837062</c:v>
                </c:pt>
                <c:pt idx="25">
                  <c:v>12820.009832906</c:v>
                </c:pt>
                <c:pt idx="26">
                  <c:v>12864.374482105901</c:v>
                </c:pt>
                <c:pt idx="27">
                  <c:v>12908.7391313057</c:v>
                </c:pt>
                <c:pt idx="28">
                  <c:v>12953.1037805055</c:v>
                </c:pt>
                <c:pt idx="29">
                  <c:v>12997.468429705399</c:v>
                </c:pt>
                <c:pt idx="30">
                  <c:v>13041.8330789052</c:v>
                </c:pt>
                <c:pt idx="31">
                  <c:v>13086.197728105</c:v>
                </c:pt>
                <c:pt idx="32">
                  <c:v>13130.562377304799</c:v>
                </c:pt>
                <c:pt idx="33">
                  <c:v>13174.9270265047</c:v>
                </c:pt>
                <c:pt idx="34">
                  <c:v>13219.2916757045</c:v>
                </c:pt>
                <c:pt idx="35">
                  <c:v>13263.656324904299</c:v>
                </c:pt>
                <c:pt idx="36">
                  <c:v>13308.0209741042</c:v>
                </c:pt>
                <c:pt idx="37">
                  <c:v>13352.385623304001</c:v>
                </c:pt>
                <c:pt idx="38">
                  <c:v>13396.750272503799</c:v>
                </c:pt>
                <c:pt idx="39">
                  <c:v>13441.1149217037</c:v>
                </c:pt>
                <c:pt idx="40">
                  <c:v>13485.479570903501</c:v>
                </c:pt>
                <c:pt idx="41">
                  <c:v>13529.844220103299</c:v>
                </c:pt>
                <c:pt idx="42">
                  <c:v>13574.2088693032</c:v>
                </c:pt>
                <c:pt idx="43">
                  <c:v>13618.573518503001</c:v>
                </c:pt>
                <c:pt idx="44">
                  <c:v>13662.9381677028</c:v>
                </c:pt>
                <c:pt idx="45">
                  <c:v>13707.3028169027</c:v>
                </c:pt>
                <c:pt idx="46">
                  <c:v>13751.667466102501</c:v>
                </c:pt>
                <c:pt idx="47">
                  <c:v>13796.0321153023</c:v>
                </c:pt>
                <c:pt idx="48">
                  <c:v>13840.3967645022</c:v>
                </c:pt>
                <c:pt idx="49">
                  <c:v>13884.761413701999</c:v>
                </c:pt>
                <c:pt idx="50">
                  <c:v>13929.1260629018</c:v>
                </c:pt>
                <c:pt idx="51">
                  <c:v>13973.4907121017</c:v>
                </c:pt>
                <c:pt idx="52">
                  <c:v>14017.855361301499</c:v>
                </c:pt>
                <c:pt idx="53">
                  <c:v>14062.2200105013</c:v>
                </c:pt>
                <c:pt idx="54">
                  <c:v>14106.584659701201</c:v>
                </c:pt>
                <c:pt idx="55">
                  <c:v>14150.949308900999</c:v>
                </c:pt>
                <c:pt idx="56">
                  <c:v>14195.3139581008</c:v>
                </c:pt>
                <c:pt idx="57">
                  <c:v>14239.678607300701</c:v>
                </c:pt>
                <c:pt idx="58">
                  <c:v>14284.043256500499</c:v>
                </c:pt>
                <c:pt idx="59">
                  <c:v>14328.4079057003</c:v>
                </c:pt>
                <c:pt idx="60">
                  <c:v>14372.772554900201</c:v>
                </c:pt>
                <c:pt idx="61">
                  <c:v>14417.1372041</c:v>
                </c:pt>
                <c:pt idx="62">
                  <c:v>14461.5018532998</c:v>
                </c:pt>
                <c:pt idx="63">
                  <c:v>14505.866502499701</c:v>
                </c:pt>
                <c:pt idx="64">
                  <c:v>14550.2311516995</c:v>
                </c:pt>
                <c:pt idx="65">
                  <c:v>14594.5958008993</c:v>
                </c:pt>
                <c:pt idx="66">
                  <c:v>14638.960450099201</c:v>
                </c:pt>
                <c:pt idx="67">
                  <c:v>14683.325099299</c:v>
                </c:pt>
                <c:pt idx="68">
                  <c:v>14727.6897484988</c:v>
                </c:pt>
                <c:pt idx="69">
                  <c:v>14772.054397698699</c:v>
                </c:pt>
                <c:pt idx="70">
                  <c:v>14816.4190468985</c:v>
                </c:pt>
                <c:pt idx="71">
                  <c:v>14860.7836960983</c:v>
                </c:pt>
                <c:pt idx="72">
                  <c:v>14905.148345298199</c:v>
                </c:pt>
                <c:pt idx="73">
                  <c:v>14949.512994498</c:v>
                </c:pt>
                <c:pt idx="74">
                  <c:v>14993.877643697801</c:v>
                </c:pt>
                <c:pt idx="75">
                  <c:v>15038.242292897699</c:v>
                </c:pt>
                <c:pt idx="76">
                  <c:v>15082.6069420975</c:v>
                </c:pt>
                <c:pt idx="77">
                  <c:v>15126.971591297301</c:v>
                </c:pt>
                <c:pt idx="78">
                  <c:v>15171.336240497199</c:v>
                </c:pt>
                <c:pt idx="79">
                  <c:v>15215.700889697</c:v>
                </c:pt>
                <c:pt idx="80">
                  <c:v>15260.065538896801</c:v>
                </c:pt>
                <c:pt idx="81">
                  <c:v>15304.4301880967</c:v>
                </c:pt>
                <c:pt idx="82">
                  <c:v>15348.7948372965</c:v>
                </c:pt>
                <c:pt idx="83">
                  <c:v>15393.159486496301</c:v>
                </c:pt>
                <c:pt idx="84">
                  <c:v>15437.5241356962</c:v>
                </c:pt>
                <c:pt idx="85">
                  <c:v>15481.888784896</c:v>
                </c:pt>
                <c:pt idx="86">
                  <c:v>15526.253434095799</c:v>
                </c:pt>
                <c:pt idx="87">
                  <c:v>15570.6180832957</c:v>
                </c:pt>
                <c:pt idx="88">
                  <c:v>15614.9827324955</c:v>
                </c:pt>
                <c:pt idx="89">
                  <c:v>15659.347381695299</c:v>
                </c:pt>
                <c:pt idx="90">
                  <c:v>15703.7120308952</c:v>
                </c:pt>
                <c:pt idx="91">
                  <c:v>15748.076680095</c:v>
                </c:pt>
                <c:pt idx="92">
                  <c:v>15792.441329294799</c:v>
                </c:pt>
                <c:pt idx="93">
                  <c:v>15836.8059784947</c:v>
                </c:pt>
                <c:pt idx="94">
                  <c:v>15881.170627694501</c:v>
                </c:pt>
                <c:pt idx="95">
                  <c:v>15925.535276894299</c:v>
                </c:pt>
                <c:pt idx="96">
                  <c:v>15969.8999260942</c:v>
                </c:pt>
                <c:pt idx="97">
                  <c:v>16014.264575294001</c:v>
                </c:pt>
                <c:pt idx="98">
                  <c:v>16058.629224493799</c:v>
                </c:pt>
                <c:pt idx="99">
                  <c:v>16102.9938736937</c:v>
                </c:pt>
              </c:numCache>
            </c:numRef>
          </c:xVal>
          <c:yVal>
            <c:numRef>
              <c:f>'PSD Slit Model Lab'!$F$2:$F$101</c:f>
              <c:numCache>
                <c:formatCode>General</c:formatCode>
                <c:ptCount val="100"/>
                <c:pt idx="0">
                  <c:v>11.1666666666667</c:v>
                </c:pt>
                <c:pt idx="1">
                  <c:v>12.3333333333333</c:v>
                </c:pt>
                <c:pt idx="2">
                  <c:v>13.633333333333301</c:v>
                </c:pt>
                <c:pt idx="3">
                  <c:v>10.866666666666699</c:v>
                </c:pt>
                <c:pt idx="4">
                  <c:v>9.7333333333333307</c:v>
                </c:pt>
                <c:pt idx="5">
                  <c:v>6.4666666666666703</c:v>
                </c:pt>
                <c:pt idx="6">
                  <c:v>4.3</c:v>
                </c:pt>
                <c:pt idx="7">
                  <c:v>3.43333333333333</c:v>
                </c:pt>
                <c:pt idx="8">
                  <c:v>2.5</c:v>
                </c:pt>
                <c:pt idx="9">
                  <c:v>2.06666666666667</c:v>
                </c:pt>
                <c:pt idx="10">
                  <c:v>1.2666666666666699</c:v>
                </c:pt>
                <c:pt idx="11">
                  <c:v>1.0333333333333301</c:v>
                </c:pt>
                <c:pt idx="12">
                  <c:v>1</c:v>
                </c:pt>
                <c:pt idx="13">
                  <c:v>0.93333333333333401</c:v>
                </c:pt>
                <c:pt idx="14">
                  <c:v>0.86666666666666703</c:v>
                </c:pt>
                <c:pt idx="15">
                  <c:v>0.93333333333333401</c:v>
                </c:pt>
                <c:pt idx="16">
                  <c:v>0.66666666666666696</c:v>
                </c:pt>
                <c:pt idx="17">
                  <c:v>0.6</c:v>
                </c:pt>
                <c:pt idx="18">
                  <c:v>0.53333333333333299</c:v>
                </c:pt>
                <c:pt idx="19">
                  <c:v>0.266666666666667</c:v>
                </c:pt>
                <c:pt idx="20">
                  <c:v>0.76666666666666705</c:v>
                </c:pt>
                <c:pt idx="21">
                  <c:v>0.36666666666666697</c:v>
                </c:pt>
                <c:pt idx="22">
                  <c:v>0.5</c:v>
                </c:pt>
                <c:pt idx="23">
                  <c:v>0.56666666666666698</c:v>
                </c:pt>
                <c:pt idx="24">
                  <c:v>0.5</c:v>
                </c:pt>
                <c:pt idx="25">
                  <c:v>0.56666666666666698</c:v>
                </c:pt>
                <c:pt idx="26">
                  <c:v>0.233333333333333</c:v>
                </c:pt>
                <c:pt idx="27">
                  <c:v>0.5</c:v>
                </c:pt>
                <c:pt idx="28">
                  <c:v>0.33333333333333298</c:v>
                </c:pt>
                <c:pt idx="29">
                  <c:v>0.5</c:v>
                </c:pt>
                <c:pt idx="30">
                  <c:v>0.6</c:v>
                </c:pt>
                <c:pt idx="31">
                  <c:v>0.53333333333333299</c:v>
                </c:pt>
                <c:pt idx="32">
                  <c:v>0.3</c:v>
                </c:pt>
                <c:pt idx="33">
                  <c:v>0.36666666666666697</c:v>
                </c:pt>
                <c:pt idx="34">
                  <c:v>0.1</c:v>
                </c:pt>
                <c:pt idx="35">
                  <c:v>6.6666666666666693E-2</c:v>
                </c:pt>
                <c:pt idx="36">
                  <c:v>6.6666666666666693E-2</c:v>
                </c:pt>
                <c:pt idx="37">
                  <c:v>0.133333333333333</c:v>
                </c:pt>
                <c:pt idx="38">
                  <c:v>0.2</c:v>
                </c:pt>
                <c:pt idx="39">
                  <c:v>0.133333333333333</c:v>
                </c:pt>
                <c:pt idx="40">
                  <c:v>0.2</c:v>
                </c:pt>
                <c:pt idx="41">
                  <c:v>0.63333333333333297</c:v>
                </c:pt>
                <c:pt idx="42">
                  <c:v>0.33333333333333298</c:v>
                </c:pt>
                <c:pt idx="43">
                  <c:v>0.4</c:v>
                </c:pt>
                <c:pt idx="44">
                  <c:v>0.5</c:v>
                </c:pt>
                <c:pt idx="45">
                  <c:v>0.33333333333333298</c:v>
                </c:pt>
                <c:pt idx="46">
                  <c:v>0.2</c:v>
                </c:pt>
                <c:pt idx="47">
                  <c:v>0.2</c:v>
                </c:pt>
                <c:pt idx="48">
                  <c:v>0.233333333333333</c:v>
                </c:pt>
                <c:pt idx="49">
                  <c:v>0.16666666666666699</c:v>
                </c:pt>
                <c:pt idx="50">
                  <c:v>0.233333333333333</c:v>
                </c:pt>
                <c:pt idx="51">
                  <c:v>0.2</c:v>
                </c:pt>
                <c:pt idx="52">
                  <c:v>0.1</c:v>
                </c:pt>
                <c:pt idx="53">
                  <c:v>0.133333333333333</c:v>
                </c:pt>
                <c:pt idx="54">
                  <c:v>0.16666666666666699</c:v>
                </c:pt>
                <c:pt idx="55">
                  <c:v>0.1</c:v>
                </c:pt>
                <c:pt idx="56">
                  <c:v>6.6666666666666693E-2</c:v>
                </c:pt>
                <c:pt idx="57">
                  <c:v>0.133333333333333</c:v>
                </c:pt>
                <c:pt idx="58">
                  <c:v>0.133333333333333</c:v>
                </c:pt>
                <c:pt idx="59">
                  <c:v>0.133333333333333</c:v>
                </c:pt>
                <c:pt idx="60">
                  <c:v>6.6666666666666693E-2</c:v>
                </c:pt>
                <c:pt idx="61">
                  <c:v>0.1</c:v>
                </c:pt>
                <c:pt idx="62">
                  <c:v>0.1</c:v>
                </c:pt>
                <c:pt idx="63">
                  <c:v>0.1</c:v>
                </c:pt>
                <c:pt idx="64">
                  <c:v>3.3333333333333298E-2</c:v>
                </c:pt>
                <c:pt idx="65">
                  <c:v>6.6666666666666693E-2</c:v>
                </c:pt>
                <c:pt idx="66">
                  <c:v>6.6666666666666693E-2</c:v>
                </c:pt>
                <c:pt idx="67">
                  <c:v>3.3333333333333298E-2</c:v>
                </c:pt>
                <c:pt idx="68">
                  <c:v>0</c:v>
                </c:pt>
                <c:pt idx="69">
                  <c:v>3.3333333333333298E-2</c:v>
                </c:pt>
                <c:pt idx="70">
                  <c:v>3.3333333333333298E-2</c:v>
                </c:pt>
                <c:pt idx="71">
                  <c:v>0</c:v>
                </c:pt>
                <c:pt idx="72">
                  <c:v>0</c:v>
                </c:pt>
                <c:pt idx="73">
                  <c:v>3.3333333333333298E-2</c:v>
                </c:pt>
                <c:pt idx="74">
                  <c:v>0</c:v>
                </c:pt>
                <c:pt idx="75">
                  <c:v>0</c:v>
                </c:pt>
                <c:pt idx="76">
                  <c:v>0</c:v>
                </c:pt>
                <c:pt idx="77">
                  <c:v>3.3333333333333298E-2</c:v>
                </c:pt>
                <c:pt idx="78">
                  <c:v>0.133333333333333</c:v>
                </c:pt>
                <c:pt idx="79">
                  <c:v>0.233333333333333</c:v>
                </c:pt>
                <c:pt idx="80">
                  <c:v>3.3333333333333298E-2</c:v>
                </c:pt>
                <c:pt idx="81">
                  <c:v>0.16666666666666699</c:v>
                </c:pt>
                <c:pt idx="82">
                  <c:v>0.1</c:v>
                </c:pt>
                <c:pt idx="83">
                  <c:v>0.1</c:v>
                </c:pt>
                <c:pt idx="84">
                  <c:v>0.1</c:v>
                </c:pt>
                <c:pt idx="85">
                  <c:v>0</c:v>
                </c:pt>
                <c:pt idx="86">
                  <c:v>0</c:v>
                </c:pt>
                <c:pt idx="87">
                  <c:v>0</c:v>
                </c:pt>
                <c:pt idx="88">
                  <c:v>0</c:v>
                </c:pt>
                <c:pt idx="89">
                  <c:v>0</c:v>
                </c:pt>
                <c:pt idx="90">
                  <c:v>0</c:v>
                </c:pt>
                <c:pt idx="91">
                  <c:v>0</c:v>
                </c:pt>
                <c:pt idx="92">
                  <c:v>0</c:v>
                </c:pt>
                <c:pt idx="93">
                  <c:v>0.3</c:v>
                </c:pt>
                <c:pt idx="94">
                  <c:v>0.33333333333333298</c:v>
                </c:pt>
                <c:pt idx="95">
                  <c:v>0.4</c:v>
                </c:pt>
                <c:pt idx="96">
                  <c:v>0.266666666666667</c:v>
                </c:pt>
                <c:pt idx="97">
                  <c:v>0.233333333333333</c:v>
                </c:pt>
                <c:pt idx="98">
                  <c:v>0.16666666666666699</c:v>
                </c:pt>
                <c:pt idx="99">
                  <c:v>0.2</c:v>
                </c:pt>
              </c:numCache>
            </c:numRef>
          </c:yVal>
          <c:smooth val="1"/>
          <c:extLst>
            <c:ext xmlns:c16="http://schemas.microsoft.com/office/drawing/2014/chart" uri="{C3380CC4-5D6E-409C-BE32-E72D297353CC}">
              <c16:uniqueId val="{00000000-D26D-4DC5-AD89-23C10B779B63}"/>
            </c:ext>
          </c:extLst>
        </c:ser>
        <c:ser>
          <c:idx val="0"/>
          <c:order val="1"/>
          <c:tx>
            <c:v>Case B, spherical model</c:v>
          </c:tx>
          <c:spPr>
            <a:ln w="12700">
              <a:solidFill>
                <a:schemeClr val="tx1"/>
              </a:solidFill>
              <a:prstDash val="dash"/>
            </a:ln>
          </c:spPr>
          <c:marker>
            <c:symbol val="none"/>
          </c:marker>
          <c:xVal>
            <c:numRef>
              <c:f>'PSD Spherical Model Lab'!$K$2:$K$101</c:f>
              <c:numCache>
                <c:formatCode>General</c:formatCode>
                <c:ptCount val="100"/>
                <c:pt idx="0">
                  <c:v>11940.1497664005</c:v>
                </c:pt>
                <c:pt idx="1">
                  <c:v>11983.8089663836</c:v>
                </c:pt>
                <c:pt idx="2">
                  <c:v>12027.4681663667</c:v>
                </c:pt>
                <c:pt idx="3">
                  <c:v>12071.1273663497</c:v>
                </c:pt>
                <c:pt idx="4">
                  <c:v>12114.786566332799</c:v>
                </c:pt>
                <c:pt idx="5">
                  <c:v>12158.445766315899</c:v>
                </c:pt>
                <c:pt idx="6">
                  <c:v>12202.104966298901</c:v>
                </c:pt>
                <c:pt idx="7">
                  <c:v>12245.764166282001</c:v>
                </c:pt>
                <c:pt idx="8">
                  <c:v>12289.423366265</c:v>
                </c:pt>
                <c:pt idx="9">
                  <c:v>12333.0825662481</c:v>
                </c:pt>
                <c:pt idx="10">
                  <c:v>12376.7417662312</c:v>
                </c:pt>
                <c:pt idx="11">
                  <c:v>12420.4009662142</c:v>
                </c:pt>
                <c:pt idx="12">
                  <c:v>12464.0601661973</c:v>
                </c:pt>
                <c:pt idx="13">
                  <c:v>12507.719366180299</c:v>
                </c:pt>
                <c:pt idx="14">
                  <c:v>12551.378566163399</c:v>
                </c:pt>
                <c:pt idx="15">
                  <c:v>12595.037766146501</c:v>
                </c:pt>
                <c:pt idx="16">
                  <c:v>12638.696966129501</c:v>
                </c:pt>
                <c:pt idx="17">
                  <c:v>12682.3561661126</c:v>
                </c:pt>
                <c:pt idx="18">
                  <c:v>12726.0153660956</c:v>
                </c:pt>
                <c:pt idx="19">
                  <c:v>12769.6745660787</c:v>
                </c:pt>
                <c:pt idx="20">
                  <c:v>12813.3337660618</c:v>
                </c:pt>
                <c:pt idx="21">
                  <c:v>12856.9929660448</c:v>
                </c:pt>
                <c:pt idx="22">
                  <c:v>12900.6521660279</c:v>
                </c:pt>
                <c:pt idx="23">
                  <c:v>12944.311366010899</c:v>
                </c:pt>
                <c:pt idx="24">
                  <c:v>12987.970565993999</c:v>
                </c:pt>
                <c:pt idx="25">
                  <c:v>13031.629765977101</c:v>
                </c:pt>
                <c:pt idx="26">
                  <c:v>13075.288965960101</c:v>
                </c:pt>
                <c:pt idx="27">
                  <c:v>13118.9481659432</c:v>
                </c:pt>
                <c:pt idx="28">
                  <c:v>13162.6073659263</c:v>
                </c:pt>
                <c:pt idx="29">
                  <c:v>13206.2665659093</c:v>
                </c:pt>
                <c:pt idx="30">
                  <c:v>13249.9257658924</c:v>
                </c:pt>
                <c:pt idx="31">
                  <c:v>13293.5849658754</c:v>
                </c:pt>
                <c:pt idx="32">
                  <c:v>13337.244165858499</c:v>
                </c:pt>
                <c:pt idx="33">
                  <c:v>13380.903365841599</c:v>
                </c:pt>
                <c:pt idx="34">
                  <c:v>13424.562565824601</c:v>
                </c:pt>
                <c:pt idx="35">
                  <c:v>13468.221765807701</c:v>
                </c:pt>
                <c:pt idx="36">
                  <c:v>13511.8809657907</c:v>
                </c:pt>
                <c:pt idx="37">
                  <c:v>13555.5401657738</c:v>
                </c:pt>
                <c:pt idx="38">
                  <c:v>13599.1993657569</c:v>
                </c:pt>
                <c:pt idx="39">
                  <c:v>13642.8585657399</c:v>
                </c:pt>
                <c:pt idx="40">
                  <c:v>13686.517765723</c:v>
                </c:pt>
                <c:pt idx="41">
                  <c:v>13730.176965705999</c:v>
                </c:pt>
                <c:pt idx="42">
                  <c:v>13773.836165689099</c:v>
                </c:pt>
                <c:pt idx="43">
                  <c:v>13817.495365672199</c:v>
                </c:pt>
                <c:pt idx="44">
                  <c:v>13861.154565655201</c:v>
                </c:pt>
                <c:pt idx="45">
                  <c:v>13904.813765638301</c:v>
                </c:pt>
                <c:pt idx="46">
                  <c:v>13948.4729656214</c:v>
                </c:pt>
                <c:pt idx="47">
                  <c:v>13992.1321656044</c:v>
                </c:pt>
                <c:pt idx="48">
                  <c:v>14035.7913655875</c:v>
                </c:pt>
                <c:pt idx="49">
                  <c:v>14079.4505655705</c:v>
                </c:pt>
                <c:pt idx="50">
                  <c:v>14123.1097655536</c:v>
                </c:pt>
                <c:pt idx="51">
                  <c:v>14166.768965536699</c:v>
                </c:pt>
                <c:pt idx="52">
                  <c:v>14210.428165519699</c:v>
                </c:pt>
                <c:pt idx="53">
                  <c:v>14254.087365502801</c:v>
                </c:pt>
                <c:pt idx="54">
                  <c:v>14297.746565485801</c:v>
                </c:pt>
                <c:pt idx="55">
                  <c:v>14341.4057654689</c:v>
                </c:pt>
                <c:pt idx="56">
                  <c:v>14385.064965452</c:v>
                </c:pt>
                <c:pt idx="57">
                  <c:v>14428.724165435</c:v>
                </c:pt>
                <c:pt idx="58">
                  <c:v>14472.3833654181</c:v>
                </c:pt>
                <c:pt idx="59">
                  <c:v>14516.0425654011</c:v>
                </c:pt>
                <c:pt idx="60">
                  <c:v>14559.701765384199</c:v>
                </c:pt>
                <c:pt idx="61">
                  <c:v>14603.360965367299</c:v>
                </c:pt>
                <c:pt idx="62">
                  <c:v>14647.020165350301</c:v>
                </c:pt>
                <c:pt idx="63">
                  <c:v>14690.679365333401</c:v>
                </c:pt>
                <c:pt idx="64">
                  <c:v>14734.3385653164</c:v>
                </c:pt>
                <c:pt idx="65">
                  <c:v>14777.9977652995</c:v>
                </c:pt>
                <c:pt idx="66">
                  <c:v>14821.6569652826</c:v>
                </c:pt>
                <c:pt idx="67">
                  <c:v>14865.3161652656</c:v>
                </c:pt>
                <c:pt idx="68">
                  <c:v>14908.9753652487</c:v>
                </c:pt>
                <c:pt idx="69">
                  <c:v>14952.6345652318</c:v>
                </c:pt>
                <c:pt idx="70">
                  <c:v>14996.293765214799</c:v>
                </c:pt>
                <c:pt idx="71">
                  <c:v>15039.952965197899</c:v>
                </c:pt>
                <c:pt idx="72">
                  <c:v>15083.612165180901</c:v>
                </c:pt>
                <c:pt idx="73">
                  <c:v>15127.271365164001</c:v>
                </c:pt>
                <c:pt idx="74">
                  <c:v>15170.9305651471</c:v>
                </c:pt>
                <c:pt idx="75">
                  <c:v>15214.5897651301</c:v>
                </c:pt>
                <c:pt idx="76">
                  <c:v>15258.2489651132</c:v>
                </c:pt>
                <c:pt idx="77">
                  <c:v>15301.9081650962</c:v>
                </c:pt>
                <c:pt idx="78">
                  <c:v>15345.5673650793</c:v>
                </c:pt>
                <c:pt idx="79">
                  <c:v>15389.226565062399</c:v>
                </c:pt>
                <c:pt idx="80">
                  <c:v>15432.885765045399</c:v>
                </c:pt>
                <c:pt idx="81">
                  <c:v>15476.544965028501</c:v>
                </c:pt>
                <c:pt idx="82">
                  <c:v>15520.204165011501</c:v>
                </c:pt>
                <c:pt idx="83">
                  <c:v>15563.8633649946</c:v>
                </c:pt>
                <c:pt idx="84">
                  <c:v>15607.5225649777</c:v>
                </c:pt>
                <c:pt idx="85">
                  <c:v>15651.1817649607</c:v>
                </c:pt>
                <c:pt idx="86">
                  <c:v>15694.8409649438</c:v>
                </c:pt>
                <c:pt idx="87">
                  <c:v>15738.5001649268</c:v>
                </c:pt>
                <c:pt idx="88">
                  <c:v>15782.1593649099</c:v>
                </c:pt>
                <c:pt idx="89">
                  <c:v>15825.818564892999</c:v>
                </c:pt>
                <c:pt idx="90">
                  <c:v>15869.477764875999</c:v>
                </c:pt>
                <c:pt idx="91">
                  <c:v>15913.136964859101</c:v>
                </c:pt>
                <c:pt idx="92">
                  <c:v>15956.796164842201</c:v>
                </c:pt>
                <c:pt idx="93">
                  <c:v>16000.4553648252</c:v>
                </c:pt>
                <c:pt idx="94">
                  <c:v>16044.1145648083</c:v>
                </c:pt>
                <c:pt idx="95">
                  <c:v>16087.7737647913</c:v>
                </c:pt>
                <c:pt idx="96">
                  <c:v>16131.4329647744</c:v>
                </c:pt>
                <c:pt idx="97">
                  <c:v>16175.0921647575</c:v>
                </c:pt>
                <c:pt idx="98">
                  <c:v>16218.751364740499</c:v>
                </c:pt>
                <c:pt idx="99">
                  <c:v>16262.410564723599</c:v>
                </c:pt>
              </c:numCache>
            </c:numRef>
          </c:xVal>
          <c:yVal>
            <c:numRef>
              <c:f>'PSD Spherical Model Lab'!$L$2:$L$101</c:f>
              <c:numCache>
                <c:formatCode>General</c:formatCode>
                <c:ptCount val="100"/>
                <c:pt idx="0">
                  <c:v>0.233333333333333</c:v>
                </c:pt>
                <c:pt idx="1">
                  <c:v>0.3</c:v>
                </c:pt>
                <c:pt idx="2">
                  <c:v>1.3</c:v>
                </c:pt>
                <c:pt idx="3">
                  <c:v>4.1333333333333302</c:v>
                </c:pt>
                <c:pt idx="4">
                  <c:v>8.3333333333333304</c:v>
                </c:pt>
                <c:pt idx="5">
                  <c:v>10.9333333333333</c:v>
                </c:pt>
                <c:pt idx="6">
                  <c:v>9.5333333333333297</c:v>
                </c:pt>
                <c:pt idx="7">
                  <c:v>9.7666666666666693</c:v>
                </c:pt>
                <c:pt idx="8">
                  <c:v>7.4666666666666703</c:v>
                </c:pt>
                <c:pt idx="9">
                  <c:v>5.9666666666666703</c:v>
                </c:pt>
                <c:pt idx="10">
                  <c:v>4.1333333333333302</c:v>
                </c:pt>
                <c:pt idx="11">
                  <c:v>2.6333333333333302</c:v>
                </c:pt>
                <c:pt idx="12">
                  <c:v>2.9666666666666699</c:v>
                </c:pt>
                <c:pt idx="13">
                  <c:v>1.9666666666666699</c:v>
                </c:pt>
                <c:pt idx="14">
                  <c:v>2.2000000000000002</c:v>
                </c:pt>
                <c:pt idx="15">
                  <c:v>1.86666666666667</c:v>
                </c:pt>
                <c:pt idx="16">
                  <c:v>1.8333333333333299</c:v>
                </c:pt>
                <c:pt idx="17">
                  <c:v>1.63333333333333</c:v>
                </c:pt>
                <c:pt idx="18">
                  <c:v>1.43333333333333</c:v>
                </c:pt>
                <c:pt idx="19">
                  <c:v>1.4666666666666699</c:v>
                </c:pt>
                <c:pt idx="20">
                  <c:v>1.5</c:v>
                </c:pt>
                <c:pt idx="21">
                  <c:v>1.3</c:v>
                </c:pt>
                <c:pt idx="22">
                  <c:v>1.13333333333333</c:v>
                </c:pt>
                <c:pt idx="23">
                  <c:v>1.06666666666667</c:v>
                </c:pt>
                <c:pt idx="24">
                  <c:v>1.1000000000000001</c:v>
                </c:pt>
                <c:pt idx="25">
                  <c:v>1</c:v>
                </c:pt>
                <c:pt idx="26">
                  <c:v>0.9</c:v>
                </c:pt>
                <c:pt idx="27">
                  <c:v>0.96666666666666701</c:v>
                </c:pt>
                <c:pt idx="28">
                  <c:v>0.5</c:v>
                </c:pt>
                <c:pt idx="29">
                  <c:v>0.43333333333333302</c:v>
                </c:pt>
                <c:pt idx="30">
                  <c:v>0.4</c:v>
                </c:pt>
                <c:pt idx="31">
                  <c:v>0.3</c:v>
                </c:pt>
                <c:pt idx="32">
                  <c:v>0.233333333333333</c:v>
                </c:pt>
                <c:pt idx="33">
                  <c:v>0.2</c:v>
                </c:pt>
                <c:pt idx="34">
                  <c:v>0.133333333333333</c:v>
                </c:pt>
                <c:pt idx="35">
                  <c:v>3.3333333333333298E-2</c:v>
                </c:pt>
                <c:pt idx="36">
                  <c:v>0.133333333333333</c:v>
                </c:pt>
                <c:pt idx="37">
                  <c:v>3.3333333333333298E-2</c:v>
                </c:pt>
                <c:pt idx="38">
                  <c:v>6.6666666666666693E-2</c:v>
                </c:pt>
                <c:pt idx="39">
                  <c:v>0.1</c:v>
                </c:pt>
                <c:pt idx="40">
                  <c:v>0.16666666666666699</c:v>
                </c:pt>
                <c:pt idx="41">
                  <c:v>3.3333333333333298E-2</c:v>
                </c:pt>
                <c:pt idx="42">
                  <c:v>6.6666666666666693E-2</c:v>
                </c:pt>
                <c:pt idx="43">
                  <c:v>0.16666666666666699</c:v>
                </c:pt>
                <c:pt idx="44">
                  <c:v>0.3</c:v>
                </c:pt>
                <c:pt idx="45">
                  <c:v>0.4</c:v>
                </c:pt>
                <c:pt idx="46">
                  <c:v>0.266666666666667</c:v>
                </c:pt>
                <c:pt idx="47">
                  <c:v>0.4</c:v>
                </c:pt>
                <c:pt idx="48">
                  <c:v>0.3</c:v>
                </c:pt>
                <c:pt idx="49">
                  <c:v>0.33333333333333298</c:v>
                </c:pt>
                <c:pt idx="50">
                  <c:v>0.1</c:v>
                </c:pt>
                <c:pt idx="51">
                  <c:v>0.233333333333333</c:v>
                </c:pt>
                <c:pt idx="52">
                  <c:v>0.2</c:v>
                </c:pt>
                <c:pt idx="53">
                  <c:v>0.1</c:v>
                </c:pt>
                <c:pt idx="54">
                  <c:v>0.233333333333333</c:v>
                </c:pt>
                <c:pt idx="55">
                  <c:v>0.133333333333333</c:v>
                </c:pt>
                <c:pt idx="56">
                  <c:v>0.133333333333333</c:v>
                </c:pt>
                <c:pt idx="57">
                  <c:v>0.233333333333333</c:v>
                </c:pt>
                <c:pt idx="58">
                  <c:v>0.2</c:v>
                </c:pt>
                <c:pt idx="59">
                  <c:v>0.133333333333333</c:v>
                </c:pt>
                <c:pt idx="60">
                  <c:v>6.6666666666666693E-2</c:v>
                </c:pt>
                <c:pt idx="61">
                  <c:v>0.16666666666666699</c:v>
                </c:pt>
                <c:pt idx="62">
                  <c:v>0.133333333333333</c:v>
                </c:pt>
                <c:pt idx="63">
                  <c:v>6.6666666666666693E-2</c:v>
                </c:pt>
                <c:pt idx="64">
                  <c:v>0.1</c:v>
                </c:pt>
                <c:pt idx="65">
                  <c:v>0.233333333333333</c:v>
                </c:pt>
                <c:pt idx="66">
                  <c:v>0.1</c:v>
                </c:pt>
                <c:pt idx="67">
                  <c:v>6.6666666666666693E-2</c:v>
                </c:pt>
                <c:pt idx="68">
                  <c:v>0.2</c:v>
                </c:pt>
                <c:pt idx="69">
                  <c:v>0</c:v>
                </c:pt>
                <c:pt idx="70">
                  <c:v>0.133333333333333</c:v>
                </c:pt>
                <c:pt idx="71">
                  <c:v>3.3333333333333298E-2</c:v>
                </c:pt>
                <c:pt idx="72">
                  <c:v>3.3333333333333298E-2</c:v>
                </c:pt>
                <c:pt idx="73">
                  <c:v>3.3333333333333298E-2</c:v>
                </c:pt>
                <c:pt idx="74">
                  <c:v>0</c:v>
                </c:pt>
                <c:pt idx="75">
                  <c:v>3.3333333333333298E-2</c:v>
                </c:pt>
                <c:pt idx="76">
                  <c:v>0</c:v>
                </c:pt>
                <c:pt idx="77">
                  <c:v>3.3333333333333298E-2</c:v>
                </c:pt>
                <c:pt idx="78">
                  <c:v>0</c:v>
                </c:pt>
                <c:pt idx="79">
                  <c:v>0</c:v>
                </c:pt>
                <c:pt idx="80">
                  <c:v>3.3333333333333298E-2</c:v>
                </c:pt>
                <c:pt idx="81">
                  <c:v>0.16666666666666699</c:v>
                </c:pt>
                <c:pt idx="82">
                  <c:v>0.2</c:v>
                </c:pt>
                <c:pt idx="83">
                  <c:v>0.1</c:v>
                </c:pt>
                <c:pt idx="84">
                  <c:v>0.16666666666666699</c:v>
                </c:pt>
                <c:pt idx="85">
                  <c:v>0.133333333333333</c:v>
                </c:pt>
                <c:pt idx="86">
                  <c:v>0.1</c:v>
                </c:pt>
                <c:pt idx="87">
                  <c:v>0</c:v>
                </c:pt>
                <c:pt idx="88">
                  <c:v>0</c:v>
                </c:pt>
                <c:pt idx="89">
                  <c:v>0</c:v>
                </c:pt>
                <c:pt idx="90">
                  <c:v>0</c:v>
                </c:pt>
                <c:pt idx="91">
                  <c:v>0</c:v>
                </c:pt>
                <c:pt idx="92">
                  <c:v>0</c:v>
                </c:pt>
                <c:pt idx="93">
                  <c:v>0</c:v>
                </c:pt>
                <c:pt idx="94">
                  <c:v>0.36666666666666697</c:v>
                </c:pt>
                <c:pt idx="95">
                  <c:v>0.36666666666666697</c:v>
                </c:pt>
                <c:pt idx="96">
                  <c:v>0.3</c:v>
                </c:pt>
                <c:pt idx="97">
                  <c:v>0.46666666666666701</c:v>
                </c:pt>
                <c:pt idx="98">
                  <c:v>0.16666666666666699</c:v>
                </c:pt>
                <c:pt idx="99">
                  <c:v>0.233333333333333</c:v>
                </c:pt>
              </c:numCache>
            </c:numRef>
          </c:yVal>
          <c:smooth val="1"/>
          <c:extLst>
            <c:ext xmlns:c16="http://schemas.microsoft.com/office/drawing/2014/chart" uri="{C3380CC4-5D6E-409C-BE32-E72D297353CC}">
              <c16:uniqueId val="{00000001-D26D-4DC5-AD89-23C10B779B63}"/>
            </c:ext>
          </c:extLst>
        </c:ser>
        <c:ser>
          <c:idx val="3"/>
          <c:order val="2"/>
          <c:tx>
            <c:v>Case C, slit model from literature [32]</c:v>
          </c:tx>
          <c:spPr>
            <a:ln w="12700">
              <a:solidFill>
                <a:schemeClr val="tx1"/>
              </a:solidFill>
              <a:prstDash val="sysDot"/>
            </a:ln>
          </c:spPr>
          <c:marker>
            <c:symbol val="none"/>
          </c:marker>
          <c:xVal>
            <c:numRef>
              <c:f>'PSD Slit from Literature'!$K$2:$K$101</c:f>
              <c:numCache>
                <c:formatCode>General</c:formatCode>
                <c:ptCount val="100"/>
                <c:pt idx="0">
                  <c:v>11729.023474101399</c:v>
                </c:pt>
                <c:pt idx="1">
                  <c:v>11784.2612250846</c:v>
                </c:pt>
                <c:pt idx="2">
                  <c:v>11839.4989760678</c:v>
                </c:pt>
                <c:pt idx="3">
                  <c:v>11894.736727051</c:v>
                </c:pt>
                <c:pt idx="4">
                  <c:v>11949.974478034201</c:v>
                </c:pt>
                <c:pt idx="5">
                  <c:v>12005.212229017399</c:v>
                </c:pt>
                <c:pt idx="6">
                  <c:v>12060.4499800007</c:v>
                </c:pt>
                <c:pt idx="7">
                  <c:v>12115.6877309839</c:v>
                </c:pt>
                <c:pt idx="8">
                  <c:v>12170.9254819671</c:v>
                </c:pt>
                <c:pt idx="9">
                  <c:v>12226.163232950301</c:v>
                </c:pt>
                <c:pt idx="10">
                  <c:v>12281.400983933499</c:v>
                </c:pt>
                <c:pt idx="11">
                  <c:v>12336.6387349167</c:v>
                </c:pt>
                <c:pt idx="12">
                  <c:v>12391.8764858999</c:v>
                </c:pt>
                <c:pt idx="13">
                  <c:v>12447.114236883101</c:v>
                </c:pt>
                <c:pt idx="14">
                  <c:v>12502.351987866299</c:v>
                </c:pt>
                <c:pt idx="15">
                  <c:v>12557.5897388496</c:v>
                </c:pt>
                <c:pt idx="16">
                  <c:v>12612.8274898328</c:v>
                </c:pt>
                <c:pt idx="17">
                  <c:v>12668.065240816</c:v>
                </c:pt>
                <c:pt idx="18">
                  <c:v>12723.302991799201</c:v>
                </c:pt>
                <c:pt idx="19">
                  <c:v>12778.540742782399</c:v>
                </c:pt>
                <c:pt idx="20">
                  <c:v>12833.7784937656</c:v>
                </c:pt>
                <c:pt idx="21">
                  <c:v>12889.0162447488</c:v>
                </c:pt>
                <c:pt idx="22">
                  <c:v>12944.253995732</c:v>
                </c:pt>
                <c:pt idx="23">
                  <c:v>12999.491746715201</c:v>
                </c:pt>
                <c:pt idx="24">
                  <c:v>13054.729497698499</c:v>
                </c:pt>
                <c:pt idx="25">
                  <c:v>13109.9672486817</c:v>
                </c:pt>
                <c:pt idx="26">
                  <c:v>13165.2049996649</c:v>
                </c:pt>
                <c:pt idx="27">
                  <c:v>13220.442750648101</c:v>
                </c:pt>
                <c:pt idx="28">
                  <c:v>13275.680501631299</c:v>
                </c:pt>
                <c:pt idx="29">
                  <c:v>13330.9182526145</c:v>
                </c:pt>
                <c:pt idx="30">
                  <c:v>13386.1560035977</c:v>
                </c:pt>
                <c:pt idx="31">
                  <c:v>13441.3937545809</c:v>
                </c:pt>
                <c:pt idx="32">
                  <c:v>13496.631505564101</c:v>
                </c:pt>
                <c:pt idx="33">
                  <c:v>13551.869256547299</c:v>
                </c:pt>
                <c:pt idx="34">
                  <c:v>13607.1070075306</c:v>
                </c:pt>
                <c:pt idx="35">
                  <c:v>13662.3447585138</c:v>
                </c:pt>
                <c:pt idx="36">
                  <c:v>13717.582509497001</c:v>
                </c:pt>
                <c:pt idx="37">
                  <c:v>13772.820260480201</c:v>
                </c:pt>
                <c:pt idx="38">
                  <c:v>13828.058011463399</c:v>
                </c:pt>
                <c:pt idx="39">
                  <c:v>13883.2957624466</c:v>
                </c:pt>
                <c:pt idx="40">
                  <c:v>13938.5335134298</c:v>
                </c:pt>
                <c:pt idx="41">
                  <c:v>13993.771264413001</c:v>
                </c:pt>
                <c:pt idx="42">
                  <c:v>14049.009015396199</c:v>
                </c:pt>
                <c:pt idx="43">
                  <c:v>14104.2467663795</c:v>
                </c:pt>
                <c:pt idx="44">
                  <c:v>14159.4845173627</c:v>
                </c:pt>
                <c:pt idx="45">
                  <c:v>14214.7222683459</c:v>
                </c:pt>
                <c:pt idx="46">
                  <c:v>14269.960019329101</c:v>
                </c:pt>
                <c:pt idx="47">
                  <c:v>14325.197770312299</c:v>
                </c:pt>
                <c:pt idx="48">
                  <c:v>14380.4355212955</c:v>
                </c:pt>
                <c:pt idx="49">
                  <c:v>14435.6732722787</c:v>
                </c:pt>
                <c:pt idx="50">
                  <c:v>14490.9110232619</c:v>
                </c:pt>
                <c:pt idx="51">
                  <c:v>14546.148774245101</c:v>
                </c:pt>
                <c:pt idx="52">
                  <c:v>14601.386525228399</c:v>
                </c:pt>
                <c:pt idx="53">
                  <c:v>14656.6242762116</c:v>
                </c:pt>
                <c:pt idx="54">
                  <c:v>14711.8620271948</c:v>
                </c:pt>
                <c:pt idx="55">
                  <c:v>14767.099778178001</c:v>
                </c:pt>
                <c:pt idx="56">
                  <c:v>14822.337529161199</c:v>
                </c:pt>
                <c:pt idx="57">
                  <c:v>14877.5752801444</c:v>
                </c:pt>
                <c:pt idx="58">
                  <c:v>14932.8130311276</c:v>
                </c:pt>
                <c:pt idx="59">
                  <c:v>14988.0507821108</c:v>
                </c:pt>
                <c:pt idx="60">
                  <c:v>15043.288533094001</c:v>
                </c:pt>
                <c:pt idx="61">
                  <c:v>15098.526284077199</c:v>
                </c:pt>
                <c:pt idx="62">
                  <c:v>15153.7640350605</c:v>
                </c:pt>
                <c:pt idx="63">
                  <c:v>15209.0017860437</c:v>
                </c:pt>
                <c:pt idx="64">
                  <c:v>15264.239537026901</c:v>
                </c:pt>
                <c:pt idx="65">
                  <c:v>15319.477288010101</c:v>
                </c:pt>
                <c:pt idx="66">
                  <c:v>15374.715038993299</c:v>
                </c:pt>
                <c:pt idx="67">
                  <c:v>15429.9527899765</c:v>
                </c:pt>
                <c:pt idx="68">
                  <c:v>15485.1905409597</c:v>
                </c:pt>
                <c:pt idx="69">
                  <c:v>15540.428291942901</c:v>
                </c:pt>
                <c:pt idx="70">
                  <c:v>15595.666042926099</c:v>
                </c:pt>
                <c:pt idx="71">
                  <c:v>15650.9037939094</c:v>
                </c:pt>
                <c:pt idx="72">
                  <c:v>15706.1415448926</c:v>
                </c:pt>
                <c:pt idx="73">
                  <c:v>15761.3792958758</c:v>
                </c:pt>
                <c:pt idx="74">
                  <c:v>15816.617046859001</c:v>
                </c:pt>
                <c:pt idx="75">
                  <c:v>15871.854797842199</c:v>
                </c:pt>
                <c:pt idx="76">
                  <c:v>15927.0925488254</c:v>
                </c:pt>
                <c:pt idx="77">
                  <c:v>15982.3302998086</c:v>
                </c:pt>
                <c:pt idx="78">
                  <c:v>16037.5680507918</c:v>
                </c:pt>
                <c:pt idx="79">
                  <c:v>16092.805801775001</c:v>
                </c:pt>
                <c:pt idx="80">
                  <c:v>16148.043552758299</c:v>
                </c:pt>
                <c:pt idx="81">
                  <c:v>16203.2813037415</c:v>
                </c:pt>
                <c:pt idx="82">
                  <c:v>16258.5190547247</c:v>
                </c:pt>
                <c:pt idx="83">
                  <c:v>16313.756805707901</c:v>
                </c:pt>
                <c:pt idx="84">
                  <c:v>16368.994556691099</c:v>
                </c:pt>
                <c:pt idx="85">
                  <c:v>16424.232307674301</c:v>
                </c:pt>
                <c:pt idx="86">
                  <c:v>16479.470058657502</c:v>
                </c:pt>
                <c:pt idx="87">
                  <c:v>16534.707809640699</c:v>
                </c:pt>
                <c:pt idx="88">
                  <c:v>16589.945560623899</c:v>
                </c:pt>
                <c:pt idx="89">
                  <c:v>16645.183311607201</c:v>
                </c:pt>
                <c:pt idx="90">
                  <c:v>16700.421062590402</c:v>
                </c:pt>
                <c:pt idx="91">
                  <c:v>16755.658813573598</c:v>
                </c:pt>
                <c:pt idx="92">
                  <c:v>16810.896564556799</c:v>
                </c:pt>
                <c:pt idx="93">
                  <c:v>16866.134315539999</c:v>
                </c:pt>
                <c:pt idx="94">
                  <c:v>16921.372066523199</c:v>
                </c:pt>
                <c:pt idx="95">
                  <c:v>16976.6098175064</c:v>
                </c:pt>
                <c:pt idx="96">
                  <c:v>17031.8475684896</c:v>
                </c:pt>
                <c:pt idx="97">
                  <c:v>17087.085319472801</c:v>
                </c:pt>
                <c:pt idx="98">
                  <c:v>17142.323070456001</c:v>
                </c:pt>
                <c:pt idx="99">
                  <c:v>17197.5608214393</c:v>
                </c:pt>
              </c:numCache>
            </c:numRef>
          </c:xVal>
          <c:yVal>
            <c:numRef>
              <c:f>'PSD Slit from Literature'!$L$2:$L$101</c:f>
              <c:numCache>
                <c:formatCode>General</c:formatCode>
                <c:ptCount val="100"/>
                <c:pt idx="0">
                  <c:v>47.164776517678497</c:v>
                </c:pt>
                <c:pt idx="1">
                  <c:v>14.676450967311499</c:v>
                </c:pt>
                <c:pt idx="2">
                  <c:v>7.13809206137425</c:v>
                </c:pt>
                <c:pt idx="3">
                  <c:v>3.7024683122081399</c:v>
                </c:pt>
                <c:pt idx="4">
                  <c:v>1.76784523015344</c:v>
                </c:pt>
                <c:pt idx="5">
                  <c:v>2.40160106737825</c:v>
                </c:pt>
                <c:pt idx="6">
                  <c:v>1.6677785190126799</c:v>
                </c:pt>
                <c:pt idx="7">
                  <c:v>1.23415610406938</c:v>
                </c:pt>
                <c:pt idx="8">
                  <c:v>0.70046697798532398</c:v>
                </c:pt>
                <c:pt idx="9">
                  <c:v>0.90060040026684496</c:v>
                </c:pt>
                <c:pt idx="10">
                  <c:v>0.83388925950633797</c:v>
                </c:pt>
                <c:pt idx="11">
                  <c:v>0.53368912608405605</c:v>
                </c:pt>
                <c:pt idx="12">
                  <c:v>0.53368912608405605</c:v>
                </c:pt>
                <c:pt idx="13">
                  <c:v>0.43362241494329601</c:v>
                </c:pt>
                <c:pt idx="14">
                  <c:v>0.30020013342228202</c:v>
                </c:pt>
                <c:pt idx="15">
                  <c:v>0.233488992661775</c:v>
                </c:pt>
                <c:pt idx="16">
                  <c:v>0.16677785190126801</c:v>
                </c:pt>
                <c:pt idx="17">
                  <c:v>6.6711140760507007E-2</c:v>
                </c:pt>
                <c:pt idx="18">
                  <c:v>3.3355570380253503E-2</c:v>
                </c:pt>
                <c:pt idx="19">
                  <c:v>6.6711140760507007E-2</c:v>
                </c:pt>
                <c:pt idx="20">
                  <c:v>0.13342228152101401</c:v>
                </c:pt>
                <c:pt idx="21">
                  <c:v>0.100066711140761</c:v>
                </c:pt>
                <c:pt idx="22">
                  <c:v>0.16677785190126801</c:v>
                </c:pt>
                <c:pt idx="23">
                  <c:v>0.100066711140761</c:v>
                </c:pt>
                <c:pt idx="24">
                  <c:v>3.3355570380253503E-2</c:v>
                </c:pt>
                <c:pt idx="25">
                  <c:v>0</c:v>
                </c:pt>
                <c:pt idx="26">
                  <c:v>0.100066711140761</c:v>
                </c:pt>
                <c:pt idx="27">
                  <c:v>0</c:v>
                </c:pt>
                <c:pt idx="28">
                  <c:v>3.3355570380253503E-2</c:v>
                </c:pt>
                <c:pt idx="29">
                  <c:v>0</c:v>
                </c:pt>
                <c:pt idx="30">
                  <c:v>6.6711140760507007E-2</c:v>
                </c:pt>
                <c:pt idx="31">
                  <c:v>0</c:v>
                </c:pt>
                <c:pt idx="32">
                  <c:v>0.100066711140761</c:v>
                </c:pt>
                <c:pt idx="33">
                  <c:v>0.13342228152101401</c:v>
                </c:pt>
                <c:pt idx="34">
                  <c:v>3.3355570380253503E-2</c:v>
                </c:pt>
                <c:pt idx="35">
                  <c:v>0</c:v>
                </c:pt>
                <c:pt idx="36">
                  <c:v>6.6711140760507007E-2</c:v>
                </c:pt>
                <c:pt idx="37">
                  <c:v>0</c:v>
                </c:pt>
                <c:pt idx="38">
                  <c:v>3.3355570380253503E-2</c:v>
                </c:pt>
                <c:pt idx="39">
                  <c:v>0.100066711140761</c:v>
                </c:pt>
                <c:pt idx="40">
                  <c:v>6.6711140760507007E-2</c:v>
                </c:pt>
                <c:pt idx="41">
                  <c:v>0.100066711140761</c:v>
                </c:pt>
                <c:pt idx="42">
                  <c:v>3.3355570380253503E-2</c:v>
                </c:pt>
                <c:pt idx="43">
                  <c:v>0.20013342228152101</c:v>
                </c:pt>
                <c:pt idx="44">
                  <c:v>3.3355570380253503E-2</c:v>
                </c:pt>
                <c:pt idx="45">
                  <c:v>3.3355570380253503E-2</c:v>
                </c:pt>
                <c:pt idx="46">
                  <c:v>0.13342228152101401</c:v>
                </c:pt>
                <c:pt idx="47">
                  <c:v>3.3355570380253503E-2</c:v>
                </c:pt>
                <c:pt idx="48">
                  <c:v>0.100066711140761</c:v>
                </c:pt>
                <c:pt idx="49">
                  <c:v>0.13342228152101401</c:v>
                </c:pt>
                <c:pt idx="50">
                  <c:v>3.3355570380253503E-2</c:v>
                </c:pt>
                <c:pt idx="51">
                  <c:v>6.6711140760507007E-2</c:v>
                </c:pt>
                <c:pt idx="52">
                  <c:v>0.100066711140761</c:v>
                </c:pt>
                <c:pt idx="53">
                  <c:v>6.6711140760507007E-2</c:v>
                </c:pt>
                <c:pt idx="54">
                  <c:v>0.13342228152101401</c:v>
                </c:pt>
                <c:pt idx="55">
                  <c:v>6.6711140760507007E-2</c:v>
                </c:pt>
                <c:pt idx="56">
                  <c:v>3.3355570380253503E-2</c:v>
                </c:pt>
                <c:pt idx="57">
                  <c:v>0.100066711140761</c:v>
                </c:pt>
                <c:pt idx="58">
                  <c:v>6.6711140760507007E-2</c:v>
                </c:pt>
                <c:pt idx="59">
                  <c:v>3.3355570380253503E-2</c:v>
                </c:pt>
                <c:pt idx="60">
                  <c:v>3.3355570380253503E-2</c:v>
                </c:pt>
                <c:pt idx="61">
                  <c:v>0.16677785190126801</c:v>
                </c:pt>
                <c:pt idx="62">
                  <c:v>6.6711140760507007E-2</c:v>
                </c:pt>
                <c:pt idx="63">
                  <c:v>0.13342228152101401</c:v>
                </c:pt>
                <c:pt idx="64">
                  <c:v>0.13342228152101401</c:v>
                </c:pt>
                <c:pt idx="65">
                  <c:v>0.13342228152101401</c:v>
                </c:pt>
                <c:pt idx="66">
                  <c:v>6.6711140760507007E-2</c:v>
                </c:pt>
                <c:pt idx="67">
                  <c:v>0.16677785190126801</c:v>
                </c:pt>
                <c:pt idx="68">
                  <c:v>0.13342228152101401</c:v>
                </c:pt>
                <c:pt idx="69">
                  <c:v>0.20013342228152101</c:v>
                </c:pt>
                <c:pt idx="70">
                  <c:v>0.13342228152101401</c:v>
                </c:pt>
                <c:pt idx="71">
                  <c:v>0.20013342228152101</c:v>
                </c:pt>
                <c:pt idx="72">
                  <c:v>0.100066711140761</c:v>
                </c:pt>
                <c:pt idx="73">
                  <c:v>0.16677785190126801</c:v>
                </c:pt>
                <c:pt idx="74">
                  <c:v>0.100066711140761</c:v>
                </c:pt>
                <c:pt idx="75">
                  <c:v>0.233488992661775</c:v>
                </c:pt>
                <c:pt idx="76">
                  <c:v>0.100066711140761</c:v>
                </c:pt>
                <c:pt idx="77">
                  <c:v>0.233488992661775</c:v>
                </c:pt>
                <c:pt idx="78">
                  <c:v>0.20013342228152101</c:v>
                </c:pt>
                <c:pt idx="79">
                  <c:v>0.16677785190126801</c:v>
                </c:pt>
                <c:pt idx="80">
                  <c:v>0.26684456304202803</c:v>
                </c:pt>
                <c:pt idx="81">
                  <c:v>0.16677785190126801</c:v>
                </c:pt>
                <c:pt idx="82">
                  <c:v>0.13342228152101401</c:v>
                </c:pt>
                <c:pt idx="83">
                  <c:v>0.100066711140761</c:v>
                </c:pt>
                <c:pt idx="84">
                  <c:v>0.233488992661775</c:v>
                </c:pt>
                <c:pt idx="85">
                  <c:v>0.16677785190126801</c:v>
                </c:pt>
                <c:pt idx="86">
                  <c:v>0.233488992661775</c:v>
                </c:pt>
                <c:pt idx="87">
                  <c:v>0.20013342228152101</c:v>
                </c:pt>
                <c:pt idx="88">
                  <c:v>0.20013342228152101</c:v>
                </c:pt>
                <c:pt idx="89">
                  <c:v>0.40026684456304201</c:v>
                </c:pt>
                <c:pt idx="90">
                  <c:v>0.233488992661775</c:v>
                </c:pt>
                <c:pt idx="91">
                  <c:v>0.500333555703803</c:v>
                </c:pt>
                <c:pt idx="92">
                  <c:v>0.30020013342228202</c:v>
                </c:pt>
                <c:pt idx="93">
                  <c:v>0.36691127418278902</c:v>
                </c:pt>
                <c:pt idx="94">
                  <c:v>0.46697798532354901</c:v>
                </c:pt>
                <c:pt idx="95">
                  <c:v>0.60040026684456305</c:v>
                </c:pt>
                <c:pt idx="96">
                  <c:v>0.73382254836557703</c:v>
                </c:pt>
                <c:pt idx="97">
                  <c:v>0.83388925950633797</c:v>
                </c:pt>
                <c:pt idx="98">
                  <c:v>1.13408939292862</c:v>
                </c:pt>
                <c:pt idx="99">
                  <c:v>2.5350233488992702</c:v>
                </c:pt>
              </c:numCache>
            </c:numRef>
          </c:yVal>
          <c:smooth val="1"/>
          <c:extLst>
            <c:ext xmlns:c16="http://schemas.microsoft.com/office/drawing/2014/chart" uri="{C3380CC4-5D6E-409C-BE32-E72D297353CC}">
              <c16:uniqueId val="{00000002-D26D-4DC5-AD89-23C10B779B63}"/>
            </c:ext>
          </c:extLst>
        </c:ser>
        <c:dLbls>
          <c:showLegendKey val="0"/>
          <c:showVal val="0"/>
          <c:showCatName val="0"/>
          <c:showSerName val="0"/>
          <c:showPercent val="0"/>
          <c:showBubbleSize val="0"/>
        </c:dLbls>
        <c:axId val="177820032"/>
        <c:axId val="177821952"/>
      </c:scatterChart>
      <c:valAx>
        <c:axId val="177820032"/>
        <c:scaling>
          <c:orientation val="minMax"/>
          <c:max val="16000"/>
          <c:min val="11000"/>
        </c:scaling>
        <c:delete val="0"/>
        <c:axPos val="b"/>
        <c:title>
          <c:tx>
            <c:rich>
              <a:bodyPr/>
              <a:lstStyle/>
              <a:p>
                <a:pPr>
                  <a:defRPr b="0"/>
                </a:pPr>
                <a:r>
                  <a:rPr lang="en-US" b="0"/>
                  <a:t>Rondon</a:t>
                </a:r>
                <a:r>
                  <a:rPr lang="en-US" b="0" baseline="0"/>
                  <a:t> </a:t>
                </a:r>
                <a:r>
                  <a:rPr lang="en-US" b="0" i="1" baseline="0"/>
                  <a:t>in-situ</a:t>
                </a:r>
                <a:r>
                  <a:rPr lang="en-US" b="0" i="0" baseline="0"/>
                  <a:t> Concentration, pCi/L</a:t>
                </a:r>
                <a:endParaRPr lang="en-US" b="0"/>
              </a:p>
            </c:rich>
          </c:tx>
          <c:overlay val="0"/>
        </c:title>
        <c:numFmt formatCode="General" sourceLinked="1"/>
        <c:majorTickMark val="out"/>
        <c:minorTickMark val="none"/>
        <c:tickLblPos val="nextTo"/>
        <c:spPr>
          <a:ln/>
        </c:spPr>
        <c:crossAx val="177821952"/>
        <c:crosses val="autoZero"/>
        <c:crossBetween val="midCat"/>
      </c:valAx>
      <c:valAx>
        <c:axId val="177821952"/>
        <c:scaling>
          <c:orientation val="minMax"/>
          <c:min val="0"/>
        </c:scaling>
        <c:delete val="0"/>
        <c:axPos val="l"/>
        <c:title>
          <c:tx>
            <c:rich>
              <a:bodyPr/>
              <a:lstStyle/>
              <a:p>
                <a:pPr>
                  <a:defRPr b="0"/>
                </a:pPr>
                <a:r>
                  <a:rPr lang="en-US" b="0" baseline="0"/>
                  <a:t>Volume Fraction, %</a:t>
                </a:r>
                <a:endParaRPr lang="en-US" b="0"/>
              </a:p>
            </c:rich>
          </c:tx>
          <c:overlay val="0"/>
        </c:title>
        <c:numFmt formatCode="General" sourceLinked="1"/>
        <c:majorTickMark val="out"/>
        <c:minorTickMark val="none"/>
        <c:tickLblPos val="nextTo"/>
        <c:spPr>
          <a:ln/>
        </c:spPr>
        <c:crossAx val="177820032"/>
        <c:crosses val="autoZero"/>
        <c:crossBetween val="midCat"/>
      </c:valAx>
      <c:spPr>
        <a:ln>
          <a:solidFill>
            <a:schemeClr val="tx1"/>
          </a:solidFill>
        </a:ln>
      </c:spPr>
    </c:plotArea>
    <c:legend>
      <c:legendPos val="r"/>
      <c:layout>
        <c:manualLayout>
          <c:xMode val="edge"/>
          <c:yMode val="edge"/>
          <c:x val="0.38158683289588802"/>
          <c:y val="6.2117200237610776E-2"/>
          <c:w val="0.54181614872105488"/>
          <c:h val="0.33001926589738034"/>
        </c:manualLayout>
      </c:layout>
      <c:overlay val="0"/>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0.26869</cdr:x>
      <cdr:y>0.13392</cdr:y>
    </cdr:from>
    <cdr:to>
      <cdr:x>0.26924</cdr:x>
      <cdr:y>0.85454</cdr:y>
    </cdr:to>
    <cdr:cxnSp macro="">
      <cdr:nvCxnSpPr>
        <cdr:cNvPr id="3" name="Straight Connector 2"/>
        <cdr:cNvCxnSpPr/>
      </cdr:nvCxnSpPr>
      <cdr:spPr>
        <a:xfrm xmlns:a="http://schemas.openxmlformats.org/drawingml/2006/main">
          <a:off x="1561639" y="512116"/>
          <a:ext cx="3197" cy="2755630"/>
        </a:xfrm>
        <a:prstGeom xmlns:a="http://schemas.openxmlformats.org/drawingml/2006/main" prst="line">
          <a:avLst/>
        </a:prstGeom>
        <a:ln xmlns:a="http://schemas.openxmlformats.org/drawingml/2006/main" w="952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0.49528</cdr:x>
      <cdr:y>0.40674</cdr:y>
    </cdr:from>
    <cdr:to>
      <cdr:x>0.49528</cdr:x>
      <cdr:y>0.85517</cdr:y>
    </cdr:to>
    <cdr:cxnSp macro="">
      <cdr:nvCxnSpPr>
        <cdr:cNvPr id="4" name="Straight Connector 3"/>
        <cdr:cNvCxnSpPr/>
      </cdr:nvCxnSpPr>
      <cdr:spPr>
        <a:xfrm xmlns:a="http://schemas.openxmlformats.org/drawingml/2006/main">
          <a:off x="2878671" y="1555364"/>
          <a:ext cx="0" cy="1714783"/>
        </a:xfrm>
        <a:prstGeom xmlns:a="http://schemas.openxmlformats.org/drawingml/2006/main" prst="line">
          <a:avLst/>
        </a:prstGeom>
        <a:ln xmlns:a="http://schemas.openxmlformats.org/drawingml/2006/main" w="9525">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0.48976</cdr:x>
      <cdr:y>0.39923</cdr:y>
    </cdr:from>
    <cdr:to>
      <cdr:x>0.50712</cdr:x>
      <cdr:y>0.42003</cdr:y>
    </cdr:to>
    <cdr:sp macro="" textlink="">
      <cdr:nvSpPr>
        <cdr:cNvPr id="6" name="Oval 5"/>
        <cdr:cNvSpPr/>
      </cdr:nvSpPr>
      <cdr:spPr>
        <a:xfrm xmlns:a="http://schemas.openxmlformats.org/drawingml/2006/main" flipH="1">
          <a:off x="2846568" y="1526651"/>
          <a:ext cx="100908" cy="79512"/>
        </a:xfrm>
        <a:prstGeom xmlns:a="http://schemas.openxmlformats.org/drawingml/2006/main" prst="ellipse">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0.26058</cdr:x>
      <cdr:y>0.11852</cdr:y>
    </cdr:from>
    <cdr:to>
      <cdr:x>0.27498</cdr:x>
      <cdr:y>0.13808</cdr:y>
    </cdr:to>
    <cdr:sp macro="" textlink="">
      <cdr:nvSpPr>
        <cdr:cNvPr id="7" name="Oval 6"/>
        <cdr:cNvSpPr/>
      </cdr:nvSpPr>
      <cdr:spPr>
        <a:xfrm xmlns:a="http://schemas.openxmlformats.org/drawingml/2006/main">
          <a:off x="1514537" y="453224"/>
          <a:ext cx="83676" cy="74794"/>
        </a:xfrm>
        <a:prstGeom xmlns:a="http://schemas.openxmlformats.org/drawingml/2006/main" prst="ellipse">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0.26221</cdr:x>
      <cdr:y>0.41949</cdr:y>
    </cdr:from>
    <cdr:to>
      <cdr:x>0.27908</cdr:x>
      <cdr:y>0.44082</cdr:y>
    </cdr:to>
    <cdr:sp macro="" textlink="">
      <cdr:nvSpPr>
        <cdr:cNvPr id="8" name="Oval 7"/>
        <cdr:cNvSpPr/>
      </cdr:nvSpPr>
      <cdr:spPr>
        <a:xfrm xmlns:a="http://schemas.openxmlformats.org/drawingml/2006/main">
          <a:off x="1524010" y="1604115"/>
          <a:ext cx="98057" cy="81562"/>
        </a:xfrm>
        <a:prstGeom xmlns:a="http://schemas.openxmlformats.org/drawingml/2006/main" prst="ellipse">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0.22234</cdr:x>
      <cdr:y>0.08184</cdr:y>
    </cdr:from>
    <cdr:to>
      <cdr:x>0.25003</cdr:x>
      <cdr:y>0.16218</cdr:y>
    </cdr:to>
    <cdr:sp macro="" textlink="">
      <cdr:nvSpPr>
        <cdr:cNvPr id="9" name="TextBox 8"/>
        <cdr:cNvSpPr txBox="1"/>
      </cdr:nvSpPr>
      <cdr:spPr>
        <a:xfrm xmlns:a="http://schemas.openxmlformats.org/drawingml/2006/main">
          <a:off x="1292303" y="312954"/>
          <a:ext cx="160939" cy="3072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a:t>
          </a:r>
        </a:p>
      </cdr:txBody>
    </cdr:sp>
  </cdr:relSizeAnchor>
  <cdr:relSizeAnchor xmlns:cdr="http://schemas.openxmlformats.org/drawingml/2006/chartDrawing">
    <cdr:from>
      <cdr:x>0.23542</cdr:x>
      <cdr:y>0.35244</cdr:y>
    </cdr:from>
    <cdr:to>
      <cdr:x>0.26311</cdr:x>
      <cdr:y>0.43279</cdr:y>
    </cdr:to>
    <cdr:sp macro="" textlink="">
      <cdr:nvSpPr>
        <cdr:cNvPr id="11" name="TextBox 1"/>
        <cdr:cNvSpPr txBox="1"/>
      </cdr:nvSpPr>
      <cdr:spPr>
        <a:xfrm xmlns:a="http://schemas.openxmlformats.org/drawingml/2006/main">
          <a:off x="1368285" y="1347714"/>
          <a:ext cx="160939" cy="30725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B</a:t>
          </a:r>
        </a:p>
      </cdr:txBody>
    </cdr:sp>
  </cdr:relSizeAnchor>
  <cdr:relSizeAnchor xmlns:cdr="http://schemas.openxmlformats.org/drawingml/2006/chartDrawing">
    <cdr:from>
      <cdr:x>0.47577</cdr:x>
      <cdr:y>0.33894</cdr:y>
    </cdr:from>
    <cdr:to>
      <cdr:x>0.50346</cdr:x>
      <cdr:y>0.41928</cdr:y>
    </cdr:to>
    <cdr:sp macro="" textlink="">
      <cdr:nvSpPr>
        <cdr:cNvPr id="12" name="TextBox 1"/>
        <cdr:cNvSpPr txBox="1"/>
      </cdr:nvSpPr>
      <cdr:spPr>
        <a:xfrm xmlns:a="http://schemas.openxmlformats.org/drawingml/2006/main">
          <a:off x="3847439" y="1439863"/>
          <a:ext cx="223899" cy="34131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C</a:t>
          </a:r>
        </a:p>
      </cdr:txBody>
    </cdr:sp>
  </cdr:relSizeAnchor>
</c:userShapes>
</file>

<file path=word/drawings/drawing2.xml><?xml version="1.0" encoding="utf-8"?>
<c:userShapes xmlns:c="http://schemas.openxmlformats.org/drawingml/2006/chart">
  <cdr:relSizeAnchor xmlns:cdr="http://schemas.openxmlformats.org/drawingml/2006/chartDrawing">
    <cdr:from>
      <cdr:x>0.74783</cdr:x>
      <cdr:y>0.4533</cdr:y>
    </cdr:from>
    <cdr:to>
      <cdr:x>0.81159</cdr:x>
      <cdr:y>0.51429</cdr:y>
    </cdr:to>
    <cdr:sp macro="" textlink="">
      <cdr:nvSpPr>
        <cdr:cNvPr id="2" name="Rectangle 1"/>
        <cdr:cNvSpPr/>
      </cdr:nvSpPr>
      <cdr:spPr>
        <a:xfrm xmlns:a="http://schemas.openxmlformats.org/drawingml/2006/main">
          <a:off x="4102873" y="1773141"/>
          <a:ext cx="349857" cy="238539"/>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solidFill>
              <a:schemeClr val="bg1"/>
            </a:solidFill>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0.8002</cdr:x>
      <cdr:y>0.73679</cdr:y>
    </cdr:from>
    <cdr:to>
      <cdr:x>0.98936</cdr:x>
      <cdr:y>0.80556</cdr:y>
    </cdr:to>
    <cdr:sp macro="" textlink="">
      <cdr:nvSpPr>
        <cdr:cNvPr id="3" name="TextBox 2"/>
        <cdr:cNvSpPr txBox="1"/>
      </cdr:nvSpPr>
      <cdr:spPr>
        <a:xfrm xmlns:a="http://schemas.openxmlformats.org/drawingml/2006/main">
          <a:off x="5015213" y="3031743"/>
          <a:ext cx="1185562" cy="2829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300"/>
            <a:t>High Value</a:t>
          </a:r>
        </a:p>
      </cdr:txBody>
    </cdr:sp>
  </cdr:relSizeAnchor>
  <cdr:relSizeAnchor xmlns:cdr="http://schemas.openxmlformats.org/drawingml/2006/chartDrawing">
    <cdr:from>
      <cdr:x>0.69291</cdr:x>
      <cdr:y>0.84214</cdr:y>
    </cdr:from>
    <cdr:to>
      <cdr:x>0.77953</cdr:x>
      <cdr:y>0.89978</cdr:y>
    </cdr:to>
    <cdr:sp macro="" textlink="">
      <cdr:nvSpPr>
        <cdr:cNvPr id="4" name="Rectangle 3"/>
        <cdr:cNvSpPr/>
      </cdr:nvSpPr>
      <cdr:spPr>
        <a:xfrm xmlns:a="http://schemas.openxmlformats.org/drawingml/2006/main">
          <a:off x="6705601" y="4175125"/>
          <a:ext cx="838199" cy="285750"/>
        </a:xfrm>
        <a:prstGeom xmlns:a="http://schemas.openxmlformats.org/drawingml/2006/main" prst="rect">
          <a:avLst/>
        </a:prstGeom>
        <a:solidFill xmlns:a="http://schemas.openxmlformats.org/drawingml/2006/main">
          <a:schemeClr val="bg1">
            <a:lumMod val="75000"/>
          </a:schemeClr>
        </a:solidFill>
        <a:ln xmlns:a="http://schemas.openxmlformats.org/drawingml/2006/main">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solidFill>
              <a:sysClr val="windowText" lastClr="000000"/>
            </a:solidFill>
          </a:endParaRPr>
        </a:p>
      </cdr:txBody>
    </cdr:sp>
  </cdr:relSizeAnchor>
  <cdr:relSizeAnchor xmlns:cdr="http://schemas.openxmlformats.org/drawingml/2006/chartDrawing">
    <cdr:from>
      <cdr:x>0.80151</cdr:x>
      <cdr:y>0.84406</cdr:y>
    </cdr:from>
    <cdr:to>
      <cdr:x>1</cdr:x>
      <cdr:y>0.90509</cdr:y>
    </cdr:to>
    <cdr:sp macro="" textlink="">
      <cdr:nvSpPr>
        <cdr:cNvPr id="5" name="TextBox 2"/>
        <cdr:cNvSpPr txBox="1"/>
      </cdr:nvSpPr>
      <cdr:spPr>
        <a:xfrm xmlns:a="http://schemas.openxmlformats.org/drawingml/2006/main">
          <a:off x="5023424" y="3473138"/>
          <a:ext cx="1244026" cy="25113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300"/>
            <a:t>Low Value</a:t>
          </a:r>
        </a:p>
      </cdr:txBody>
    </cdr:sp>
  </cdr:relSizeAnchor>
  <cdr:relSizeAnchor xmlns:cdr="http://schemas.openxmlformats.org/drawingml/2006/chartDrawing">
    <cdr:from>
      <cdr:x>0.69226</cdr:x>
      <cdr:y>0.73455</cdr:y>
    </cdr:from>
    <cdr:to>
      <cdr:x>0.77887</cdr:x>
      <cdr:y>0.79219</cdr:y>
    </cdr:to>
    <cdr:sp macro="" textlink="">
      <cdr:nvSpPr>
        <cdr:cNvPr id="6" name="Rectangle 5"/>
        <cdr:cNvSpPr/>
      </cdr:nvSpPr>
      <cdr:spPr>
        <a:xfrm xmlns:a="http://schemas.openxmlformats.org/drawingml/2006/main">
          <a:off x="6699250" y="3641725"/>
          <a:ext cx="838199" cy="285750"/>
        </a:xfrm>
        <a:prstGeom xmlns:a="http://schemas.openxmlformats.org/drawingml/2006/main" prst="rect">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solidFill>
              <a:sysClr val="windowText" lastClr="000000"/>
            </a:solidFill>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0.79959</cdr:x>
      <cdr:y>0.73679</cdr:y>
    </cdr:from>
    <cdr:to>
      <cdr:x>1</cdr:x>
      <cdr:y>0.79861</cdr:y>
    </cdr:to>
    <cdr:sp macro="" textlink="">
      <cdr:nvSpPr>
        <cdr:cNvPr id="3" name="TextBox 2"/>
        <cdr:cNvSpPr txBox="1"/>
      </cdr:nvSpPr>
      <cdr:spPr>
        <a:xfrm xmlns:a="http://schemas.openxmlformats.org/drawingml/2006/main">
          <a:off x="5012164" y="3031743"/>
          <a:ext cx="1255286" cy="25438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300"/>
            <a:t>High Value</a:t>
          </a:r>
        </a:p>
      </cdr:txBody>
    </cdr:sp>
  </cdr:relSizeAnchor>
  <cdr:relSizeAnchor xmlns:cdr="http://schemas.openxmlformats.org/drawingml/2006/chartDrawing">
    <cdr:from>
      <cdr:x>0.69291</cdr:x>
      <cdr:y>0.84214</cdr:y>
    </cdr:from>
    <cdr:to>
      <cdr:x>0.77953</cdr:x>
      <cdr:y>0.89978</cdr:y>
    </cdr:to>
    <cdr:sp macro="" textlink="">
      <cdr:nvSpPr>
        <cdr:cNvPr id="4" name="Rectangle 3"/>
        <cdr:cNvSpPr/>
      </cdr:nvSpPr>
      <cdr:spPr>
        <a:xfrm xmlns:a="http://schemas.openxmlformats.org/drawingml/2006/main">
          <a:off x="6705601" y="4175125"/>
          <a:ext cx="838199" cy="285750"/>
        </a:xfrm>
        <a:prstGeom xmlns:a="http://schemas.openxmlformats.org/drawingml/2006/main" prst="rect">
          <a:avLst/>
        </a:prstGeom>
        <a:solidFill xmlns:a="http://schemas.openxmlformats.org/drawingml/2006/main">
          <a:schemeClr val="bg1">
            <a:lumMod val="75000"/>
          </a:schemeClr>
        </a:solidFill>
        <a:ln xmlns:a="http://schemas.openxmlformats.org/drawingml/2006/main">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solidFill>
              <a:sysClr val="windowText" lastClr="000000"/>
            </a:solidFill>
          </a:endParaRPr>
        </a:p>
      </cdr:txBody>
    </cdr:sp>
  </cdr:relSizeAnchor>
  <cdr:relSizeAnchor xmlns:cdr="http://schemas.openxmlformats.org/drawingml/2006/chartDrawing">
    <cdr:from>
      <cdr:x>0.8009</cdr:x>
      <cdr:y>0.84406</cdr:y>
    </cdr:from>
    <cdr:to>
      <cdr:x>1</cdr:x>
      <cdr:y>0.90046</cdr:y>
    </cdr:to>
    <cdr:sp macro="" textlink="">
      <cdr:nvSpPr>
        <cdr:cNvPr id="5" name="TextBox 2"/>
        <cdr:cNvSpPr txBox="1"/>
      </cdr:nvSpPr>
      <cdr:spPr>
        <a:xfrm xmlns:a="http://schemas.openxmlformats.org/drawingml/2006/main">
          <a:off x="5020370" y="3473138"/>
          <a:ext cx="1247080" cy="23208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300"/>
            <a:t>Low Value</a:t>
          </a:r>
        </a:p>
      </cdr:txBody>
    </cdr:sp>
  </cdr:relSizeAnchor>
  <cdr:relSizeAnchor xmlns:cdr="http://schemas.openxmlformats.org/drawingml/2006/chartDrawing">
    <cdr:from>
      <cdr:x>0.69226</cdr:x>
      <cdr:y>0.73455</cdr:y>
    </cdr:from>
    <cdr:to>
      <cdr:x>0.77887</cdr:x>
      <cdr:y>0.79219</cdr:y>
    </cdr:to>
    <cdr:sp macro="" textlink="">
      <cdr:nvSpPr>
        <cdr:cNvPr id="6" name="Rectangle 5"/>
        <cdr:cNvSpPr/>
      </cdr:nvSpPr>
      <cdr:spPr>
        <a:xfrm xmlns:a="http://schemas.openxmlformats.org/drawingml/2006/main">
          <a:off x="6699250" y="3641725"/>
          <a:ext cx="838199" cy="285750"/>
        </a:xfrm>
        <a:prstGeom xmlns:a="http://schemas.openxmlformats.org/drawingml/2006/main" prst="rect">
          <a:avLst/>
        </a:prstGeom>
        <a:solidFill xmlns:a="http://schemas.openxmlformats.org/drawingml/2006/main">
          <a:schemeClr val="tx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solidFill>
              <a:sysClr val="windowText" lastClr="000000"/>
            </a:solidFill>
          </a:endParaRP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C3A05F86BF17481089AA9C1A73504D0D"/>
        <w:category>
          <w:name w:val="General"/>
          <w:gallery w:val="placeholder"/>
        </w:category>
        <w:types>
          <w:type w:val="bbPlcHdr"/>
        </w:types>
        <w:behaviors>
          <w:behavior w:val="content"/>
        </w:behaviors>
        <w:guid w:val="{5A154D89-B2E5-4B39-95FE-CE29B9921CE1}"/>
      </w:docPartPr>
      <w:docPartBody>
        <w:p w:rsidR="00E65A55" w:rsidRDefault="00882F96" w:rsidP="00882F96">
          <w:pPr>
            <w:pStyle w:val="C3A05F86BF17481089AA9C1A73504D0D"/>
          </w:pPr>
          <w:r w:rsidRPr="001F1C68">
            <w:rPr>
              <w:rStyle w:val="PlaceholderText"/>
            </w:rPr>
            <w:t>Click here to enter text.</w:t>
          </w:r>
        </w:p>
      </w:docPartBody>
    </w:docPart>
    <w:docPart>
      <w:docPartPr>
        <w:name w:val="BECC85C61559451EB2BAAA3B58E459CC"/>
        <w:category>
          <w:name w:val="General"/>
          <w:gallery w:val="placeholder"/>
        </w:category>
        <w:types>
          <w:type w:val="bbPlcHdr"/>
        </w:types>
        <w:behaviors>
          <w:behavior w:val="content"/>
        </w:behaviors>
        <w:guid w:val="{24C9F03C-33A6-4F6E-81A8-8D11EC843600}"/>
      </w:docPartPr>
      <w:docPartBody>
        <w:p w:rsidR="00ED11C0" w:rsidRDefault="00ED11C0" w:rsidP="00ED11C0">
          <w:pPr>
            <w:pStyle w:val="BECC85C61559451EB2BAAA3B58E459C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DD6093"/>
    <w:rsid w:val="0000496B"/>
    <w:rsid w:val="00080B23"/>
    <w:rsid w:val="001440BA"/>
    <w:rsid w:val="0015246B"/>
    <w:rsid w:val="00190672"/>
    <w:rsid w:val="001B2B89"/>
    <w:rsid w:val="001C2D1C"/>
    <w:rsid w:val="001C5D1D"/>
    <w:rsid w:val="001E1A0C"/>
    <w:rsid w:val="00235E48"/>
    <w:rsid w:val="00251D13"/>
    <w:rsid w:val="00261666"/>
    <w:rsid w:val="00276951"/>
    <w:rsid w:val="00293081"/>
    <w:rsid w:val="003070AC"/>
    <w:rsid w:val="0035347F"/>
    <w:rsid w:val="003E7637"/>
    <w:rsid w:val="003F44A1"/>
    <w:rsid w:val="004950C2"/>
    <w:rsid w:val="00546DB1"/>
    <w:rsid w:val="005543AD"/>
    <w:rsid w:val="00572AB3"/>
    <w:rsid w:val="005844EF"/>
    <w:rsid w:val="005902A4"/>
    <w:rsid w:val="005B052D"/>
    <w:rsid w:val="005F2B3A"/>
    <w:rsid w:val="006A7B5D"/>
    <w:rsid w:val="006B53FA"/>
    <w:rsid w:val="00714035"/>
    <w:rsid w:val="007543CB"/>
    <w:rsid w:val="00787914"/>
    <w:rsid w:val="007A04BC"/>
    <w:rsid w:val="007A77DB"/>
    <w:rsid w:val="00853EA2"/>
    <w:rsid w:val="00875ABD"/>
    <w:rsid w:val="00882F96"/>
    <w:rsid w:val="00983B66"/>
    <w:rsid w:val="009A3922"/>
    <w:rsid w:val="009F0E3D"/>
    <w:rsid w:val="00A343F1"/>
    <w:rsid w:val="00A436E5"/>
    <w:rsid w:val="00B07B27"/>
    <w:rsid w:val="00B46CD3"/>
    <w:rsid w:val="00BC1D1D"/>
    <w:rsid w:val="00BC5308"/>
    <w:rsid w:val="00C738D6"/>
    <w:rsid w:val="00CA39D2"/>
    <w:rsid w:val="00DA6CD0"/>
    <w:rsid w:val="00DD6093"/>
    <w:rsid w:val="00DD688C"/>
    <w:rsid w:val="00DE7DE5"/>
    <w:rsid w:val="00E144A3"/>
    <w:rsid w:val="00E65A55"/>
    <w:rsid w:val="00ED11C0"/>
    <w:rsid w:val="00EF14E5"/>
    <w:rsid w:val="00F51355"/>
    <w:rsid w:val="00F80430"/>
    <w:rsid w:val="00F86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11C0"/>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983B66"/>
    <w:pPr>
      <w:spacing w:after="0" w:line="240" w:lineRule="auto"/>
    </w:pPr>
    <w:rPr>
      <w:rFonts w:eastAsia="Times New Roman" w:cs="Times New Roman"/>
      <w:sz w:val="24"/>
      <w:szCs w:val="32"/>
      <w:lang w:bidi="en-US"/>
    </w:rPr>
  </w:style>
  <w:style w:type="paragraph" w:customStyle="1" w:styleId="C3A05F86BF17481089AA9C1A73504D0D">
    <w:name w:val="C3A05F86BF17481089AA9C1A73504D0D"/>
    <w:rsid w:val="00882F96"/>
    <w:pPr>
      <w:spacing w:after="160" w:line="259" w:lineRule="auto"/>
    </w:pPr>
    <w:rPr>
      <w:lang w:eastAsia="zh-CN"/>
    </w:rPr>
  </w:style>
  <w:style w:type="paragraph" w:customStyle="1" w:styleId="92CDF7F6F9F849E4B86C132E4A9349AA">
    <w:name w:val="92CDF7F6F9F849E4B86C132E4A9349AA"/>
    <w:rsid w:val="007543CB"/>
    <w:pPr>
      <w:spacing w:after="160" w:line="259" w:lineRule="auto"/>
    </w:pPr>
    <w:rPr>
      <w:lang w:eastAsia="zh-CN"/>
    </w:rPr>
  </w:style>
  <w:style w:type="paragraph" w:customStyle="1" w:styleId="843682D80DFD45A3BB9A8A998F14B8BB">
    <w:name w:val="843682D80DFD45A3BB9A8A998F14B8BB"/>
    <w:rsid w:val="007543CB"/>
    <w:pPr>
      <w:spacing w:after="160" w:line="259" w:lineRule="auto"/>
    </w:pPr>
    <w:rPr>
      <w:lang w:eastAsia="zh-CN"/>
    </w:rPr>
  </w:style>
  <w:style w:type="paragraph" w:customStyle="1" w:styleId="CC2841776D3A46FB8E9F9B55C6B878F0">
    <w:name w:val="CC2841776D3A46FB8E9F9B55C6B878F0"/>
    <w:rsid w:val="007543CB"/>
    <w:pPr>
      <w:spacing w:after="160" w:line="259" w:lineRule="auto"/>
    </w:pPr>
    <w:rPr>
      <w:lang w:eastAsia="zh-CN"/>
    </w:rPr>
  </w:style>
  <w:style w:type="paragraph" w:customStyle="1" w:styleId="3758971EFF2A4E56A62D166703F4C753">
    <w:name w:val="3758971EFF2A4E56A62D166703F4C753"/>
    <w:rsid w:val="007543CB"/>
    <w:pPr>
      <w:spacing w:after="160" w:line="259" w:lineRule="auto"/>
    </w:pPr>
    <w:rPr>
      <w:lang w:eastAsia="zh-CN"/>
    </w:rPr>
  </w:style>
  <w:style w:type="paragraph" w:customStyle="1" w:styleId="C9A25A1E681846678F85FCDA187D4E12">
    <w:name w:val="C9A25A1E681846678F85FCDA187D4E12"/>
    <w:rsid w:val="007543CB"/>
    <w:pPr>
      <w:spacing w:after="160" w:line="259" w:lineRule="auto"/>
    </w:pPr>
    <w:rPr>
      <w:lang w:eastAsia="zh-CN"/>
    </w:rPr>
  </w:style>
  <w:style w:type="paragraph" w:customStyle="1" w:styleId="28DC509F56E34F8A83A4C5D1858ED4B5">
    <w:name w:val="28DC509F56E34F8A83A4C5D1858ED4B5"/>
    <w:rsid w:val="007543CB"/>
    <w:pPr>
      <w:spacing w:after="160" w:line="259" w:lineRule="auto"/>
    </w:pPr>
    <w:rPr>
      <w:lang w:eastAsia="zh-CN"/>
    </w:rPr>
  </w:style>
  <w:style w:type="paragraph" w:customStyle="1" w:styleId="EEFE36DAEBF34C01946E4BF63DA48D73">
    <w:name w:val="EEFE36DAEBF34C01946E4BF63DA48D73"/>
    <w:rsid w:val="006A7B5D"/>
    <w:pPr>
      <w:spacing w:after="160" w:line="259" w:lineRule="auto"/>
    </w:pPr>
    <w:rPr>
      <w:lang w:eastAsia="zh-CN"/>
    </w:rPr>
  </w:style>
  <w:style w:type="paragraph" w:customStyle="1" w:styleId="1F1BB9FC3DD94A978E09D4F726D826E0">
    <w:name w:val="1F1BB9FC3DD94A978E09D4F726D826E0"/>
    <w:rsid w:val="006A7B5D"/>
    <w:pPr>
      <w:spacing w:after="160" w:line="259" w:lineRule="auto"/>
    </w:pPr>
    <w:rPr>
      <w:lang w:eastAsia="zh-CN"/>
    </w:rPr>
  </w:style>
  <w:style w:type="paragraph" w:customStyle="1" w:styleId="BB52C5C6CD0241D590A0B0BC4208468A">
    <w:name w:val="BB52C5C6CD0241D590A0B0BC4208468A"/>
    <w:rsid w:val="006A7B5D"/>
    <w:pPr>
      <w:spacing w:after="160" w:line="259" w:lineRule="auto"/>
    </w:pPr>
    <w:rPr>
      <w:lang w:eastAsia="zh-CN"/>
    </w:rPr>
  </w:style>
  <w:style w:type="paragraph" w:customStyle="1" w:styleId="BECC85C61559451EB2BAAA3B58E459CC">
    <w:name w:val="BECC85C61559451EB2BAAA3B58E459CC"/>
    <w:rsid w:val="00ED11C0"/>
    <w:pPr>
      <w:spacing w:after="160" w:line="259" w:lineRule="auto"/>
    </w:pPr>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AAEAAAD/////AQAAAAAAAAAMAgAAAEVDaGVtNFdvcmQuQ29yZSwgVmVyc2lvbj0yLjAuMS4wLCBDdWx0dXJlPW5ldXRyYWwsIFB1YmxpY0tleVRva2VuPW51bGwHAQAAAAABAAAAAAAAAAQgQ2hlbTRXb3JkLkNvcmUuQ29udHJvbFByb3BlcnRpZXMCAAAACw==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77608-968C-41E6-9947-251EE94A3AE7}">
  <ds:schemaRefs>
    <ds:schemaRef ds:uri="urn:schemas-microsoft-com.VSTO2008Demos.ControlsStorage"/>
  </ds:schemaRefs>
</ds:datastoreItem>
</file>

<file path=customXml/itemProps2.xml><?xml version="1.0" encoding="utf-8"?>
<ds:datastoreItem xmlns:ds="http://schemas.openxmlformats.org/officeDocument/2006/customXml" ds:itemID="{A5799CA3-5F0D-4792-98D7-4E9F9EEAD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Chem4Word2010</Template>
  <TotalTime>1000</TotalTime>
  <Pages>161</Pages>
  <Words>28475</Words>
  <Characters>162308</Characters>
  <Application>Microsoft Office Word</Application>
  <DocSecurity>0</DocSecurity>
  <Lines>1352</Lines>
  <Paragraphs>380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190403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Shen, Tong</cp:lastModifiedBy>
  <cp:revision>52</cp:revision>
  <cp:lastPrinted>2011-12-05T16:17:00Z</cp:lastPrinted>
  <dcterms:created xsi:type="dcterms:W3CDTF">2017-09-25T15:11:00Z</dcterms:created>
  <dcterms:modified xsi:type="dcterms:W3CDTF">2017-10-19T14:41:00Z</dcterms:modified>
</cp:coreProperties>
</file>